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7E21" w:rsidRDefault="00317E21" w:rsidP="00317E21">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1992. évi LXIII. törvény</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személyes adatok védelméről</w:t>
      </w:r>
      <w:r>
        <w:rPr>
          <w:rFonts w:ascii="Times New Roman" w:hAnsi="Times New Roman" w:cs="Times New Roman"/>
          <w:b/>
          <w:bCs/>
          <w:sz w:val="20"/>
          <w:szCs w:val="20"/>
        </w:rPr>
        <w:br/>
        <w:t>és a közérdekű adatok nyilvánosságáról</w:t>
      </w:r>
      <w:r>
        <w:rPr>
          <w:rFonts w:ascii="Times New Roman" w:hAnsi="Times New Roman" w:cs="Times New Roman"/>
          <w:b/>
          <w:bCs/>
          <w:sz w:val="20"/>
          <w:szCs w:val="20"/>
          <w:vertAlign w:val="superscript"/>
        </w:rPr>
        <w:footnoteReference w:id="1"/>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Országgyűlés — a Magyar Köztársaság Alkotmányában foglaltakkal összhangban — a személyes adatok védelmét, valamint a közérdekű adatok megismeréséhez való jog érvényesülését szolgáló alapvető szabályokról a következő törvényt alkotja: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célja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E törvény célja annak biztosítása, hogy — ha e törvényben meghatározott jogszabály kivételt nem tesz — személyes adatával mindenki maga rendelkezzen, és a közérdekű adatokat mindenki megismerhesse.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törvényben foglaltaktól eltérni csak akkor lehet, ha azt e törvény kifejezetten megengedni.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 szerint megengedett kivételt csak meghatározott adatfajtára és adatkezelőre együttesen lehet megállapítani.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1/A. §</w:t>
      </w:r>
      <w:r>
        <w:rPr>
          <w:rFonts w:ascii="Times New Roman" w:hAnsi="Times New Roman" w:cs="Times New Roman"/>
          <w:b/>
          <w:bCs/>
          <w:sz w:val="20"/>
          <w:szCs w:val="20"/>
          <w:vertAlign w:val="superscript"/>
        </w:rPr>
        <w:footnoteReference w:id="2"/>
      </w:r>
      <w:r>
        <w:rPr>
          <w:rFonts w:ascii="Times New Roman" w:hAnsi="Times New Roman" w:cs="Times New Roman"/>
          <w:sz w:val="20"/>
          <w:szCs w:val="20"/>
        </w:rPr>
        <w:t xml:space="preserve"> (1) E törvény hatálya a Magyar Köztársaság területén folytatott minden olyan adatkezelésre és adatfeldolgozásra kiterjed, amely természetes személy adataira vonatkozik, valamint amely közérdekű adatot vagy közérdekből nyilvános adatot tartalmaz.</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törvényt a teljesen vagy részben automatizált eszközzel, valamint a manuális módon végzett adatkezelésre és adatfeldolgozásra egyaránt alkalmazni kell.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kell alkalmaznia e törvény rendelkezéseit a természetes személynek a kizárólag saját személyes céljait szolgáló adatkezeléseire.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Értelmező rendelkezések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b/>
          <w:bCs/>
          <w:sz w:val="20"/>
          <w:szCs w:val="20"/>
          <w:vertAlign w:val="superscript"/>
        </w:rPr>
        <w:footnoteReference w:id="3"/>
      </w:r>
      <w:r>
        <w:rPr>
          <w:rFonts w:ascii="Times New Roman" w:hAnsi="Times New Roman" w:cs="Times New Roman"/>
          <w:sz w:val="20"/>
          <w:szCs w:val="20"/>
        </w:rPr>
        <w:t xml:space="preserve"> E törvény alkalmazása során:</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i/>
          <w:iCs/>
          <w:sz w:val="20"/>
          <w:szCs w:val="20"/>
        </w:rPr>
        <w:t>személyes adat:</w:t>
      </w:r>
      <w:r>
        <w:rPr>
          <w:rFonts w:ascii="Times New Roman" w:hAnsi="Times New Roman" w:cs="Times New Roman"/>
          <w:sz w:val="20"/>
          <w:szCs w:val="20"/>
        </w:rPr>
        <w:t xml:space="preserve"> bármely meghatározott (azonosított vagy azonosítható) természetes személlyel (a továbbiakban: érintett) kapcsolatba hozható adat, az adatból levonható, az érintettre vonatkozó következtetés. A személyes adat az adatkezelés során mindaddig megőrzi e minőségét, amíg kapcsolata az érintettel helyreállítható. A személy különösen akkor tekinthető azonosíthatónak, ha őt – közvetlenül vagy közvetve – név, azonosító jel, illetőleg egy vagy több, fizikai, fiziológiai, mentális, gazdasági, kulturális vagy szociális azonosságára jellemző tényező alapján azonosítani lehet;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2. </w:t>
      </w:r>
      <w:r>
        <w:rPr>
          <w:rFonts w:ascii="Times New Roman" w:hAnsi="Times New Roman" w:cs="Times New Roman"/>
          <w:i/>
          <w:iCs/>
          <w:sz w:val="20"/>
          <w:szCs w:val="20"/>
        </w:rPr>
        <w:t>különleges adat: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faji eredetre, a nemzeti és etnikai kisebbséghez tartozásra, a politikai véleményre vagy pártállásra, a vallásos vagy más világnézeti meggyőződésre, az érdekképviseleti szervezeti tagságra,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egészségi állapotra, a kóros szenvedélyre, a szexuális életre vonatkozó adat, valamint a bűnügyi személyes adat;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i/>
          <w:iCs/>
          <w:sz w:val="20"/>
          <w:szCs w:val="20"/>
        </w:rPr>
        <w:t>bűnügyi személyes adat:</w:t>
      </w:r>
      <w:r>
        <w:rPr>
          <w:rFonts w:ascii="Times New Roman" w:hAnsi="Times New Roman" w:cs="Times New Roman"/>
          <w:sz w:val="20"/>
          <w:szCs w:val="20"/>
        </w:rPr>
        <w:t xml:space="preserve"> a büntetőeljárás során vagy azt megelőzően a bűncselekménnyel vagy a büntetőeljárással összefüggésben, a büntetőeljárás lefolytatására, illetőleg a bűncselekmények felderítésére jogosult szerveknél, továbbá a büntetés-végrehajtás szervezeténél keletkezett, az érintettel kapcsolatba hozható, valamint a büntetett előéletre vonatkozó személyes adat;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
      </w:r>
      <w:r>
        <w:rPr>
          <w:rFonts w:ascii="Times New Roman" w:hAnsi="Times New Roman" w:cs="Times New Roman"/>
          <w:sz w:val="20"/>
          <w:szCs w:val="20"/>
        </w:rPr>
        <w:t xml:space="preserve"> </w:t>
      </w:r>
      <w:r>
        <w:rPr>
          <w:rFonts w:ascii="Times New Roman" w:hAnsi="Times New Roman" w:cs="Times New Roman"/>
          <w:i/>
          <w:iCs/>
          <w:sz w:val="20"/>
          <w:szCs w:val="20"/>
        </w:rPr>
        <w:t>közérdekű adat:</w:t>
      </w:r>
      <w:r>
        <w:rPr>
          <w:rFonts w:ascii="Times New Roman" w:hAnsi="Times New Roman" w:cs="Times New Roman"/>
          <w:sz w:val="20"/>
          <w:szCs w:val="20"/>
        </w:rPr>
        <w:t xml:space="preserve"> az állami vagy helyi önkormányzati feladatot, valamint jogszabályban meghatározott egyéb közfeladatot ellátó szerv vagy személy kezelésében lévő, valamint a tevékenységére vonatkozó, a személyes adat fogalma alá nem eső, bármilyen módon vagy formában rögzített információ vagy ismeret, függetlenül kezelésének módjától, önálló vagy gyűjteményes jellegétől;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5"/>
      </w:r>
      <w:r>
        <w:rPr>
          <w:rFonts w:ascii="Times New Roman" w:hAnsi="Times New Roman" w:cs="Times New Roman"/>
          <w:sz w:val="20"/>
          <w:szCs w:val="20"/>
        </w:rPr>
        <w:t xml:space="preserve"> </w:t>
      </w:r>
      <w:r>
        <w:rPr>
          <w:rFonts w:ascii="Times New Roman" w:hAnsi="Times New Roman" w:cs="Times New Roman"/>
          <w:i/>
          <w:iCs/>
          <w:sz w:val="20"/>
          <w:szCs w:val="20"/>
        </w:rPr>
        <w:t>közérdekből nyilvános adat:</w:t>
      </w:r>
      <w:r>
        <w:rPr>
          <w:rFonts w:ascii="Times New Roman" w:hAnsi="Times New Roman" w:cs="Times New Roman"/>
          <w:sz w:val="20"/>
          <w:szCs w:val="20"/>
        </w:rPr>
        <w:t xml:space="preserve"> a közérdekű adat fogalma alá nem tartozó minden olyan adat, amelynek nyilvánosságra hozatalát vagy hozzáférhetővé tételét törvény közérdekből elrendeli;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w:t>
      </w:r>
      <w:r>
        <w:rPr>
          <w:rFonts w:ascii="Times New Roman" w:hAnsi="Times New Roman" w:cs="Times New Roman"/>
          <w:i/>
          <w:iCs/>
          <w:sz w:val="20"/>
          <w:szCs w:val="20"/>
        </w:rPr>
        <w:t>hozzájárulás:</w:t>
      </w:r>
      <w:r>
        <w:rPr>
          <w:rFonts w:ascii="Times New Roman" w:hAnsi="Times New Roman" w:cs="Times New Roman"/>
          <w:sz w:val="20"/>
          <w:szCs w:val="20"/>
        </w:rPr>
        <w:t xml:space="preserve"> az érintett kívánságának önkéntes és határozott kinyilvánítása, amely megfelelő tájékoztatáson alapul, és amellyel félreérthetetlen beleegyezését adja a rá vonatkozó személyes adatok – teljes körű vagy egyes műveletekre kiterjedő – kezeléséhez;</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w:t>
      </w:r>
      <w:r>
        <w:rPr>
          <w:rFonts w:ascii="Times New Roman" w:hAnsi="Times New Roman" w:cs="Times New Roman"/>
          <w:i/>
          <w:iCs/>
          <w:sz w:val="20"/>
          <w:szCs w:val="20"/>
        </w:rPr>
        <w:t>tiltakozás:</w:t>
      </w:r>
      <w:r>
        <w:rPr>
          <w:rFonts w:ascii="Times New Roman" w:hAnsi="Times New Roman" w:cs="Times New Roman"/>
          <w:sz w:val="20"/>
          <w:szCs w:val="20"/>
        </w:rPr>
        <w:t xml:space="preserve"> az érintett nyilatkozata, amellyel személyes adatainak kezelését kifogásolja, és az adatkezelés megszüntetését, illetve a kezelt adatok törlését kéri;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6"/>
      </w:r>
      <w:r>
        <w:rPr>
          <w:rFonts w:ascii="Times New Roman" w:hAnsi="Times New Roman" w:cs="Times New Roman"/>
          <w:sz w:val="20"/>
          <w:szCs w:val="20"/>
        </w:rPr>
        <w:t xml:space="preserve"> </w:t>
      </w:r>
      <w:r>
        <w:rPr>
          <w:rFonts w:ascii="Times New Roman" w:hAnsi="Times New Roman" w:cs="Times New Roman"/>
          <w:i/>
          <w:iCs/>
          <w:sz w:val="20"/>
          <w:szCs w:val="20"/>
        </w:rPr>
        <w:t>adatkezelő:</w:t>
      </w:r>
      <w:r>
        <w:rPr>
          <w:rFonts w:ascii="Times New Roman" w:hAnsi="Times New Roman" w:cs="Times New Roman"/>
          <w:sz w:val="20"/>
          <w:szCs w:val="20"/>
        </w:rPr>
        <w:t xml:space="preserve"> az a természetes vagy jogi személy, illetve jogi személyiséggel nem rendelkező szervezet, aki vagy amely az adatok kezelésének célját meghatározza, az adatkezelésre (beleértve a felhasznált eszközt) vonatkozó döntéseket meghozza és végrehajtja, vagy az általa megbízott adatfeldolgozóval végrehajtatja;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7"/>
      </w:r>
      <w:r>
        <w:rPr>
          <w:rFonts w:ascii="Times New Roman" w:hAnsi="Times New Roman" w:cs="Times New Roman"/>
          <w:sz w:val="20"/>
          <w:szCs w:val="20"/>
        </w:rPr>
        <w:t xml:space="preserve"> </w:t>
      </w:r>
      <w:r>
        <w:rPr>
          <w:rFonts w:ascii="Times New Roman" w:hAnsi="Times New Roman" w:cs="Times New Roman"/>
          <w:i/>
          <w:iCs/>
          <w:sz w:val="20"/>
          <w:szCs w:val="20"/>
        </w:rPr>
        <w:t>adatkezelés:</w:t>
      </w:r>
      <w:r>
        <w:rPr>
          <w:rFonts w:ascii="Times New Roman" w:hAnsi="Times New Roman" w:cs="Times New Roman"/>
          <w:sz w:val="20"/>
          <w:szCs w:val="20"/>
        </w:rPr>
        <w:t xml:space="preserve"> az alkalmazott eljárástól függetlenül az adatokon végzett bármely művelet vagy a műveletek összessége, így például gyűjtése, felvétele, rögzítése, rendszerezése, tárolása, megváltoztatása, felhasználása, továbbítása, nyilvánosságra hozatala, összehangolása vagy összekapcsolása, zárolása, törlése és megsemmisítése, valamint az adatok további felhasználásának megakadályozása. Adatkezelésnek számít a fénykép-, hang- vagy képfelvétel készítése, valamint a személy azonosítására alkalmas fizikai jellemzők (pl. ujj- vagy tenyérnyomat, DNS-minta, íriszkép) rögzítése is;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w:t>
      </w:r>
      <w:r>
        <w:rPr>
          <w:rFonts w:ascii="Times New Roman" w:hAnsi="Times New Roman" w:cs="Times New Roman"/>
          <w:i/>
          <w:iCs/>
          <w:sz w:val="20"/>
          <w:szCs w:val="20"/>
        </w:rPr>
        <w:t>adattovábbítás:</w:t>
      </w:r>
      <w:r>
        <w:rPr>
          <w:rFonts w:ascii="Times New Roman" w:hAnsi="Times New Roman" w:cs="Times New Roman"/>
          <w:sz w:val="20"/>
          <w:szCs w:val="20"/>
        </w:rPr>
        <w:t xml:space="preserve"> ha az adatot meghatározott harmadik személy számára hozzáférhetővé teszik;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i/>
          <w:iCs/>
          <w:sz w:val="20"/>
          <w:szCs w:val="20"/>
        </w:rPr>
        <w:t>nyilvánosságra hozatal:</w:t>
      </w:r>
      <w:r>
        <w:rPr>
          <w:rFonts w:ascii="Times New Roman" w:hAnsi="Times New Roman" w:cs="Times New Roman"/>
          <w:sz w:val="20"/>
          <w:szCs w:val="20"/>
        </w:rPr>
        <w:t xml:space="preserve"> ha az adatot bárki számára hozzáférhetővé teszik;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i/>
          <w:iCs/>
          <w:sz w:val="20"/>
          <w:szCs w:val="20"/>
        </w:rPr>
        <w:t>adattörlés:</w:t>
      </w:r>
      <w:r>
        <w:rPr>
          <w:rFonts w:ascii="Times New Roman" w:hAnsi="Times New Roman" w:cs="Times New Roman"/>
          <w:sz w:val="20"/>
          <w:szCs w:val="20"/>
        </w:rPr>
        <w:t xml:space="preserve"> az adatok felismerhetetlenné tétele oly módon, hogy a helyreállításuk többé nem lehetséges;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i/>
          <w:iCs/>
          <w:sz w:val="20"/>
          <w:szCs w:val="20"/>
        </w:rPr>
        <w:t>adatzárolás:</w:t>
      </w:r>
      <w:r>
        <w:rPr>
          <w:rFonts w:ascii="Times New Roman" w:hAnsi="Times New Roman" w:cs="Times New Roman"/>
          <w:sz w:val="20"/>
          <w:szCs w:val="20"/>
        </w:rPr>
        <w:t xml:space="preserve"> az adatok továbbításának, megismerésének, nyilvánosságra hozatalának, átalakításának, megváltoztatásának, megsemmisítésének, törlésének, összekapcsolásának vagy összehangolásának és felhasználásának véglegesen vagy meghatározott időre történő lehetetlenné tétele;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i/>
          <w:iCs/>
          <w:sz w:val="20"/>
          <w:szCs w:val="20"/>
        </w:rPr>
        <w:t>adatmegsemmisítés:</w:t>
      </w:r>
      <w:r>
        <w:rPr>
          <w:rFonts w:ascii="Times New Roman" w:hAnsi="Times New Roman" w:cs="Times New Roman"/>
          <w:sz w:val="20"/>
          <w:szCs w:val="20"/>
        </w:rPr>
        <w:t xml:space="preserve"> az adatok vagy az azokat tartalmazó adathordozó teljes fizikai megsemmisítése;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15. </w:t>
      </w:r>
      <w:r>
        <w:rPr>
          <w:rFonts w:ascii="Times New Roman" w:hAnsi="Times New Roman" w:cs="Times New Roman"/>
          <w:i/>
          <w:iCs/>
          <w:sz w:val="20"/>
          <w:szCs w:val="20"/>
        </w:rPr>
        <w:t>adatfeldolgozás:</w:t>
      </w:r>
      <w:r>
        <w:rPr>
          <w:rFonts w:ascii="Times New Roman" w:hAnsi="Times New Roman" w:cs="Times New Roman"/>
          <w:sz w:val="20"/>
          <w:szCs w:val="20"/>
        </w:rPr>
        <w:t xml:space="preserve"> az adatkezelési műveletekhez kapcsolódó technikai feladatok elvégzése, függetlenül a műveletek végrehajtásához alkalmazott módszertől és eszköztől, valamint az alkalmazás helyétől;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16. </w:t>
      </w:r>
      <w:r>
        <w:rPr>
          <w:rFonts w:ascii="Times New Roman" w:hAnsi="Times New Roman" w:cs="Times New Roman"/>
          <w:i/>
          <w:iCs/>
          <w:sz w:val="20"/>
          <w:szCs w:val="20"/>
        </w:rPr>
        <w:t>adatfeldolgozó:</w:t>
      </w:r>
      <w:r>
        <w:rPr>
          <w:rFonts w:ascii="Times New Roman" w:hAnsi="Times New Roman" w:cs="Times New Roman"/>
          <w:sz w:val="20"/>
          <w:szCs w:val="20"/>
        </w:rPr>
        <w:t xml:space="preserve"> az a természetes vagy jogi személy, illetve jogi személyiséggel nem rendelkező szervezet, aki vagy amely az adatkezelő megbízásából – beleértve a jogszabály rendelkezése alapján történő megbízást is – személyes adatok feldolgozását végzi;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17. </w:t>
      </w:r>
      <w:r>
        <w:rPr>
          <w:rFonts w:ascii="Times New Roman" w:hAnsi="Times New Roman" w:cs="Times New Roman"/>
          <w:i/>
          <w:iCs/>
          <w:sz w:val="20"/>
          <w:szCs w:val="20"/>
        </w:rPr>
        <w:t>személyesadat-nyilvántartó rendszer (nyilvántartó rendszer):</w:t>
      </w:r>
      <w:r>
        <w:rPr>
          <w:rFonts w:ascii="Times New Roman" w:hAnsi="Times New Roman" w:cs="Times New Roman"/>
          <w:sz w:val="20"/>
          <w:szCs w:val="20"/>
        </w:rPr>
        <w:t xml:space="preserve"> személyes adatok bármely strukturált, funkcionálisan vagy földrajzilag centralizált, decentralizált vagy szétszórt állománya, amely meghatározott ismérvek alapján hozzáférhető;</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18. </w:t>
      </w:r>
      <w:r>
        <w:rPr>
          <w:rFonts w:ascii="Times New Roman" w:hAnsi="Times New Roman" w:cs="Times New Roman"/>
          <w:i/>
          <w:iCs/>
          <w:sz w:val="20"/>
          <w:szCs w:val="20"/>
        </w:rPr>
        <w:t>adatállomány:</w:t>
      </w:r>
      <w:r>
        <w:rPr>
          <w:rFonts w:ascii="Times New Roman" w:hAnsi="Times New Roman" w:cs="Times New Roman"/>
          <w:sz w:val="20"/>
          <w:szCs w:val="20"/>
        </w:rPr>
        <w:t xml:space="preserve"> az egy nyilvántartó rendszerben kezelt adatok összessége;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19. </w:t>
      </w:r>
      <w:r>
        <w:rPr>
          <w:rFonts w:ascii="Times New Roman" w:hAnsi="Times New Roman" w:cs="Times New Roman"/>
          <w:i/>
          <w:iCs/>
          <w:sz w:val="20"/>
          <w:szCs w:val="20"/>
        </w:rPr>
        <w:t>harmadik személy:</w:t>
      </w:r>
      <w:r>
        <w:rPr>
          <w:rFonts w:ascii="Times New Roman" w:hAnsi="Times New Roman" w:cs="Times New Roman"/>
          <w:sz w:val="20"/>
          <w:szCs w:val="20"/>
        </w:rPr>
        <w:t xml:space="preserve"> olyan természetes vagy jogi személy, illetve jogi személyiséggel nem rendelkező szervezet, amely vagy aki nem azonos az érintettel, az adatkezelővel vagy az adatfeldolgozóval;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w:t>
      </w:r>
      <w:r>
        <w:rPr>
          <w:rFonts w:ascii="Times New Roman" w:hAnsi="Times New Roman" w:cs="Times New Roman"/>
          <w:sz w:val="20"/>
          <w:szCs w:val="20"/>
          <w:vertAlign w:val="superscript"/>
        </w:rPr>
        <w:footnoteReference w:id="8"/>
      </w:r>
      <w:r>
        <w:rPr>
          <w:rFonts w:ascii="Times New Roman" w:hAnsi="Times New Roman" w:cs="Times New Roman"/>
          <w:sz w:val="20"/>
          <w:szCs w:val="20"/>
        </w:rPr>
        <w:t xml:space="preserve"> EGT-állam: az Európai Unió tagállama és az Európai Gazdasági Térségről szóló megállapodásban részes más állam, továbbá az az állam, amelynek állampolgára az Európai Közösség és tagállamai, valamint az Európai Gazdasági Térségről szóló megállapodásban nem részes állam között létrejött nemzetközi szerződés alapján az Európai Gazdasági Térségről szóló megállapodásban részes állam állampolgárával azonos jogállást élvez,</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vertAlign w:val="superscript"/>
        </w:rPr>
        <w:footnoteReference w:id="9"/>
      </w:r>
      <w:r>
        <w:rPr>
          <w:rFonts w:ascii="Times New Roman" w:hAnsi="Times New Roman" w:cs="Times New Roman"/>
          <w:sz w:val="20"/>
          <w:szCs w:val="20"/>
        </w:rPr>
        <w:t xml:space="preserve"> harmadik ország: minden olyan állam, amely nem EGT-állam.</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SZEMÉLYES ADATOK VÉDELME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Adatkezelés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Személyes adat akkor kezelhető, ha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ahhoz az érintett hozzájárul, vagy</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azt törvény vagy — törvény felhatalmazása alapján, az abban meghatározott körben — helyi önkormányzat rendelete elrendeli.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Különleges adat akkor kezelhető, ha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adatkezeléshez az érintett írásban hozzájárul, vagy</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 § 2. </w:t>
      </w:r>
      <w:r>
        <w:rPr>
          <w:rFonts w:ascii="Times New Roman" w:hAnsi="Times New Roman" w:cs="Times New Roman"/>
          <w:i/>
          <w:iCs/>
          <w:sz w:val="20"/>
          <w:szCs w:val="20"/>
        </w:rPr>
        <w:t>a)</w:t>
      </w:r>
      <w:r>
        <w:rPr>
          <w:rFonts w:ascii="Times New Roman" w:hAnsi="Times New Roman" w:cs="Times New Roman"/>
          <w:sz w:val="20"/>
          <w:szCs w:val="20"/>
        </w:rPr>
        <w:t xml:space="preserve"> pontjában foglalt adatok esetében, az nemzetközi egyezményen alapul, vagy Alkotmányban biztosított alapvető jog érvényesítése, továbbá a nemzetbiztonság, a bűnmegelőzés vagy a bűnüldözés érdekében törvény elrendeli;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egyéb esetekben azt törvény elrendeli.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0"/>
      </w:r>
      <w:r>
        <w:rPr>
          <w:rFonts w:ascii="Times New Roman" w:hAnsi="Times New Roman" w:cs="Times New Roman"/>
          <w:sz w:val="20"/>
          <w:szCs w:val="20"/>
        </w:rPr>
        <w:t xml:space="preserve"> Kötelező adatkezelés esetén az adatkezelés célját és feltételeit, a kezelendő adatok körét és megismerhetőségét, az adatkezelés időtartamát, valamint az adatkezelő személyét az adatkezelést elrendelő törvény vagy önkormányzati rendelet határozza meg.</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1"/>
      </w:r>
      <w:r>
        <w:rPr>
          <w:rFonts w:ascii="Times New Roman" w:hAnsi="Times New Roman" w:cs="Times New Roman"/>
          <w:sz w:val="20"/>
          <w:szCs w:val="20"/>
        </w:rPr>
        <w:t xml:space="preserve"> Törvény közérdekből — az adatok körének kifejezett megjelölésével — elrendelheti a személyes adat nyilvánosságra hozatalát. Minden egyéb esetben a nyilvánosságra hozatalhoz az érintett hozzájárulása, különleges adat esetében írásbeli hozzájárulása szükséges. Kétség esetén azt kell vélelmezni, hogy az érintett a hozzájárulását nem adta meg.</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2"/>
      </w:r>
      <w:r>
        <w:rPr>
          <w:rFonts w:ascii="Times New Roman" w:hAnsi="Times New Roman" w:cs="Times New Roman"/>
          <w:sz w:val="20"/>
          <w:szCs w:val="20"/>
        </w:rPr>
        <w:t xml:space="preserve"> Az érintett hozzájárulását megadottnak kell tekinteni az érintett közszereplése során általa közölt vagy a nyilvánosságra hozatal céljából általa átadott adatok tekintetében.</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3"/>
      </w:r>
      <w:r>
        <w:rPr>
          <w:rFonts w:ascii="Times New Roman" w:hAnsi="Times New Roman" w:cs="Times New Roman"/>
          <w:sz w:val="20"/>
          <w:szCs w:val="20"/>
        </w:rPr>
        <w:t xml:space="preserve"> Az érintett kérelmére indult eljárásban a szükséges adatainak kezeléséhez való hozzájárulását vélelmezni kell. Erre a tényre az érintett figyelmét fel kell hívni.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4"/>
      </w:r>
      <w:r>
        <w:rPr>
          <w:rFonts w:ascii="Times New Roman" w:hAnsi="Times New Roman" w:cs="Times New Roman"/>
          <w:sz w:val="20"/>
          <w:szCs w:val="20"/>
        </w:rPr>
        <w:t xml:space="preserve"> Az érintett a hozzájárulását az adatkezelővel írásban kötött szerződés keretében is megadhatja a szerződésben foglaltak teljesítése céljából. Ebben az esetben a szerződésnek tartalmaznia kell minden olyan információt, amelyet a személyes adatok kezelése szempontjából – e törvény alapján – az érintettnek ismernie kell, így különösen a kezelendő adatok meghatározását, az adatkezelés időtartamát, a felhasználás célját, az adatok továbbítását, adatfeldolgozó igénybevételét. A szerződésnek félreérthetetlen módon tartalmaznia kell, hogy az érintett aláírásával hozzájárul adatainak a szerződésben meghatározottak szerinti kezeléséhez.</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15"/>
      </w:r>
      <w:r>
        <w:rPr>
          <w:rFonts w:ascii="Times New Roman" w:hAnsi="Times New Roman" w:cs="Times New Roman"/>
          <w:sz w:val="20"/>
          <w:szCs w:val="20"/>
        </w:rPr>
        <w:t xml:space="preserve"> Ha az érintett fizikai okból vagy cselekvőképtelensége folytán nem képes hozzájárulását adni adatai kezeléséhez, akkor a saját vagy más személy létfontosságú érdekeinek védelméhez, valamint katasztrófa- vagy szükséghelyzet elhárításához vagy megelőzéséhez szükséges mértékben sor kerülhet személyes adatainak, beleértve különleges adatait is, kezelésére.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A személyes adatok védelméhez fűződő jogot és az érintett személyiségi jogait — ha törvény kivételt nem tesz — az adatkezeléshez fűződő más érdekek, ideértve a közérdekű adatok nyilvánosságát (19. §) is, nem sérthetik.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Adatfeldolgozás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4/A. §</w:t>
      </w:r>
      <w:r>
        <w:rPr>
          <w:rFonts w:ascii="Times New Roman" w:hAnsi="Times New Roman" w:cs="Times New Roman"/>
          <w:b/>
          <w:bCs/>
          <w:sz w:val="20"/>
          <w:szCs w:val="20"/>
          <w:vertAlign w:val="superscript"/>
        </w:rPr>
        <w:footnoteReference w:id="16"/>
      </w:r>
      <w:r>
        <w:rPr>
          <w:rFonts w:ascii="Times New Roman" w:hAnsi="Times New Roman" w:cs="Times New Roman"/>
          <w:sz w:val="20"/>
          <w:szCs w:val="20"/>
        </w:rPr>
        <w:t xml:space="preserve"> (1) Az adatfeldolgozónak a személyes adatok feldolgozásával kapcsolatos jogait és kötelezettségeit e törvény, valamint az adatkezelésre vonatkozó külön törvények keretei között az adatkezelő határozza meg. Az adatkezelési műveletekre vonatkozó utasítások jogszerűségéért az adatkezelő felel.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adatfeldolgozó tevékenységi körén belül, illetőleg az adatkezelő által meghatározott keretek között felelős a személyes adatok feldolgozásáért, megváltoztatásáért, törléséért, továbbításáért és nyilvánosságra hozataláért. Az adatfeldolgozó tevékenységének ellátása során más adatfeldolgozót nem vehet igénybe.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7"/>
      </w:r>
      <w:r>
        <w:rPr>
          <w:rFonts w:ascii="Times New Roman" w:hAnsi="Times New Roman" w:cs="Times New Roman"/>
          <w:sz w:val="20"/>
          <w:szCs w:val="20"/>
        </w:rPr>
        <w:t xml:space="preserve"> Az adatfeldolgozó az adatkezelést érintő érdemi döntést nem hozhat, a tudomására jutott személyes adatokat kizárólag az adatkezelő rendelkezései szerint dolgozhatja fel, saját céljára adatfeldolgozást nem végezhet, továbbá a személyes adatokat az adatkezelő rendelkezései szerint köteles tárolni és megőrizni.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8"/>
      </w:r>
      <w:r>
        <w:rPr>
          <w:rFonts w:ascii="Times New Roman" w:hAnsi="Times New Roman" w:cs="Times New Roman"/>
          <w:sz w:val="20"/>
          <w:szCs w:val="20"/>
        </w:rPr>
        <w:t xml:space="preserve"> Az adatfeldolgozásra vonatkozó megbízási szerződést írásba kell foglalni. Az adatfeldolgozásra nem adható megbízás olyan vállalkozásnak, amely a feldolgozandó személyes adatokat felhasználó üzleti tevékenységben érdekelt.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9"/>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0"/>
      </w:r>
      <w:r>
        <w:rPr>
          <w:rFonts w:ascii="Times New Roman" w:hAnsi="Times New Roman" w:cs="Times New Roman"/>
          <w:sz w:val="20"/>
          <w:szCs w:val="20"/>
        </w:rPr>
        <w:t xml:space="preserve"> E törvényben foglaltakat kell alkalmazni, ha az Európai Unió területén kívül személyes adatok kezelését folytató adatkezelő az adatfeldolgozással a Magyar Köztársaság területén székhellyel, telephellyel (fiókteleppel) vagy lakóhellyel (tartózkodási hellyel) rendelkező adatfeldolgozót bíz meg, vagy itt lévő eszközt használ fel, kivéve, ha ez az eszköz csak az Európai Unió területén átmenő adatforgalom célját szolgálja. Az ilyen adatkezelőnek ki kell jelölnie egy képviselőt a Magyar Köztársaság területén.</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adatkezelés célhoz kötöttsége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Személyes adatot kezelni csak meghatározott célból, jog gyakorlása és kötelezettség teljesítése érdekében lehet. Az adatkezelésnek minden szakaszában meg kell felelnie e célnak.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Csak olyan személyes adat kezelhető, amely az adatkezelés céljának megvalósulásához elengedhetetlen, a cél elérésére alkalmas, csak a cél megvalósulásához szükséges mértékben és ideig.</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Kötelező adatszolgáltatáson alapuló adatkezelést közérdekből lehet elrendelni.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1"/>
      </w:r>
      <w:r>
        <w:rPr>
          <w:rFonts w:ascii="Times New Roman" w:hAnsi="Times New Roman" w:cs="Times New Roman"/>
          <w:sz w:val="20"/>
          <w:szCs w:val="20"/>
        </w:rPr>
        <w:t xml:space="preserve"> A személyes adatot – akár az érintett hozzájárulásával, akár jogszabály alapján – különösen akkor lehet kezelni, ha ez közérdekű feladat vagy az adatkezelő törvényi kötelezettségének teljesítéséhez, az adatkezelő vagy az adatátvevő harmadik személy hivatalos feladatának gyakorlásához, az érintett létfontosságú érdekeinek védelméhez, az érintett és az adatkezelő között létrejött szerződés teljesítéséhez, az adatkezelő vagy harmadik személy jogos érdekének érvényesítéséhez, társadalmi szervezetek jogszerű működéséhez szükséges.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2"/>
      </w:r>
      <w:r>
        <w:rPr>
          <w:rFonts w:ascii="Times New Roman" w:hAnsi="Times New Roman" w:cs="Times New Roman"/>
          <w:sz w:val="20"/>
          <w:szCs w:val="20"/>
        </w:rPr>
        <w:t xml:space="preserve"> Kizárólag állami vagy önkormányzati szerv kezelheti az állam bűnüldözési és bűnmegelőzési, valamint közigazgatási és igazságszolgáltatási feladatainak ellátása céljából kezelt bűnügyi személyes adatokat, illetve a szabálysértési, a polgári peres és nemperes ügyekre vonatkozó adatokat tartalmazó adatállományokat.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Az érintettel az adat felvétele előtt közölni kell, hogy az adatszolgáltatás önkéntes vagy kötelező. Kötelező adatszolgáltatás esetén meg kell jelölni az adatkezelést elrendelő jogszabályt is.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3"/>
      </w:r>
      <w:r>
        <w:rPr>
          <w:rFonts w:ascii="Times New Roman" w:hAnsi="Times New Roman" w:cs="Times New Roman"/>
          <w:sz w:val="20"/>
          <w:szCs w:val="20"/>
        </w:rPr>
        <w:t xml:space="preserve"> Az érintettet – egyértelműen és részletesen – tájékoztatni kell az adatai kezelésével kapcsolatos minden tényről, így különösen az adatkezelés céljáról és jogalapjáról, az adatkezelésre és az adatfeldolgozásra jogosult személyéről, az adatkezelés időtartamáról, illetve arról, hogy kik ismerhetik meg az adatokat. A tájékoztatásnak ki kell terjednie az érintett adatkezeléssel kapcsolatos jogaira és jogorvoslati lehetőségeire is.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4"/>
      </w:r>
      <w:r>
        <w:rPr>
          <w:rFonts w:ascii="Times New Roman" w:hAnsi="Times New Roman" w:cs="Times New Roman"/>
          <w:sz w:val="20"/>
          <w:szCs w:val="20"/>
        </w:rPr>
        <w:t xml:space="preserve"> Az adatkezelésről való tájékoztatás megtörténik azzal is, hogy jogszabály rendelkezik a már létező adatkezelésből továbbítással vagy összekapcsolással az adat felvételéről.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5"/>
      </w:r>
      <w:r>
        <w:rPr>
          <w:rFonts w:ascii="Times New Roman" w:hAnsi="Times New Roman" w:cs="Times New Roman"/>
          <w:sz w:val="20"/>
          <w:szCs w:val="20"/>
        </w:rPr>
        <w:t xml:space="preserve"> A tájékoztatás – különösen statisztikai vagy tudományos (ideértve a történelmi kutatásokat is) célú adatkezelés esetén – megtörténhet az adatgyűjtés tényének, az érintettek körének, az adatgyűjtés céljának, az adatkezelés időtartamának és az adatok megismerhetőségének mindenki számára hozzáférhető módon történő nyilvánosságra hozatalával, ha az egyénre szóló tájékoztatás lehetetlen vagy aránytalan költséggel járna.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adatok minősége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A kezelt személyes adatoknak meg kell felelniük az alábbi követelményeknek: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felvételük és kezelésük tisztességes és törvényes;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pontosak, teljesek és ha szükséges időszerűek;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tárolásuk módja alkalmas arra, hogy az érintettet csak a tárolás céljához szükséges ideig lehessen azonosítani.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Korlátozás nélkül használható, általános és egységes személyazonosító jel alkalmazása tilos.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Adattovábbítás, az adatkezelések összekapcsolása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6"/>
      </w:r>
      <w:r>
        <w:rPr>
          <w:rFonts w:ascii="Times New Roman" w:hAnsi="Times New Roman" w:cs="Times New Roman"/>
          <w:sz w:val="20"/>
          <w:szCs w:val="20"/>
        </w:rPr>
        <w:t xml:space="preserve"> A személyes adatok akkor továbbíthatók, valamint a különböző adatkezelések akkor kapcsolhatók össze, ha az érintett ahhoz hozzájárult, vagy törvény azt megengedi, és ha az adatkezelés feltételei minden egyes személyes adatra nézve teljesülnek.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bekezdést kell alkalmazni az ugyanazon adatkezelő, valamint az állami és az önkormányzati szervek által kezelt adatok összekapcsolására is.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Adattovábbítás külföldre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b/>
          <w:bCs/>
          <w:sz w:val="20"/>
          <w:szCs w:val="20"/>
          <w:vertAlign w:val="superscript"/>
        </w:rPr>
        <w:footnoteReference w:id="27"/>
      </w:r>
      <w:r>
        <w:rPr>
          <w:rFonts w:ascii="Times New Roman" w:hAnsi="Times New Roman" w:cs="Times New Roman"/>
          <w:sz w:val="20"/>
          <w:szCs w:val="20"/>
        </w:rPr>
        <w:t xml:space="preserve"> (1) Személyes adat (beleértve a különleges adatot is) az országból – az adathordozótól vagy az adatátvitel módjától függetlenül – harmadik országban lévő adatkezelő vagy adatfeldolgozó részére akkor továbbítható, ha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ahhoz az érintett kifejezetten hozzájárult, vagy</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azt törvény lehetővé teszi, és a harmadik országban az átadott adatok kezelése, illetőleg feldolgozása során biztosított a személyes adatok megfelelő szintű védelme.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személyes adatok megfelelő szintű védelme akkor biztosított, ha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Európai Közösségek Bizottsága – külön törvényben meghatározott jogi aktus</w:t>
      </w:r>
      <w:r>
        <w:rPr>
          <w:rFonts w:ascii="Times New Roman" w:hAnsi="Times New Roman" w:cs="Times New Roman"/>
          <w:sz w:val="20"/>
          <w:szCs w:val="20"/>
          <w:vertAlign w:val="superscript"/>
        </w:rPr>
        <w:footnoteReference w:id="28"/>
      </w:r>
      <w:r>
        <w:rPr>
          <w:rFonts w:ascii="Times New Roman" w:hAnsi="Times New Roman" w:cs="Times New Roman"/>
          <w:sz w:val="20"/>
          <w:szCs w:val="20"/>
        </w:rPr>
        <w:t xml:space="preserve"> alapján – megállapítja, hogy a harmadik ország megfelelő szintű védelmet nyújt,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harmadik ország és a Magyar Köztársaság között az érintetteknek a 11. § szerinti jogai érvényesítésére, a jogorvoslati jog biztosítására, valamint az adatkezelés, illetve az adatfeldolgozás független ellenőrzésére vonatkozó garanciális szabályokat tartalmazó nemzetközi szerződés van hatályban, vagy</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harmadik országbeli adatkezelő vagy adatfeldolgozó az adatkezelés vagy adatfeldolgozás szabályainak ismertetésével igazolja, hogy az adatkezelés vagy adatfeldolgozás során megfelelő szinten biztosítja a személyes adatok védelmét, az érintettek jogait és azok érvényesítését, különösen, ha az adatkezelést vagy az adatfeldolgozást az Európai Unió Bizottsága külön törvényben meghatározott jogi aktusának</w:t>
      </w:r>
      <w:r>
        <w:rPr>
          <w:rFonts w:ascii="Times New Roman" w:hAnsi="Times New Roman" w:cs="Times New Roman"/>
          <w:sz w:val="20"/>
          <w:szCs w:val="20"/>
          <w:vertAlign w:val="superscript"/>
        </w:rPr>
        <w:footnoteReference w:id="29"/>
      </w:r>
      <w:r>
        <w:rPr>
          <w:rFonts w:ascii="Times New Roman" w:hAnsi="Times New Roman" w:cs="Times New Roman"/>
          <w:sz w:val="20"/>
          <w:szCs w:val="20"/>
        </w:rPr>
        <w:t xml:space="preserve"> megfelelően végzi.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0"/>
      </w:r>
      <w:r>
        <w:rPr>
          <w:rFonts w:ascii="Times New Roman" w:hAnsi="Times New Roman" w:cs="Times New Roman"/>
          <w:sz w:val="20"/>
          <w:szCs w:val="20"/>
        </w:rPr>
        <w:t xml:space="preserve"> Személyes adatok a nemzetközi jogsegélyről, valamint a kettős adóztatás elkerüléséről szóló nemzetközi szerződés végrehajtása érdekében, a nemzetközi szerződésben meghatározott célból, feltételekkel és adatkörben – a (2) bekezdésben meghatározott feltételek hiányában is – továbbíthatók harmadik országba.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1"/>
      </w:r>
      <w:r>
        <w:rPr>
          <w:rFonts w:ascii="Times New Roman" w:hAnsi="Times New Roman" w:cs="Times New Roman"/>
          <w:sz w:val="20"/>
          <w:szCs w:val="20"/>
        </w:rPr>
        <w:t xml:space="preserve"> Az EGT-államokba irányuló adattovábbítást úgy kell tekinteni, mintha a Magyar Köztársaság területén belüli adattovábbításra kerülne sor.</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Automatizált egyedi döntés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9/A. §</w:t>
      </w:r>
      <w:r>
        <w:rPr>
          <w:rFonts w:ascii="Times New Roman" w:hAnsi="Times New Roman" w:cs="Times New Roman"/>
          <w:b/>
          <w:bCs/>
          <w:sz w:val="20"/>
          <w:szCs w:val="20"/>
          <w:vertAlign w:val="superscript"/>
        </w:rPr>
        <w:footnoteReference w:id="32"/>
      </w:r>
      <w:r>
        <w:rPr>
          <w:rFonts w:ascii="Times New Roman" w:hAnsi="Times New Roman" w:cs="Times New Roman"/>
          <w:sz w:val="20"/>
          <w:szCs w:val="20"/>
        </w:rPr>
        <w:t xml:space="preserve"> (1) Kizárólag számítástechnikai eszközzel végrehajtott automatizált adatfeldolgozással az érintett személyes jellemzőinek értékelésére csak akkor kerülhet sor, ha ahhoz kifejezetten hozzájárult, vagy azt törvény lehetővé teszi. Az érintettnek álláspontja kifejtésére lehetőséget kell biztosítani.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automatizált adatfeldolgozás esetén az érintettet – kérelmére – tájékoztatni kell az alkalmazott matematikai módszerről és annak lényegéről.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Adatbiztonság</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b/>
          <w:bCs/>
          <w:sz w:val="20"/>
          <w:szCs w:val="20"/>
          <w:vertAlign w:val="superscript"/>
        </w:rPr>
        <w:footnoteReference w:id="33"/>
      </w:r>
      <w:r>
        <w:rPr>
          <w:rFonts w:ascii="Times New Roman" w:hAnsi="Times New Roman" w:cs="Times New Roman"/>
          <w:sz w:val="20"/>
          <w:szCs w:val="20"/>
        </w:rPr>
        <w:t xml:space="preserve"> (1) Az adatkezelő, illetőleg tevékenységi körében az adatfeldolgozó köteles gondoskodni az adatok biztonságáról, köteles továbbá megtenni azokat a technikai és szervezési intézkedéseket és kialakítani azokat az eljárási szabályokat, amelyek e törvény, valamint az egyéb adat- és titokvédelmi szabályok érvényre juttatásához szükségesek.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4"/>
      </w:r>
      <w:r>
        <w:rPr>
          <w:rFonts w:ascii="Times New Roman" w:hAnsi="Times New Roman" w:cs="Times New Roman"/>
          <w:sz w:val="20"/>
          <w:szCs w:val="20"/>
        </w:rPr>
        <w:t xml:space="preserve"> Az adatokat védeni kell különösen a jogosulatlan hozzáférés, megváltoztatás, továbbítás, nyilvánosságra hozatal, törlés vagy megsemmisítés, valamint a véletlen megsemmisülés és sérülés ellen. A személyes adatok technikai védelmének biztosítása érdekében külön védelmi intézkedéseket kell tennie az adatkezelőnek, az adatfeldolgozónak, illetőleg a távközlési vagy informatikai eszköz üzemeltetőjének, ha a személyes adatok továbbítása hálózaton vagy egyéb informatikai eszköz útján történik.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érintettek jogai és érvényesítésük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Az érintett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tájékoztatást kérhet személyes adatai kezeléséről (12. és 13. §), valamint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kérheti személyes adatainak helyesbítését, illetve — a jogszabályban elrendelt adatkezelések kivételével — törlését (14—16. §).</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adatvédelmi nyilvántartásba [28. § (1) bek.] bárki betekinthet, az abban foglaltakról feljegyzést készíthet és kivonatot kérhet. A kivonatért díjat kell fizetni.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5"/>
      </w:r>
      <w:r>
        <w:rPr>
          <w:rFonts w:ascii="Times New Roman" w:hAnsi="Times New Roman" w:cs="Times New Roman"/>
          <w:sz w:val="20"/>
          <w:szCs w:val="20"/>
        </w:rPr>
        <w:t xml:space="preserve"> Az érintett kérelmére az adatkezelő tájékoztatást ad az általa kezelt, illetőleg az általa megbízott feldolgozó által feldolgozott adatairól, az adatkezelés céljáról, jogalapjáról időtartamáról, az adatfeldolgozó nevéről, címéről (székhelyéről) és az adatkezeléssel összefüggő tevékenységéről, továbbá arról, hogy kik és milyen célból kapják vagy kapták meg az adatokat. Az adattovábbításra vonatkozó nyilvántartás – és ennek alapján a tájékoztatási kötelezettség – időtartamát az adatkezelést szabályozó jogszabály korlátozhatja. A korlátozás időtartama személyes adatok esetében öt évnél, különleges adatok esetében pedig húsz évnél rövidebb nem lehet.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adatkezelő köteles a kérelem benyújtásától számított legrövidebb idő alatt, legfeljebb azonban 30 napon belül írásban, közérthető formában megadni a tájékoztatást.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foglalt tájékoztatás ingyenes, ha a tájékoztatást kérő a folyó évben azonos területre vonatkozó tájékoztatási kérelmet az adatkezelőhöz még nem nyújtott be. Egyéb esetekben költségtérítés állapítható meg. A már megfizetett költségtérítést vissza kell téríteni, ha az adatokat jogellenesen kezelték, vagy a tájékoztatás kérése helyesbítéshez vezetett.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Az érintett tájékoztatását az adatkezelő csak akkor tagadhatja meg, ha azt a 16. §-ban meghatározott esetekben a törvény lehetővé teszi.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adatkezelő köteles az érintettel a felvilágosítás megtagadásának indokát közölni.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elutasított kérelmekről az adatkezelő az adatvédelmi biztost évente értesíti.</w:t>
      </w:r>
      <w:r>
        <w:rPr>
          <w:rFonts w:ascii="Times New Roman" w:hAnsi="Times New Roman" w:cs="Times New Roman"/>
          <w:sz w:val="20"/>
          <w:szCs w:val="20"/>
          <w:vertAlign w:val="superscript"/>
        </w:rPr>
        <w:footnoteReference w:id="36"/>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7"/>
      </w:r>
      <w:r>
        <w:rPr>
          <w:rFonts w:ascii="Times New Roman" w:hAnsi="Times New Roman" w:cs="Times New Roman"/>
          <w:sz w:val="20"/>
          <w:szCs w:val="20"/>
        </w:rPr>
        <w:t xml:space="preserve"> A valóságnak meg nem felelő személyes adatot az adatkezelő helyesbíteni köteles.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személyes adatot törölni kell, ha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kezelése jogellenes;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érintett — a 11. §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 szerint — kéri;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38"/>
      </w:r>
      <w:r>
        <w:rPr>
          <w:rFonts w:ascii="Times New Roman" w:hAnsi="Times New Roman" w:cs="Times New Roman"/>
          <w:sz w:val="20"/>
          <w:szCs w:val="20"/>
        </w:rPr>
        <w:t xml:space="preserve"> az hiányos vagy téves – és ez az állapot jogszerűen nem korrigálható –, feltéve, hogy a törlést törvény nem zárja ki;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39"/>
      </w:r>
      <w:r>
        <w:rPr>
          <w:rFonts w:ascii="Times New Roman" w:hAnsi="Times New Roman" w:cs="Times New Roman"/>
          <w:sz w:val="20"/>
          <w:szCs w:val="20"/>
        </w:rPr>
        <w:t xml:space="preserve"> az adatkezelés célja megszűnt, vagy az adatok tárolásának törvényben meghatározott határideje lejárt;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40"/>
      </w:r>
      <w:r>
        <w:rPr>
          <w:rFonts w:ascii="Times New Roman" w:hAnsi="Times New Roman" w:cs="Times New Roman"/>
          <w:sz w:val="20"/>
          <w:szCs w:val="20"/>
        </w:rPr>
        <w:t xml:space="preserve"> azt a bíróság vagy az adatvédelmi biztos elrendelte.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törlési kötelezettség — jogellenes adatkezelés kivételével — nem vonatkozik azon személyes adatra, amelynek adathordozóját a levéltári anyag védelmére vonatkozó jogszabály</w:t>
      </w:r>
      <w:r>
        <w:rPr>
          <w:rFonts w:ascii="Times New Roman" w:hAnsi="Times New Roman" w:cs="Times New Roman"/>
          <w:sz w:val="20"/>
          <w:szCs w:val="20"/>
          <w:vertAlign w:val="superscript"/>
        </w:rPr>
        <w:footnoteReference w:id="41"/>
      </w:r>
      <w:r>
        <w:rPr>
          <w:rFonts w:ascii="Times New Roman" w:hAnsi="Times New Roman" w:cs="Times New Roman"/>
          <w:sz w:val="20"/>
          <w:szCs w:val="20"/>
        </w:rPr>
        <w:t xml:space="preserve"> értelmében levéltári őrizetbe kell adni.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A helyesbítésről és a törlésről az érintettet, továbbá mindazokat értesíteni kell, akiknek korábban az adatot adatkezelés céljára továbbították. Az értesítés mellőzhető, ha ez az adatkezelés céljára való tekintettel az érintett jogos érdekét nem sérti.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b/>
          <w:bCs/>
          <w:sz w:val="20"/>
          <w:szCs w:val="20"/>
          <w:vertAlign w:val="superscript"/>
        </w:rPr>
        <w:footnoteReference w:id="42"/>
      </w:r>
      <w:r>
        <w:rPr>
          <w:rFonts w:ascii="Times New Roman" w:hAnsi="Times New Roman" w:cs="Times New Roman"/>
          <w:sz w:val="20"/>
          <w:szCs w:val="20"/>
        </w:rPr>
        <w:t xml:space="preserve"> Az érintett jogait (11–15. §) törvény korlátozhatja az állam külső és belső biztonsága, így a honvédelem, a nemzetbiztonság, a bűnmegelőzés vagy a bűnüldözés érdekében, továbbá állami vagy önkormányzati gazdasági vagy pénzügyi érdekből, illetve az Európai Unió jelentős gazdasági vagy pénzügyi érdekéből, valamint a foglalkozások gyakorlásával összefüggő fegyelmi és etikai vétségek, a munkajogi és munkavédelmi kötelezettségszegések megelőzése és feltárása céljából – beleértve minden esetben az ellenőrzést és a felügyeletet is –, továbbá az érintett vagy mások jogainak védelme érdekében.</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Tiltakozási jog</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16/A. §</w:t>
      </w:r>
      <w:r>
        <w:rPr>
          <w:rFonts w:ascii="Times New Roman" w:hAnsi="Times New Roman" w:cs="Times New Roman"/>
          <w:b/>
          <w:bCs/>
          <w:sz w:val="20"/>
          <w:szCs w:val="20"/>
          <w:vertAlign w:val="superscript"/>
        </w:rPr>
        <w:footnoteReference w:id="43"/>
      </w:r>
      <w:r>
        <w:rPr>
          <w:rFonts w:ascii="Times New Roman" w:hAnsi="Times New Roman" w:cs="Times New Roman"/>
          <w:sz w:val="20"/>
          <w:szCs w:val="20"/>
        </w:rPr>
        <w:t xml:space="preserve"> (1) Az érintett tiltakozhat személyes adatának kezelése ellen, ha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személyes adatok kezelése (továbbítása) kizárólag az adatkezelő vagy az adatátvevő jogának vagy jogos érdekének érvényesítéséhez szükséges, kivéve, ha az adatkezelést törvény rendelte el;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személyes adat felhasználása vagy továbbítása közvetlen üzletszerzés, közvélemény-kutatás vagy tudományos kutatás céljára történik;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tiltakozás jogának gyakorlását egyébként törvény lehetővé teszi.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adatkezelő – az adatkezelés egyidejű felfüggesztésével – a tiltakozást köteles a kérelem benyújtásától számított legrövidebb időn belül, de legfeljebb 15 nap alatt megvizsgálni, és annak eredményéről a kérelmezőt írásban tájékoztatni. Amennyiben a tiltakozás indokolt, az adatkezelő köteles az adatkezelést – beleértve a további adatfelvételt és adattovábbítást is – megszüntetni és az adatokat zárolni, valamint a tiltakozásról, illetőleg az annak alapján tett intézkedésekről értesíteni mindazokat, akik részére a tiltakozással érintett személyes adatot korábban továbbította, és akik kötelesek intézkedni a tiltakozási jog érvényesítése érdekében.</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az érintett az adatkezelőnek a (2) bekezdés alapján meghozott döntésével nem ért egyet, az ellen – annak közlésétől számított 30 napon belül – e törvény szerint bírósághoz fordulhat.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adatátvevő törvényes jogának érvényesítéséhez szükséges adatokat az érintett tiltakozása miatt nem kapja meg, a (2) bekezdés alapján történő értesítés közlésétől számított 15 napon belül, az adatokhoz való hozzájutás érdekében – e törvény szerint – bírósághoz fordulhat az adatkezelő ellen. Az adatkezelő az érintettet is perbe hívhatja.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bíróság az adatátvevő kérelmét elutasítja, az adatkezelő köteles az érintett személyes adatát az ítélet közlésétől számított 3 napon belül törölni. Az adatkezelő köteles az adatokat akkor is törölni, ha az adatátvevő a (4) bekezdésben meghatározott határidőn belül nem fordul bírósághoz.</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adatkezelő az érintett adatát nem törölheti, ha az adatkezelést törvény rendelte el. Az adat azonban nem továbbítható az adatátvevő részére, ha az adatkezelő egyetértett a tiltakozással, illetőleg a bíróság a tiltakozás jogosságát megállapította.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Bírósági jogérvényesítés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4"/>
      </w:r>
      <w:r>
        <w:rPr>
          <w:rFonts w:ascii="Times New Roman" w:hAnsi="Times New Roman" w:cs="Times New Roman"/>
          <w:sz w:val="20"/>
          <w:szCs w:val="20"/>
        </w:rPr>
        <w:t xml:space="preserve"> Az érintett a jogainak megsértése esetén, valamint a 16/A. § (4) bekezdésében meghatározott személy, az adatkezelő ellen bírósághoz fordulhat. A bíróság az ügyben soron kívül jár el.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Azt, hogy az adatkezelés a jogszabályban foglaltaknak megfelel, az adatkezelő köteles bizonyítani.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5"/>
      </w:r>
      <w:r>
        <w:rPr>
          <w:rFonts w:ascii="Times New Roman" w:hAnsi="Times New Roman" w:cs="Times New Roman"/>
          <w:sz w:val="20"/>
          <w:szCs w:val="20"/>
        </w:rPr>
        <w:t xml:space="preserve"> A perre az adatkezelő székhelye (lakóhelye) szerinti bíróság az illetékes. A per – az érintett választása szerint – az érintett lakóhelye (tartózkodási helye) szerinti bíróság előtt is megindítható. A perben fél lehet az is, akinek egyébként nincs perbeli jogképessége.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6"/>
      </w:r>
      <w:r>
        <w:rPr>
          <w:rFonts w:ascii="Times New Roman" w:hAnsi="Times New Roman" w:cs="Times New Roman"/>
          <w:sz w:val="20"/>
          <w:szCs w:val="20"/>
        </w:rPr>
        <w:t xml:space="preserve"> Ha a bíróság a kérelemnek helyt ad, az adatkezelőt a tájékoztatás megadására, az adat helyesbítésére, törlésére, az automatizált egyedi döntés megsemmisítésére, az érintett tiltakozási jogának figyelembevételére, illetve a 16/A. § (4) bekezdésében meghatározott személy által kért adat kiadására kötelezi.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7"/>
      </w:r>
      <w:r>
        <w:rPr>
          <w:rFonts w:ascii="Times New Roman" w:hAnsi="Times New Roman" w:cs="Times New Roman"/>
          <w:sz w:val="20"/>
          <w:szCs w:val="20"/>
        </w:rPr>
        <w:t xml:space="preserve"> A bíróság elrendelheti ítéletének – az adatkezelő azonosító adatainak közzétételével történő – nyilvánosságra hozatalát, ha azt az adatvédelem érdekei és nagyobb számú érintett e törvényben védett jogai megkövetelik.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Kártérítés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8"/>
      </w:r>
      <w:r>
        <w:rPr>
          <w:rFonts w:ascii="Times New Roman" w:hAnsi="Times New Roman" w:cs="Times New Roman"/>
          <w:sz w:val="20"/>
          <w:szCs w:val="20"/>
        </w:rPr>
        <w:t xml:space="preserve"> Az adatkezelő az érintett adatainak jogellenes kezelésével vagy a technikai adatvédelem követelményeinek megszegésével másnak okozott kárt köteles megtéríteni. Az érintettel szemben az adatkezelő felel az adatfeldolgozó által okozott kárért is. Az adatkezelő mentesül a felelősség alól, ha bizonyítja, hogy a kárt az adatkezelés körén kívül eső elháríthatatlan ok idézte elő.</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kell megtéríteni a kárt annyiban, amennyiben az a károsult szándékos vagy súlyosan gondatlan magatartásából származott.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KÖZÉRDEKŰ ADATOK NYILVÁNOSSÁGA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9"/>
      </w:r>
      <w:r>
        <w:rPr>
          <w:rFonts w:ascii="Times New Roman" w:hAnsi="Times New Roman" w:cs="Times New Roman"/>
          <w:sz w:val="20"/>
          <w:szCs w:val="20"/>
        </w:rPr>
        <w:t xml:space="preserve"> Az állami vagy helyi önkormányzati feladatot, valamint jogszabályban meghatározott egyéb közfeladatot ellátó szerv vagy személy (a továbbiakban együtt: szerv) a feladatkörébe tartozó ügyekben – így különösen az állami és önkormányzati költségvetésre és annak végrehajtására, az állami és önkormányzati vagyon kezelésére, a közpénzek felhasználására és az erre kötött szerződésekre, a piaci szereplők, a magánszervezetek és -személyek részére különleges vagy kizárólagos jogok biztosítására vonatkozóan – köteles elősegíteni és biztosítani a közvélemény pontos és gyors tájékoztatását.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0"/>
      </w:r>
      <w:r>
        <w:rPr>
          <w:rFonts w:ascii="Times New Roman" w:hAnsi="Times New Roman" w:cs="Times New Roman"/>
          <w:sz w:val="20"/>
          <w:szCs w:val="20"/>
        </w:rPr>
        <w:t xml:space="preserve"> Az (1) bekezdésben meghatározott szervek rendszeresen elektronikusan vagy más módon közzéteszik, továbbá erre irányuló igény esetén a 20. § rendelkezései szerint hozzáférhetővé teszik a tevékenységükkel kapcsolatos legfontosabb – így különösen a hatáskörükre, illetékességükre, szervezeti felépítésükre, szakmai tevékenységükre, annak eredményességére is kiterjedő értékelésére, a birtokukban lévő adatfajtákra és a működésükről szóló jogszabályokra, valamint a gazdálkodásukra vonatkozó – adatokat. A tájékoztatás módját, a vonatkozó adatok körét jogszabály is megállapíthatja.</w:t>
      </w:r>
      <w:r>
        <w:rPr>
          <w:rFonts w:ascii="Times New Roman" w:hAnsi="Times New Roman" w:cs="Times New Roman"/>
          <w:sz w:val="20"/>
          <w:szCs w:val="20"/>
          <w:vertAlign w:val="superscript"/>
        </w:rPr>
        <w:footnoteReference w:id="51"/>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2"/>
      </w:r>
      <w:r>
        <w:rPr>
          <w:rFonts w:ascii="Times New Roman" w:hAnsi="Times New Roman" w:cs="Times New Roman"/>
          <w:sz w:val="20"/>
          <w:szCs w:val="20"/>
        </w:rPr>
        <w:t xml:space="preserve"> Az (1) bekezdésben említetteknek lehetővé kell tenniük, hogy a kezelésükben lévő közérdekű adatot bárki megismerhesse, kivéve, ha az adatot törvény alapján az arra jogosult szerv minősítette, illetve ha az nemzetközi szerződésből eredő kötelezettség alapján minősített adat, továbbá, ha a közérdekű adatok nyilvánosságához való jogot – az adatfajták meghatározásával – törvény </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honvédelmi;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nemzetbiztonsági;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bűnüldözési vagy bűnmegelőzési;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központi pénzügyi vagy devizapolitikai érdekből;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külügyi kapcsolatokra, nemzetközi szervezetekkel való kapcsolatokra;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53"/>
      </w:r>
      <w:r>
        <w:rPr>
          <w:rFonts w:ascii="Times New Roman" w:hAnsi="Times New Roman" w:cs="Times New Roman"/>
          <w:sz w:val="20"/>
          <w:szCs w:val="20"/>
        </w:rPr>
        <w:t xml:space="preserve"> bírósági vagy közigazgatási hatósági eljárásra tekintettel</w:t>
      </w:r>
    </w:p>
    <w:p w:rsidR="00317E21" w:rsidRDefault="00317E21" w:rsidP="00317E2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korlátozza.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4"/>
      </w:r>
      <w:r>
        <w:rPr>
          <w:rFonts w:ascii="Times New Roman" w:hAnsi="Times New Roman" w:cs="Times New Roman"/>
          <w:sz w:val="20"/>
          <w:szCs w:val="20"/>
        </w:rPr>
        <w:t xml:space="preserve"> Ha törvény másként nem rendelkezik, közérdekből nyilvános adat az (1) bekezdésben meghatározott szervek feladat- és hatáskörében eljáró személy feladatkörével összefüggő személyes adata, továbbá egyéb, közfeladatot ellátó személy e feladatkörével összefüggő személyes adata. Ezen adatok megismerésére e törvénynek a közérdekű adatok megismerésére vonatkozó rendelkezéseit kell alkalmazni.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55"/>
      </w:r>
      <w:r>
        <w:rPr>
          <w:rFonts w:ascii="Times New Roman" w:hAnsi="Times New Roman" w:cs="Times New Roman"/>
          <w:sz w:val="20"/>
          <w:szCs w:val="20"/>
        </w:rPr>
        <w:t xml:space="preserve"> Ha törvény másként nem rendelkezik, közérdekből nyilvános adat a jogszabály vagy állami, illetőleg helyi önkormányzati szervvel kötött szerződés alapján kötelezően igénybe veendő vagy más módon ki nem elégíthető szolgáltatást nyújtó szervek vagy személyek kezelésében levő, e tevékenységükre vonatkozó, személyes adatnak nem minősülő adat.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56"/>
      </w:r>
      <w:r>
        <w:rPr>
          <w:rFonts w:ascii="Times New Roman" w:hAnsi="Times New Roman" w:cs="Times New Roman"/>
          <w:sz w:val="20"/>
          <w:szCs w:val="20"/>
        </w:rPr>
        <w:t xml:space="preserve"> A közérdekű adatok megismerésével és nyilvánosságával összefüggésben az üzleti titok megismerésére a Polgári Törvénykönyvben foglaltak az irányadók.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57"/>
      </w:r>
      <w:r>
        <w:rPr>
          <w:rFonts w:ascii="Times New Roman" w:hAnsi="Times New Roman" w:cs="Times New Roman"/>
          <w:sz w:val="20"/>
          <w:szCs w:val="20"/>
        </w:rPr>
        <w:t xml:space="preserve"> A közérdekű adatok nyilvánosságát korlátozhatja továbbá az Európai Unió jogszabálya az Európai Unió jelentős pénzügy- vagy gazdaságpolitikai érdekére tekintettel, beleértve a monetáris, a költségvetési és az adópolitikai érdeket is.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19/A. §</w:t>
      </w:r>
      <w:r>
        <w:rPr>
          <w:rFonts w:ascii="Times New Roman" w:hAnsi="Times New Roman" w:cs="Times New Roman"/>
          <w:b/>
          <w:bCs/>
          <w:sz w:val="20"/>
          <w:szCs w:val="20"/>
          <w:vertAlign w:val="superscript"/>
        </w:rPr>
        <w:footnoteReference w:id="58"/>
      </w:r>
      <w:r>
        <w:rPr>
          <w:rFonts w:ascii="Times New Roman" w:hAnsi="Times New Roman" w:cs="Times New Roman"/>
          <w:sz w:val="20"/>
          <w:szCs w:val="20"/>
        </w:rPr>
        <w:t xml:space="preserve"> (1) A 19. § (1) bekezdésében meghatározott szerv feladat- és hatáskörébe tartozó döntés meghozatalára irányuló eljárás során készített vagy rögzített, a döntés megalapozását szolgáló adat a keletkezésétől számított tíz évig nem nyilvános. Ezen adatok megismerését – a 19. § (1) bekezdésében foglaltakat mérlegelve – az azt kezelő szerv vezetője engedélyezheti.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döntés megalapozását szolgáló adat megismerésére irányuló igény – az (1) bekezdésben meghatározott időtartamon belül – a döntés meghozatalát követően akkor utasítható el, ha az adat megismerése a szerv törvényes működési rendjét vagy feladat- és hatáskörének illetéktelen külső befolyástól mentes ellátását, így különösen az adatot keletkeztető álláspontjának a döntések előkészítése során történő szabad kifejtését veszélyeztetné.</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Jogszabály egyes adatok megismerhetőségének korlátozására az (1) bekezdésben meghatározottnál rövidebb időtartamot állapíthat meg.</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b/>
          <w:bCs/>
          <w:sz w:val="20"/>
          <w:szCs w:val="20"/>
          <w:vertAlign w:val="superscript"/>
        </w:rPr>
        <w:footnoteReference w:id="59"/>
      </w:r>
      <w:r>
        <w:rPr>
          <w:rFonts w:ascii="Times New Roman" w:hAnsi="Times New Roman" w:cs="Times New Roman"/>
          <w:sz w:val="20"/>
          <w:szCs w:val="20"/>
        </w:rPr>
        <w:t xml:space="preserve"> (1) A közérdekű adat megismerése iránt bárki – szóban, írásban vagy elektronikus úton – igényt nyújthat be.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közérdekű adat megismerésére irányuló igénynek az adatot kezelő szerv az igény tudomására jutását követő legrövidebb idő alatt, legfeljebb azonban 15 napon belül tesz eleget.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adatokat tartalmazó dokumentumról vagy dokumentumrészről, annak tárolási módjától függetlenül az igénylő másolatot kaphat. Az adatot kezelő szerv kizárólag a másolat készítéséért – legfeljebb az azzal kapcsolatban felmerült költség mértékéig terjedően – állapíthat meg költségtérítést,</w:t>
      </w:r>
      <w:r>
        <w:rPr>
          <w:rFonts w:ascii="Times New Roman" w:hAnsi="Times New Roman" w:cs="Times New Roman"/>
          <w:sz w:val="20"/>
          <w:szCs w:val="20"/>
          <w:vertAlign w:val="superscript"/>
        </w:rPr>
        <w:footnoteReference w:id="60"/>
      </w:r>
      <w:r>
        <w:rPr>
          <w:rFonts w:ascii="Times New Roman" w:hAnsi="Times New Roman" w:cs="Times New Roman"/>
          <w:sz w:val="20"/>
          <w:szCs w:val="20"/>
        </w:rPr>
        <w:t xml:space="preserve"> amelynek összegét az igénylő kérésére előre közölni kell.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közérdekű adatot tartalmazó dokumentum az igénylő által meg nem ismerhető adatot is tartalmaz, a másolaton a meg nem ismerhető adatot felismerhetetlenné kell tenni.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adatigénylésnek közérthető formában és – amennyiben az aránytalan költséggel nem jár – az igénylő által kívánt technikai eszközzel, illetve módon kell eleget tenni. Az adatigénylést nem lehet elutasítani arra való hivatkozással, hogy annak közérthető formában nem lehet eleget tenni.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igény teljesítésének megtagadásáról, annak indokaival együtt, 8 napon belül írásban vagy – amennyiben az igényben elektronikus levelezési címét közölte – elektronikus úton értesíteni kell az igénylőt.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közérdekű adat megismerése iránti igény teljesítése nem tagadható meg azért, mert a nem magyar anyanyelvű igénylő az igényét anyanyelvén vagy az általa értett más nyelven fogalmazza meg.</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vagy helyi önkormányzati feladatot, valamint jogszabályban meghatározott egyéb közfeladatot ellátó szerveknek a közérdekű adatok megismerésére irányuló igények teljesítésének rendjét rögzítő szabályzatot kell készíteniük.</w:t>
      </w:r>
      <w:r>
        <w:rPr>
          <w:rFonts w:ascii="Times New Roman" w:hAnsi="Times New Roman" w:cs="Times New Roman"/>
          <w:sz w:val="20"/>
          <w:szCs w:val="20"/>
          <w:vertAlign w:val="superscript"/>
        </w:rPr>
        <w:footnoteReference w:id="61"/>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19. § (1) bekezdésében meghatározott szervek évente értesítik az adatvédelmi biztost az elutasított igényekről, valamint az elutasítások indokairól.</w:t>
      </w:r>
      <w:r>
        <w:rPr>
          <w:rFonts w:ascii="Times New Roman" w:hAnsi="Times New Roman" w:cs="Times New Roman"/>
          <w:sz w:val="20"/>
          <w:szCs w:val="20"/>
          <w:vertAlign w:val="superscript"/>
        </w:rPr>
        <w:footnoteReference w:id="62"/>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3"/>
      </w:r>
      <w:r>
        <w:rPr>
          <w:rFonts w:ascii="Times New Roman" w:hAnsi="Times New Roman" w:cs="Times New Roman"/>
          <w:sz w:val="20"/>
          <w:szCs w:val="20"/>
        </w:rPr>
        <w:t xml:space="preserve"> Ha a közérdekű adatra vonatkozó igényét nem teljesítik, az igénylő a bírósághoz fordulhat.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megtagadás jogszerűségét és megalapozottságát az adatot kezelő szerv köteles bizonyítani.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4"/>
      </w:r>
      <w:r>
        <w:rPr>
          <w:rFonts w:ascii="Times New Roman" w:hAnsi="Times New Roman" w:cs="Times New Roman"/>
          <w:sz w:val="20"/>
          <w:szCs w:val="20"/>
        </w:rPr>
        <w:t xml:space="preserve"> A pert a megtagadás közlésétől, illetve ennek elmaradása esetén a 20. § (2) bekezdésében meghatározott határidő eredménytelen elteltétől számított 30 napon belül az ellen a szerv ellen kell megindítani, amely a kért felvilágosítást megtagadta.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perben fél lehet az is, akinek egyébként nincs perbeli jogképessége.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egész országra kiterjedő hatáskörű szerv ellen indult per a megyei (fővárosi) bíróság hatáskörébe tartozik. A helyi bíróság hatáskörébe tartozó ügyekben a megyei bíróság székhelyén lévő helyi bíróság, Budapesten a Pesti Központi Kerületi Bíróság jár el. A bíróság illetékességét az adatközlést nem teljesítő szerv székhelye (működési helye) alapítja meg.</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bíróság soron kívül jár el.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bíróság a kérelemnek helyt ad, határozatában az adatkezelő szervet a kért közérdekű adat közlésére kötelezi.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21/A. §</w:t>
      </w:r>
      <w:r>
        <w:rPr>
          <w:rFonts w:ascii="Times New Roman" w:hAnsi="Times New Roman" w:cs="Times New Roman"/>
          <w:b/>
          <w:bCs/>
          <w:sz w:val="20"/>
          <w:szCs w:val="20"/>
          <w:vertAlign w:val="superscript"/>
        </w:rPr>
        <w:footnoteReference w:id="65"/>
      </w:r>
      <w:r>
        <w:rPr>
          <w:rFonts w:ascii="Times New Roman" w:hAnsi="Times New Roman" w:cs="Times New Roman"/>
          <w:sz w:val="20"/>
          <w:szCs w:val="20"/>
        </w:rPr>
        <w:t xml:space="preserve"> (1) A 19. § (1) bekezdésében meghatározott szervek a közzétett adatok megismerését személyazonosító adatok közléséhez nem köthetik. Az elektronikusan közzétett közérdekű adatokhoz történő hozzáférés biztosításához személyes adat csak annyiban kezelhető, amennyiben az technikailag elengedhetetlenül szükséges; a személyes adatokat ezt követően haladéktalanul törölni kell.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Igénylés alapján történő adatszolgáltatás esetén az adatigénylő személyazonosító adatai csak annyiban kezelhetők, amennyiben az az igény teljesítéséhez – beleértve az esetleges költségek megfizetését is – elengedhetetlenül szükséges. Az igény teljesítését, illetőleg a költségek megfizetését követően az igénylő személyes adatait haladéktalanul törölni kell.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Törvény az (1) és (2) bekezdésben meghatározottaktól eltérően rendelkezhet.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E fejezet rendelkezései nem alkalmazhatók a közhitelű nyilvántartásból történő — külön törvényben szabályozott — adatszolgáltatásra.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ADATVÉDELMI BIZTOS ÉS AZ ADATVÉDELMI NYILVÁNTARTÁS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Adatvédelmi biztos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6"/>
      </w:r>
      <w:r>
        <w:rPr>
          <w:rFonts w:ascii="Times New Roman" w:hAnsi="Times New Roman" w:cs="Times New Roman"/>
          <w:sz w:val="20"/>
          <w:szCs w:val="20"/>
        </w:rPr>
        <w:t xml:space="preserve"> A személyes adatok védelméhez és a közérdekű adatok nyilvánosságához való alkotmányos jog védelme érdekében az Országgyűlés adatvédelmi biztost választ azok közül az egyetemi végzettségű, büntetlen előéletű, kiemelkedő tudású elméleti vagy legalább 10 évi szakmai gyakorlattal rendelkező magyar állampolgárok közül, akik az adatvédelmet érintő eljárások lefolytatásában, felügyeletében vagy tudományos elméletében jelentős tapasztalatokkal rendelkeznek.</w:t>
      </w:r>
      <w:r>
        <w:rPr>
          <w:rFonts w:ascii="Times New Roman" w:hAnsi="Times New Roman" w:cs="Times New Roman"/>
          <w:sz w:val="20"/>
          <w:szCs w:val="20"/>
          <w:vertAlign w:val="superscript"/>
        </w:rPr>
        <w:footnoteReference w:id="67"/>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adatvédelmi biztosra — e törvényben foglalt eltérésekkel — az állampolgári jogok országgyűlési biztosáról szóló törvény</w:t>
      </w:r>
      <w:r>
        <w:rPr>
          <w:rFonts w:ascii="Times New Roman" w:hAnsi="Times New Roman" w:cs="Times New Roman"/>
          <w:sz w:val="20"/>
          <w:szCs w:val="20"/>
          <w:vertAlign w:val="superscript"/>
        </w:rPr>
        <w:footnoteReference w:id="68"/>
      </w:r>
      <w:r>
        <w:rPr>
          <w:rFonts w:ascii="Times New Roman" w:hAnsi="Times New Roman" w:cs="Times New Roman"/>
          <w:sz w:val="20"/>
          <w:szCs w:val="20"/>
        </w:rPr>
        <w:t xml:space="preserve"> rendelkezéseit kell alkalmazni.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Az adatvédelmi biztos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69"/>
      </w:r>
      <w:r>
        <w:rPr>
          <w:rFonts w:ascii="Times New Roman" w:hAnsi="Times New Roman" w:cs="Times New Roman"/>
          <w:sz w:val="20"/>
          <w:szCs w:val="20"/>
        </w:rPr>
        <w:t xml:space="preserve"> bejelentés alapján vagy – ha az adott ügyben bírósági eljárás nincs folyamatban – hivatalból ellenőrzi e törvény és az adatkezelésre vonatkozó más jogszabályok megtartását;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kivizsgálja a hozzá érkezett bejelentéseket;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gondoskodik az adatvédelmi nyilvántartás vezetéséről;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70"/>
      </w:r>
      <w:r>
        <w:rPr>
          <w:rFonts w:ascii="Times New Roman" w:hAnsi="Times New Roman" w:cs="Times New Roman"/>
          <w:sz w:val="20"/>
          <w:szCs w:val="20"/>
        </w:rPr>
        <w:t xml:space="preserve"> elősegíti a személyes adatok kezelésére és a közérdekű adatok nyilvánosságára vonatkozó törvényi rendelkezések egységes alkalmazását;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71"/>
      </w:r>
      <w:r>
        <w:rPr>
          <w:rFonts w:ascii="Times New Roman" w:hAnsi="Times New Roman" w:cs="Times New Roman"/>
          <w:sz w:val="20"/>
          <w:szCs w:val="20"/>
        </w:rPr>
        <w:t xml:space="preserve"> feladatkörében általános jelleggel, valamint meghatározott adatkezelő részére ajánlást bocsáthat ki;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72"/>
      </w:r>
      <w:r>
        <w:rPr>
          <w:rFonts w:ascii="Times New Roman" w:hAnsi="Times New Roman" w:cs="Times New Roman"/>
          <w:sz w:val="20"/>
          <w:szCs w:val="20"/>
        </w:rPr>
        <w:t xml:space="preserve"> véleményezési jogot gyakorol az állami vagy helyi önkormányzati feladatot, valamint jogszabályban meghatározott egyéb közfeladatot ellátó szerv tevékenységével kapcsolatosan külön törvényben meghatározottak szerint közzéteendő adatokra vonatkozó különös, illetőleg egyedi közzétételi listák tekintetében;</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73"/>
      </w:r>
      <w:r>
        <w:rPr>
          <w:rFonts w:ascii="Times New Roman" w:hAnsi="Times New Roman" w:cs="Times New Roman"/>
          <w:sz w:val="20"/>
          <w:szCs w:val="20"/>
        </w:rPr>
        <w:t xml:space="preserve"> külön törvényben meghatározott szervekkel vagy személyekkel együttműködve képviseli a Magyar Köztársaságot az Európai Unió közös adatvédelmi felügyelő testületeiben;</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74"/>
      </w:r>
      <w:r>
        <w:rPr>
          <w:rFonts w:ascii="Times New Roman" w:hAnsi="Times New Roman" w:cs="Times New Roman"/>
          <w:sz w:val="20"/>
          <w:szCs w:val="20"/>
        </w:rPr>
        <w:t xml:space="preserve"> gyakorolja és ellátja az e törvényben meghatározott hatásköröket és feladatokat.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24/A. §</w:t>
      </w:r>
      <w:r>
        <w:rPr>
          <w:rFonts w:ascii="Times New Roman" w:hAnsi="Times New Roman" w:cs="Times New Roman"/>
          <w:b/>
          <w:bCs/>
          <w:sz w:val="20"/>
          <w:szCs w:val="20"/>
          <w:vertAlign w:val="superscript"/>
        </w:rPr>
        <w:footnoteReference w:id="75"/>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6"/>
      </w:r>
      <w:r>
        <w:rPr>
          <w:rFonts w:ascii="Times New Roman" w:hAnsi="Times New Roman" w:cs="Times New Roman"/>
          <w:sz w:val="20"/>
          <w:szCs w:val="20"/>
        </w:rPr>
        <w:t xml:space="preserve"> Az adatvédelmi biztos eljárására és intézkedéseire – a 25. § (6) bekezdésében foglalt kivétellel – az állampolgári jogok országgyűlési biztosáról szóló 1993. évi LIX. törvény (a továbbiakban: Obtv.) rendelkezéseit az e törvényben meghatározott eltérésekkel kell alkalmazni.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adatvédelmi biztos eljárására az Obtv. 16. § (1) és (2) bekezdését, 17. § (3) és (4) bekezdését, 18. § (1), (6) és (8) bekezdését nem kell alkalmazni.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7"/>
      </w:r>
      <w:r>
        <w:rPr>
          <w:rFonts w:ascii="Times New Roman" w:hAnsi="Times New Roman" w:cs="Times New Roman"/>
          <w:sz w:val="20"/>
          <w:szCs w:val="20"/>
        </w:rPr>
        <w:t xml:space="preserve"> Az adatvédelmi biztos figyelemmel kíséri a személyes adatok védelmének, a közérdekű adatok és a közérdekből nyilvános adatok nyilvánossága érvényesülésének feltételeit. Javaslatot tesz az adatkezelést, a közérdekű adatok és a közérdekből nyilvános adatok nyilvánosságát érintő jogszabályok megalkotására, illetve módosítására, véleményezi az ilyen jogszabályok tervezetét.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adatvédelmi biztos a jogellenes adatkezelés észlelése esetén az adatkezelőt az adatkezelés megszüntetésére szólítja fel. Az adatkezelő haladéktalanul köteles megtenni a szükséges intézkedéseket, és erről 30 napon belül írásban tájékoztatni az adatvédelmi biztost.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8"/>
      </w:r>
      <w:r>
        <w:rPr>
          <w:rFonts w:ascii="Times New Roman" w:hAnsi="Times New Roman" w:cs="Times New Roman"/>
          <w:sz w:val="20"/>
          <w:szCs w:val="20"/>
        </w:rPr>
        <w:t xml:space="preserve"> Az adatvédelmi biztos tájékoztathatja a nyilvánosságot eljárásának megindításáról, a jogellenes adatkezelés (adatfeldolgozás) tényéről, az adatkezelő (adatfeldolgozó) személyéről és a kezelt adatok köréről, valamint az általa kezdeményezett intézkedésekről, meghozott határozatokról.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9"/>
      </w:r>
      <w:r>
        <w:rPr>
          <w:rFonts w:ascii="Times New Roman" w:hAnsi="Times New Roman" w:cs="Times New Roman"/>
          <w:sz w:val="20"/>
          <w:szCs w:val="20"/>
        </w:rPr>
        <w:t xml:space="preserve"> Ha az adatkezelő vagy adatfeldolgozó a személyes adatok jogellenes kezelését (feldolgozását) nem szünteti meg, az adatvédelmi biztos határozatban elrendelheti a jogosulatlanul kezelt adatok zárolását, törlését vagy megsemmisítését, megtilthatja a jogosulatlan adatkezelést vagy adatfeldolgozást, továbbá felfüggesztheti az adatok külföldre továbbítását. A határozat ellen közigazgatási úton jogorvoslatnak nincs helye.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0"/>
      </w:r>
      <w:r>
        <w:rPr>
          <w:rFonts w:ascii="Times New Roman" w:hAnsi="Times New Roman" w:cs="Times New Roman"/>
          <w:sz w:val="20"/>
          <w:szCs w:val="20"/>
        </w:rPr>
        <w:t xml:space="preserve"> Az adatkezelő, az adatfeldolgozó vagy az adatkezeléssel érintett személy az adatvédelmi biztos (4) bekezdés szerinti határozatának felülvizsgálatát – annak kézhezvételét követő 30 napon belül – jogszabálysértésre hivatkozással kérheti a bíróságtól, amely a felülvizsgálat során a polgári perrendtartásról szóló törvénynek a közigazgatási perekre vonatkozó szabályai szerint jár el. A bíróság jogerős döntéséig a vitatott adatkezeléssel érintett adatok nem törölhetők, illetve nem semmisíthetők meg, az adatok kezelését azonban az adatvédelmi biztos határozatának kézhezvételekor fel kell függeszteni és az adatokat zárolni kell.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81"/>
      </w:r>
      <w:r>
        <w:rPr>
          <w:rFonts w:ascii="Times New Roman" w:hAnsi="Times New Roman" w:cs="Times New Roman"/>
          <w:sz w:val="20"/>
          <w:szCs w:val="20"/>
        </w:rPr>
        <w:t xml:space="preserve"> Ha az adatvédelmi biztos a (4) bekezdésben szabályozott eljárásában határozatot hoz, az e törvényben nem szabályozott kérdésekben a közigazgatási hatósági eljárásról szóló törvényt – az elektronikus kapcsolattartásra és a felügyeleti eljárásra vonatkozó rendelkezések kivételével – alkalmazni kell.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2"/>
      </w:r>
      <w:r>
        <w:rPr>
          <w:rFonts w:ascii="Times New Roman" w:hAnsi="Times New Roman" w:cs="Times New Roman"/>
          <w:sz w:val="20"/>
          <w:szCs w:val="20"/>
        </w:rPr>
        <w:t xml:space="preserve"> Az adatvédelmi biztos a feladatai ellátása során az adatkezelőtől minden olyan kérdésben felvilágosítást kérhet, az összes olyan iratba betekinthet, illetve iratról másolatot kérhet, adatkezelést megismerhet, amely személyes adatokkal, közérdekű adatokkal vagy közérdekből nyilvános adatokkal összefügghet.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adatvédelmi biztos minden olyan helyiségbe beléphet, ahol adatkezelés folyik.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3"/>
      </w:r>
      <w:r>
        <w:rPr>
          <w:rFonts w:ascii="Times New Roman" w:hAnsi="Times New Roman" w:cs="Times New Roman"/>
          <w:sz w:val="20"/>
          <w:szCs w:val="20"/>
        </w:rPr>
        <w:t xml:space="preserve"> Az adatkezelő köteles a részére kibocsátott ajánlásra harminc napon belül érdemben válaszolni.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4"/>
      </w:r>
      <w:r>
        <w:rPr>
          <w:rFonts w:ascii="Times New Roman" w:hAnsi="Times New Roman" w:cs="Times New Roman"/>
          <w:sz w:val="20"/>
          <w:szCs w:val="20"/>
        </w:rPr>
        <w:t xml:space="preserve"> A minősített adat az adatvédelmi biztost e §-ban szabályozott jogainak gyakorlásában nem akadályozhatja, de a minősített adat megtartására vonatkozó rendelkezések rá nézve is kötelezőek. Minősített adatot érintő adatkezelés esetén az adatvédelmi biztos jogait csak személyesen, vagy az általa kezdeményezett nemzetbiztonsági ellenőrzésen átesett munkatársai útján gyakorolhatja.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5"/>
      </w:r>
      <w:r>
        <w:rPr>
          <w:rFonts w:ascii="Times New Roman" w:hAnsi="Times New Roman" w:cs="Times New Roman"/>
          <w:sz w:val="20"/>
          <w:szCs w:val="20"/>
        </w:rPr>
        <w:t xml:space="preserve"> Ha az adatvédelmi biztos az eljárása során a nemzeti minősített adat minősítését indokolatlannak tartja, a minősítőt annak megváltoztatására vagy a minősítés megszüntetésére szólítja fel. A felszólítás megalapozatlanságának megállapítása iránt a minősítő 60 napon belül a Fővárosi Bírósághoz fordulhat. Amennyiben a minősítő a felszólításnak 60 napon belül nem tesz eleget és határidőn belül nem fordul bírósághoz, a nemzeti minősített adat minősítése a felszólítás kézhezvételét követő 61. napon megszűnik, illetve minősítési szintje vagy érvényességi ideje a felszólításban foglaltaknak megfelelően megváltozik. A bíróság eljárására a Polgári perrendtartás közigazgatási perekre vonatkozó rendelkezéseit kell alkalmazni azzal, hogy a bíróság az ügyben zárt tárgyaláson, soron kívül jár el. A bíróság az adat minősítését helybenhagyja, megváltoztatja vagy megszünteti. A perben csak olyan bíró járhat el, akinek a nemzetbiztonsági szolgálatokról szóló törvény szerinti legmagasabb szintű nemzetbiztonsági ellenőrzését elvégezték. A perben résztvevő egyéb személyek, valamint azok képviselői a minősített adatot csak akkor ismerhetik meg, ha a nemzetbiztonsági szolgálatokról szóló törvény szerinti legmagasabb szintű nemzetbiztonsági ellenőrzésüket elvégezték.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6"/>
      </w:r>
      <w:r>
        <w:rPr>
          <w:rFonts w:ascii="Times New Roman" w:hAnsi="Times New Roman" w:cs="Times New Roman"/>
          <w:sz w:val="20"/>
          <w:szCs w:val="20"/>
        </w:rPr>
        <w:t xml:space="preserve"> Bárki az adatvédelmi biztoshoz fordulhat, ha véleménye szerint személyes adatainak kezelésével, illetve a közérdekű adatok vagy a közérdekből nyilvános adatok megismeréséhez fűződő jogainak gyakorlásával kapcsolatban jogsérelem érte, vagy annak közvetlen veszélye fennáll, kivéve ha az adott ügyben bírósági eljárás van folyamatban.</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adatvédelmi biztoshoz tett bejelentése miatt senkit sem érhet hátrány. A bejelentőt a közérdekű bejelentővel azonos védelem illeti meg.</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Adatvédelmi nyilvántartás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7"/>
      </w:r>
      <w:r>
        <w:rPr>
          <w:rFonts w:ascii="Times New Roman" w:hAnsi="Times New Roman" w:cs="Times New Roman"/>
          <w:sz w:val="20"/>
          <w:szCs w:val="20"/>
        </w:rPr>
        <w:t xml:space="preserve"> A személyes adatokat kezelő adatkezelő köteles e tevékenysége megkezdése előtt az adatvédelmi biztosnak nyilvántartásba vétel végett bejelenteni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adatkezelés célját;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adatok fajtáját és kezelésük jogalapját;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érintettek körét;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adatok forrását;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továbbított adatok fajtáját, címzettjét és a továbbítás jogalapját;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egyes adatfajták törlési határidejét;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88"/>
      </w:r>
      <w:r>
        <w:rPr>
          <w:rFonts w:ascii="Times New Roman" w:hAnsi="Times New Roman" w:cs="Times New Roman"/>
          <w:sz w:val="20"/>
          <w:szCs w:val="20"/>
        </w:rPr>
        <w:t xml:space="preserve"> az adatkezelő, valamint az adatfeldolgozó nevét és címét (székhelyét), a tényleges adatkezelés, illetve az adatfeldolgozás helyét és az adatfeldolgozónak az adatkezeléssel összefüggő tevékenységét;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89"/>
      </w:r>
      <w:r>
        <w:rPr>
          <w:rFonts w:ascii="Times New Roman" w:hAnsi="Times New Roman" w:cs="Times New Roman"/>
          <w:sz w:val="20"/>
          <w:szCs w:val="20"/>
        </w:rPr>
        <w:t xml:space="preserve"> a belső adatvédelmi felelős nevét és elérhetőségi adatait.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90"/>
      </w:r>
      <w:r>
        <w:rPr>
          <w:rFonts w:ascii="Times New Roman" w:hAnsi="Times New Roman" w:cs="Times New Roman"/>
          <w:sz w:val="20"/>
          <w:szCs w:val="20"/>
        </w:rPr>
        <w:t xml:space="preserve"> A jogszabályban elrendelt adatkezelést a szabályozás tárgya szerint feladatkörrel rendelkező miniszter, hatáskörrel rendelkező központi államigazgatási szerv vezetője, illetőleg a polgármester, főpolgármester, a megyei közgyűlés elnöke köteles bejelenteni a jogszabály hatálybalépését követő 15 napon belül.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nemzetbiztonsági szervek a adatkezelésük célját és jogalapját jelentik be.</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Az adatkezelő az első nyilvántartásba vételkor nyilvántartási számot kap. A nyilvántartási számot az adatok minden továbbításánál, nyilvánosságra hozásánál és az érintettnek való kiadásakor fel kell tüntetni.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28. § (1) bekezdésében felsorolt adatok megváltozását 8 napon belül be kell jelenteni az adatvédelmi biztosnak, és a nyilvántartást megfelelően módosítani kell.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Nem kell bejelenteni az adatvédelmi nyilvántartásba azt az adatkezelést, amely</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adatkezelővel munkaviszonyban, tagsági, tanulói viszonyban, ügyfélkapcsolatban álló személyek adatait tartalmazza;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egyház, vallásfelekezet, vallási közösség belső szabályai szerint történik;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egészségügyi ellátásban kezelt személy betegségére, egészségi állapotára vonatkozó személyes adatokat tartalmaz, gyógykezelés vagy az egészség megőrzése, társadalombiztosítási igény érvényesítése céljából;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érintett anyagi és egyéb szociális támogatását célzó és nyilvántartó adatokat tartalmaz;</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hatósági, az ügyészségi és a bírósági eljárás által érintett személyeknek az eljárás lefolytatásával kapcsolatos személyes adatait tartalmazza;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hivatalos statisztika célját szolgáló személyes adatokat tartalmaz, feltéve hogy — külön törvényben meghatározottak szerint — az adatok személlyel való kapcsolatának megállapítását véglegesen lehetetlenné teszik;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sajtótörvény</w:t>
      </w:r>
      <w:r>
        <w:rPr>
          <w:rFonts w:ascii="Times New Roman" w:hAnsi="Times New Roman" w:cs="Times New Roman"/>
          <w:sz w:val="20"/>
          <w:szCs w:val="20"/>
          <w:vertAlign w:val="superscript"/>
        </w:rPr>
        <w:footnoteReference w:id="91"/>
      </w:r>
      <w:r>
        <w:rPr>
          <w:rFonts w:ascii="Times New Roman" w:hAnsi="Times New Roman" w:cs="Times New Roman"/>
          <w:sz w:val="20"/>
          <w:szCs w:val="20"/>
        </w:rPr>
        <w:t xml:space="preserve"> hatálya alá tartozó társaságok és szervek olyan adatait tartalmazza, amelyek kizárólag saját tájékoztatási tevékenységüket szolgálják;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tudományos kutatás céljait szolgálja, ha az adatokat nem hozzák nyilvánosságra;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92"/>
      </w:r>
      <w:r>
        <w:rPr>
          <w:rFonts w:ascii="Times New Roman" w:hAnsi="Times New Roman" w:cs="Times New Roman"/>
          <w:sz w:val="20"/>
          <w:szCs w:val="20"/>
        </w:rPr>
        <w:t xml:space="preserve"> az adatkezelőtől levéltári kezelésbe került át;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természetes személy saját célját szolgálja.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Előzetes ellenőrzés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b/>
          <w:bCs/>
          <w:sz w:val="20"/>
          <w:szCs w:val="20"/>
          <w:vertAlign w:val="superscript"/>
        </w:rPr>
        <w:footnoteReference w:id="93"/>
      </w:r>
      <w:r>
        <w:rPr>
          <w:rFonts w:ascii="Times New Roman" w:hAnsi="Times New Roman" w:cs="Times New Roman"/>
          <w:sz w:val="20"/>
          <w:szCs w:val="20"/>
        </w:rPr>
        <w:t xml:space="preserve"> (1) Az adatvédelmi biztos a nyilvántartásba vételt megelőzően előzetes ellenőrzést végezhet.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Új adatállomány feldolgozását vagy új adatfeldolgozási technológia alkalmazását megelőzően az adatvédelmi biztos előzetes ellenőrzést végezhet a következő adatkezeléseket végző adatkezelőknél: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országos hatósági, munkaügyi és bűnügyi adatállományok;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pénzügyi szervezetek és közüzemi szolgáltatók ügyfelekre vonatkozó adatkezelései;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távközlési szolgáltatóknak a szolgáltatást igénybe vevőkre vonatkozó adatkezelései;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külön törvényben meghatározott egyedi statisztikai adatokat tartalmazó adatállományok.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adatkezelőnek az új adatállomány feldolgozására vagy az új adatfeldolgozási technológia alkalmazására irányuló szándékát a tevékenység megkezdését megelőzően 30 nappal be kell jelentenie az adatvédelmi biztosnak. Az adatvédelmi biztos az előzetes ellenőrzésre vonatkozó igényét a bejelentéstől számított 8 napon belül köteles jelezni az adatkezelőnek, és az ellenőrzést 30 napon belül köteles elvégezni. Az adatkezelő a feldolgozást csak az adatvédelmi biztos előzetes ellenőrzésének befejezése után kezdheti meg.</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ellenőrzés alapján az adatvédelmi biztos a kezelendő adatok körének, illetőleg az adatfeldolgozás módszerének megváltoztatására hívhatja fel az adatkezelőt. Ha az adatvédelmi biztos az adatkezelést elrendelő jogszabályt kifogásolja, ajánlást tehet a jogszabály módosítására.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Belső adatvédelmi felelős és adatvédelmi szabályzat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31/A. §</w:t>
      </w:r>
      <w:r>
        <w:rPr>
          <w:rFonts w:ascii="Times New Roman" w:hAnsi="Times New Roman" w:cs="Times New Roman"/>
          <w:b/>
          <w:bCs/>
          <w:sz w:val="20"/>
          <w:szCs w:val="20"/>
          <w:vertAlign w:val="superscript"/>
        </w:rPr>
        <w:footnoteReference w:id="94"/>
      </w:r>
      <w:r>
        <w:rPr>
          <w:rFonts w:ascii="Times New Roman" w:hAnsi="Times New Roman" w:cs="Times New Roman"/>
          <w:sz w:val="20"/>
          <w:szCs w:val="20"/>
        </w:rPr>
        <w:t xml:space="preserve"> (1) Az adatkezelő, illetőleg az adatfeldolgozó szervezetén belül, közvetlenül a szerv vezetőjének felügyelete alá tartozó – jogi, közigazgatási, számítástechnikai vagy ezeknek megfelelő, felsőfokú végzettséggel rendelkező – belső adatvédelmi felelőst kell kinevezni vagy megbízni:</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országos hatósági, munkaügyi vagy bűnügyi adatállományt kezelő, illetőleg feldolgozó adatkezelőnél és adatfeldolgozónál;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pénzügyi szervezetnél;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távközlési és közüzemi szolgáltatónál.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belső adatvédelmi felelős: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közreműködik, illetőleg segítséget nyújt az adatkezeléssel összefüggő döntések meghozatalában, valamint az érintettek jogainak biztosításában;</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ellenőrzi e törvény és az adatkezelésre vonatkozó más jogszabályok, valamint a belső adatvédelmi és adatbiztonsági szabályzatok rendelkezéseinek és az adatbiztonsági követelményeknek a megtartását;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kivizsgálja a hozzá érkezett bejelentéseket, és jogosulatlan adatkezelés észlelése esetén annak megszüntetésére hívja fel az adatkezelőt vagy az adatfeldolgozót;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elkészíti a belső adatvédelmi és adatbiztonsági szabályzatot;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vezeti a belső adatvédelmi nyilvántartást;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gondoskodik az adatvédelmi ismeretek oktatásáról.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meghatározott adatkezelőknek, valamint – az adatvédelmi nyilvántartásba bejelentési kötelezettség alá nem eső adatkezelők kivételével – egyéb állami és önkormányzati adatkezelőknek, e törvény végrehajtása érdekében, adatvédelmi és adatbiztonsági szabályzatot kell készíteniük.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KÜLÖNLEGES RENDELKEZÉSEK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Személyes adatok feldolgozása és felhasználása kutatóintézetben</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 Tudományos kutatás céljára felvett vagy tárolt személyes adat csak tudományos kutatás céljára használható fel.</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személyes adatot — mihelyt a kutatási cél megengedi — anonimizálni kell. Addig is külön kell tárolni azokat az adatokat, amelyek meghatározott vagy meghatározható természetes személy azonosítására alkalmasak. Ezek az adatok egyéb adatokkal csak akkor kapcsolhatók össze, ha az kutatás céljára szükséges.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tudományos kutatást végző szerv vagy személy személyes adatot csak akkor hozhat nyilvánosságra, ha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érintett abba beleegyezett, vagy</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 történelmi eseményekről folytatott kutatások eredményeinek bemutatásához szükséges.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Személyes adatok felhasználása statisztikai célra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32/A. §</w:t>
      </w:r>
      <w:r>
        <w:rPr>
          <w:rFonts w:ascii="Times New Roman" w:hAnsi="Times New Roman" w:cs="Times New Roman"/>
          <w:b/>
          <w:bCs/>
          <w:sz w:val="20"/>
          <w:szCs w:val="20"/>
          <w:vertAlign w:val="superscript"/>
        </w:rPr>
        <w:footnoteReference w:id="95"/>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96"/>
      </w:r>
      <w:r>
        <w:rPr>
          <w:rFonts w:ascii="Times New Roman" w:hAnsi="Times New Roman" w:cs="Times New Roman"/>
          <w:sz w:val="20"/>
          <w:szCs w:val="20"/>
        </w:rPr>
        <w:t xml:space="preserve"> A statisztikai célra felvett, átvett vagy feldolgozott személyes adatok csak statisztikai célra használhatók fel. A külön törvény szerinti egyedi statisztikai adatok – beleértve a személyes adatokat is – a statisztikai céltól eltérő célra semmilyen módon vagy jogcímen nem adhatók és vehetők át, a külön törvény</w:t>
      </w:r>
      <w:r>
        <w:rPr>
          <w:rFonts w:ascii="Times New Roman" w:hAnsi="Times New Roman" w:cs="Times New Roman"/>
          <w:sz w:val="20"/>
          <w:szCs w:val="20"/>
          <w:vertAlign w:val="superscript"/>
        </w:rPr>
        <w:footnoteReference w:id="97"/>
      </w:r>
      <w:r>
        <w:rPr>
          <w:rFonts w:ascii="Times New Roman" w:hAnsi="Times New Roman" w:cs="Times New Roman"/>
          <w:sz w:val="20"/>
          <w:szCs w:val="20"/>
        </w:rPr>
        <w:t xml:space="preserve"> szerinti levéltári kutatás kivételével nem dolgozhatók fel, továbbá nem hozhatók nyilvánosságra.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személyes adatok statisztikai célra történő kezelésének részletes szabályait külön törvény határozza meg.</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33. §</w:t>
      </w:r>
      <w:r>
        <w:rPr>
          <w:rFonts w:ascii="Times New Roman" w:hAnsi="Times New Roman" w:cs="Times New Roman"/>
          <w:b/>
          <w:bCs/>
          <w:sz w:val="20"/>
          <w:szCs w:val="20"/>
          <w:vertAlign w:val="superscript"/>
        </w:rPr>
        <w:footnoteReference w:id="98"/>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Hatálybalépés</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33/A. §</w:t>
      </w:r>
      <w:r>
        <w:rPr>
          <w:rFonts w:ascii="Times New Roman" w:hAnsi="Times New Roman" w:cs="Times New Roman"/>
          <w:b/>
          <w:bCs/>
          <w:sz w:val="20"/>
          <w:szCs w:val="20"/>
          <w:vertAlign w:val="superscript"/>
        </w:rPr>
        <w:footnoteReference w:id="99"/>
      </w:r>
      <w:r>
        <w:rPr>
          <w:rFonts w:ascii="Times New Roman" w:hAnsi="Times New Roman" w:cs="Times New Roman"/>
          <w:sz w:val="20"/>
          <w:szCs w:val="20"/>
        </w:rPr>
        <w:t xml:space="preserve"> Ez a törvény a személyes adatok feldolgozása vonatkozásában az egyének védelméről és az ilyen adatok szabad áramlásáról szóló, 1995. október 24-i 95/46/EK európai parlamenti és tanácsi irányelvnek való megfelelést szolgálja.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Ez a törvény — a (2) és (3) bekezdésben foglalt kivétellel — a kihirdetését követő 6. hónap első napján lép hatályba.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törvény III. fejezete (19—22. §) a kihirdetését követő 15. napon lép hatályba.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törvény IV. fejezete (23—31. §) az állampolgári jogok országgyűlési biztosáról szóló törvény hatálybalépésével egyidejűleg lép hatályba.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35. §</w:t>
      </w:r>
      <w:r>
        <w:rPr>
          <w:rFonts w:ascii="Times New Roman" w:hAnsi="Times New Roman" w:cs="Times New Roman"/>
          <w:b/>
          <w:bCs/>
          <w:sz w:val="20"/>
          <w:szCs w:val="20"/>
          <w:vertAlign w:val="superscript"/>
        </w:rPr>
        <w:footnoteReference w:id="100"/>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01"/>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02"/>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b/>
          <w:bCs/>
          <w:sz w:val="20"/>
          <w:szCs w:val="20"/>
          <w:vertAlign w:val="superscript"/>
        </w:rPr>
        <w:footnoteReference w:id="103"/>
      </w:r>
      <w:r>
        <w:rPr>
          <w:rFonts w:ascii="Times New Roman" w:hAnsi="Times New Roman" w:cs="Times New Roman"/>
          <w:sz w:val="20"/>
          <w:szCs w:val="20"/>
        </w:rPr>
        <w:t xml:space="preserve"> Felhatalmazást kap az adópolitikáért felelős miniszter, hogy a 11. § (2) bekezdése szerinti díjat, illetőleg a díj kezelésére vonatkozó részletes szabályokat rendeletben megállapítsa.</w:t>
      </w:r>
    </w:p>
    <w:p w:rsidR="00317E21" w:rsidRDefault="00317E21" w:rsidP="00317E21">
      <w:pPr>
        <w:autoSpaceDE w:val="0"/>
        <w:autoSpaceDN w:val="0"/>
        <w:adjustRightInd w:val="0"/>
        <w:spacing w:after="20" w:line="240" w:lineRule="auto"/>
        <w:ind w:firstLine="142"/>
        <w:jc w:val="both"/>
        <w:rPr>
          <w:rFonts w:ascii="Times New Roman" w:hAnsi="Times New Roman" w:cs="Times New Roman"/>
          <w:sz w:val="20"/>
          <w:szCs w:val="20"/>
        </w:rPr>
      </w:pPr>
    </w:p>
    <w:p w:rsidR="00947818" w:rsidRDefault="00947818"/>
    <w:sectPr w:rsidR="009478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6034" w:rsidRDefault="00886034" w:rsidP="00317E21">
      <w:pPr>
        <w:spacing w:after="0" w:line="240" w:lineRule="auto"/>
      </w:pPr>
      <w:r>
        <w:separator/>
      </w:r>
    </w:p>
  </w:endnote>
  <w:endnote w:type="continuationSeparator" w:id="0">
    <w:p w:rsidR="00886034" w:rsidRDefault="00886034" w:rsidP="00317E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6034" w:rsidRDefault="00886034" w:rsidP="00317E21">
      <w:pPr>
        <w:spacing w:after="0" w:line="240" w:lineRule="auto"/>
      </w:pPr>
      <w:r>
        <w:separator/>
      </w:r>
    </w:p>
  </w:footnote>
  <w:footnote w:type="continuationSeparator" w:id="0">
    <w:p w:rsidR="00886034" w:rsidRDefault="00886034" w:rsidP="00317E21">
      <w:pPr>
        <w:spacing w:after="0" w:line="240" w:lineRule="auto"/>
      </w:pPr>
      <w:r>
        <w:continuationSeparator/>
      </w:r>
    </w:p>
  </w:footnote>
  <w:footnote w:id="1">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törvényt az Országgyűlés az 1992. október 27-i ülésnapján fogadta el. A kihirdetés napja 1992. november 17. A törvényt a 2011: CXII. törvény 85. § (1) bekezdése hatályon kívül helyezte 2012. január 1. napjával.</w:t>
      </w:r>
    </w:p>
  </w:footnote>
  <w:footnote w:id="2">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1/A. §-t és alcímét a 2003: XLVIII. törvény 1. §-a iktatta be.</w:t>
      </w:r>
    </w:p>
  </w:footnote>
  <w:footnote w:id="3">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a 2003: XLVIII. törvény 2. §-ával megállapított szöveg.</w:t>
      </w:r>
    </w:p>
  </w:footnote>
  <w:footnote w:id="4">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4. pontja a 2005: XIX. törvény 1. § (1) bekezdésével megállapított szöveg.</w:t>
      </w:r>
    </w:p>
  </w:footnote>
  <w:footnote w:id="5">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5. pontja a 2005: XIX. törvény 1. § (1) bekezdésével megállapított szöveg.</w:t>
      </w:r>
    </w:p>
  </w:footnote>
  <w:footnote w:id="6">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8. pontja a 2005: XIX. törvény 12. § (3) bekezdése szerint módosított szöveg.</w:t>
      </w:r>
    </w:p>
  </w:footnote>
  <w:footnote w:id="7">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9. pontja a 2005: XIX. törvény 12. § (3) bekezdése szerint módosított szöveg.</w:t>
      </w:r>
    </w:p>
  </w:footnote>
  <w:footnote w:id="8">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20. pontja a 2007: I. törvény 91. § (1) bekezdésével megállapított szöveg.</w:t>
      </w:r>
    </w:p>
  </w:footnote>
  <w:footnote w:id="9">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21. pontját a 2007: I. törvény 91. § (2) bekezdése iktatta be.</w:t>
      </w:r>
    </w:p>
  </w:footnote>
  <w:footnote w:id="10">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új (3) bekezdését a 2003: XLVIII. törvény 3. § (1) bekezdése iktatta be, egyidejűleg az eredeti (3)–(5) bekezdés számozását (4)–(6) bekezdésre változtatva.</w:t>
      </w:r>
    </w:p>
  </w:footnote>
  <w:footnote w:id="11">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eredeti (3) bekezdésének számozását (4) bekezdésre változtatta a 2003: XLVIII. törvény 3. § (1) bekezdése.</w:t>
      </w:r>
    </w:p>
  </w:footnote>
  <w:footnote w:id="12">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eredeti (4) bekezdésének számozását (5) bekezdésre változtatta a 2003: XLVIII. törvény 3. § (1) bekezdése.</w:t>
      </w:r>
    </w:p>
  </w:footnote>
  <w:footnote w:id="13">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eredeti (5) bekezdésének számozását (6) bekezdésre változtatta a 2003: XLVIII. törvény 3. § (1) bekezdése.</w:t>
      </w:r>
    </w:p>
  </w:footnote>
  <w:footnote w:id="14">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(7) bekezdését a 2003: XLVIII. törvény 3. § (2) bekezdése iktatta be.</w:t>
      </w:r>
    </w:p>
  </w:footnote>
  <w:footnote w:id="15">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(8) bekezdését a 2003: XLVIII. törvény 3. § (2) bekezdése iktatta be, szövege a 2005: XIX. törvény 12. § (3) bekezdése szerint módosított szöveg.</w:t>
      </w:r>
    </w:p>
  </w:footnote>
  <w:footnote w:id="16">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§-t és az előtte lévő alcímet az 1999: LXXII. törvény 2. §-a iktatta a szövegbe.</w:t>
      </w:r>
    </w:p>
  </w:footnote>
  <w:footnote w:id="17">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(3) bekezdését a 2003: XLVIII. törvény 4. §-a iktatta be.</w:t>
      </w:r>
    </w:p>
  </w:footnote>
  <w:footnote w:id="18">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(4) bekezdését a 2003: XLVIII. törvény 4. §-a iktatta be.</w:t>
      </w:r>
    </w:p>
  </w:footnote>
  <w:footnote w:id="19">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(5) bekezdését a 2005: XIX. törvény 12. § (2) bekezdése hatályon kívül helyezte.</w:t>
      </w:r>
    </w:p>
  </w:footnote>
  <w:footnote w:id="20">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4/A. § (6) bekezdését a 2003: XLVIII. törvény 4. §-a iktatta be, e módosító törvény 20. § (2) bekezdése alapján a „kivéve, ha ez az eszköz csak az Európai Unió területén átmenő adatforgalom célját szolgálja” szövegrésze Magyar Köztársaságnak az Európai Unióhoz történő csatlakozásáról szóló nemzetközi szerződést kihirdető törvény hatálybalépésének napján lép hatályba.</w:t>
      </w:r>
    </w:p>
  </w:footnote>
  <w:footnote w:id="21">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(4) bekezdését a 2003: XLVIII. törvény 5. §-a iktatta be.</w:t>
      </w:r>
    </w:p>
  </w:footnote>
  <w:footnote w:id="22">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(5) bekezdését a 2003: XLVIII. törvény 5. §-a iktatta be.</w:t>
      </w:r>
    </w:p>
  </w:footnote>
  <w:footnote w:id="23">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(2) bekezdése a 2003: XLVIII. törvény 6. §-ával megállapított szöveg.</w:t>
      </w:r>
    </w:p>
  </w:footnote>
  <w:footnote w:id="24">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(3) bekezdését a 2003: XLVIII. törvény 6. §-a iktatta be.</w:t>
      </w:r>
    </w:p>
  </w:footnote>
  <w:footnote w:id="25">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(4) bekezdését a 2003: XLVIII. törvény 6. §-a iktatta be.</w:t>
      </w:r>
    </w:p>
  </w:footnote>
  <w:footnote w:id="26">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(1) bekezdése a 2005: XIX. törvény 12. § (3) bekezdése szerint módosított szöveg.</w:t>
      </w:r>
    </w:p>
  </w:footnote>
  <w:footnote w:id="27">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a 2005: XIX. törvény 2. §-ával megállapított szöveg.</w:t>
      </w:r>
    </w:p>
  </w:footnote>
  <w:footnote w:id="28">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(2) bekezdésének a) pontja szerinti jogi aktuson – a 2005: XIX. törvény 13. § (3) bekezdése alapján – a személyes adatok feldolgozása vonatkozásában az egyének védelméről és az ilyen adatok szabad áramlásáról szóló, 1995. október 24-i 95/46/EK európai parlamenti és tanácsi irányelv 25. cikk (6) bekezdése alapján kiadott jogi aktust kell érteni.</w:t>
      </w:r>
    </w:p>
  </w:footnote>
  <w:footnote w:id="29">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(2) bekezdésének c) pontja szerinti jogi aktuson – a 2005: XIX. törvény 13. § (4) bekezdése alapján – a 95/46/EK irányelv alapján a személyes adatok harmadik országokba irányuló továbbítására vonatkozó általános szerződési feltételekről szóló, 2001. június 15-i 2001/497/EK bizottsági határozatot, valamint a személyes adatoknak harmadik országbeli adatfeldolgozók részére történő továbbítására vonatkozó általános szerződési feltételekről szóló, 2001. december 27-i 2002/16/EK bizottsági határozatot kell érteni.</w:t>
      </w:r>
    </w:p>
  </w:footnote>
  <w:footnote w:id="30">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(3) bekezdése a 2011: LXVII. törvény 41. §-ával megállapított szöveg.</w:t>
      </w:r>
    </w:p>
  </w:footnote>
  <w:footnote w:id="31">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(4) bekezdése a 2007: I. törvény 91. § (3) bekezdésével megállapított szöveg.</w:t>
      </w:r>
    </w:p>
  </w:footnote>
  <w:footnote w:id="32">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9/A. §-t és alcímét a 2003: XLVIII. törvény 8. §-a iktatta be.</w:t>
      </w:r>
    </w:p>
  </w:footnote>
  <w:footnote w:id="33">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az 1999: LXXII. törvény 4. §-ával megállapított szöveg.</w:t>
      </w:r>
    </w:p>
  </w:footnote>
  <w:footnote w:id="34">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(2) bekezdése a 2003: XLVIII. törvény 9. §-ával megállapított szöveg.</w:t>
      </w:r>
    </w:p>
  </w:footnote>
  <w:footnote w:id="35">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(1) bekezdése az 1999: LXXII. törvény 5. §-ával megállapított szöveg.</w:t>
      </w:r>
    </w:p>
  </w:footnote>
  <w:footnote w:id="36">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adatvédelmi biztos felhívását a Magyar Közlöny 2006. évi 158. számában.</w:t>
      </w:r>
    </w:p>
  </w:footnote>
  <w:footnote w:id="37">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(1) bekezdése a 2005: XIX. törvény 12. § (3) bekezdése szerint módosított szöveg.</w:t>
      </w:r>
    </w:p>
  </w:footnote>
  <w:footnote w:id="38">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(2) bekezdésének c) pontja a 2003: XLVIII. törvény 10. §-ával megállapított szöveg.</w:t>
      </w:r>
    </w:p>
  </w:footnote>
  <w:footnote w:id="39">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(2) bekezdésének d) pontját a 2003: XLVIII. törvény 10. §-a iktatta be.</w:t>
      </w:r>
    </w:p>
  </w:footnote>
  <w:footnote w:id="40">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(2) bekezdésének e) pontját a 2003: XLVIII. törvény 10. §-a iktatta be.</w:t>
      </w:r>
    </w:p>
  </w:footnote>
  <w:footnote w:id="41">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1995: LXVI. törvényt.</w:t>
      </w:r>
    </w:p>
  </w:footnote>
  <w:footnote w:id="42">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 § a 2003: XLVIII. törvény 11. §-ával megállapított szöveg, e módosító törvény 20. § (2) bekezdése alapján a Magyar Köztársaságnak az Európai Unióhoz történő csatlakozásáról szóló nemzetközi szerződést kihirdető törvény hatálybalépésének napján lép hatályba.</w:t>
      </w:r>
    </w:p>
  </w:footnote>
  <w:footnote w:id="43">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16/A. §-t és alcímét a 2003: XLVIII. törvény 12. §-a iktatta be.</w:t>
      </w:r>
    </w:p>
  </w:footnote>
  <w:footnote w:id="44">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(1) bekezdése a 2003: XLVIII. törvény 13. § (1) bekezdésével megállapított szöveg.</w:t>
      </w:r>
    </w:p>
  </w:footnote>
  <w:footnote w:id="45">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(3) bekezdése a 2003: XLVIII. törvény 13. § (2) bekezdésével megállapított szöveg.</w:t>
      </w:r>
    </w:p>
  </w:footnote>
  <w:footnote w:id="46">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(4) bekezdése a 2003: XLVIII. törvény 13. § (2) bekezdésével megállapított szöveg.</w:t>
      </w:r>
    </w:p>
  </w:footnote>
  <w:footnote w:id="47">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 § (5) bekezdése a 2003: XLVIII. törvény 13. § (2) bekezdésével megállapított szöveg.</w:t>
      </w:r>
    </w:p>
  </w:footnote>
  <w:footnote w:id="48">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 § (1) bekezdése az 1999: LXXII. törvény 6. §-ával megállapított szöveg.</w:t>
      </w:r>
    </w:p>
  </w:footnote>
  <w:footnote w:id="49">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(1) bekezdése a 2003: XXIV. törvény 19. § (2) bekezdésével megállapított szöveg.</w:t>
      </w:r>
    </w:p>
  </w:footnote>
  <w:footnote w:id="50">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(2) bekezdése a 2003: XXIV. törvény 19. § (3) bekezdésével megállapított és a 2005: XIX. törvény 12. § (2)–(3) bekezdése szerint módosított szöveg.</w:t>
      </w:r>
    </w:p>
  </w:footnote>
  <w:footnote w:id="51">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2005: XC. törvényt.</w:t>
      </w:r>
    </w:p>
  </w:footnote>
  <w:footnote w:id="52">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(3) bekezdésének felvezető szövege az 1998: LXXX. törvény 6. §-ával megállapított és a 2009: CLV. törvény 43. § (4) bekezdése szerint módosított szöveg.</w:t>
      </w:r>
    </w:p>
  </w:footnote>
  <w:footnote w:id="53">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(3) bekezdésének f) pontja a 2005: XIX. törvény 3. § (1) bekezdésével megállapított szöveg.</w:t>
      </w:r>
    </w:p>
  </w:footnote>
  <w:footnote w:id="54">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(4) bekezdését az 1995: LXVI. törvény 36. §-ának 4. pontja iktatta be, szövegét újonnan a 2005: XIX. törvény 3. § (2) bekezdése állapította meg.</w:t>
      </w:r>
    </w:p>
  </w:footnote>
  <w:footnote w:id="55">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(5) bekezdését az 1995: LXVI. törvény 36. §-ának 4. pontja iktatta be, szövegét újonnan a 2005: XIX. törvény 3. § (2) bekezdése állapította meg.</w:t>
      </w:r>
    </w:p>
  </w:footnote>
  <w:footnote w:id="56">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(6) bekezdését a 2003: XXIV. törvény 19. § (4) bekezdése iktatta a szövegbe.</w:t>
      </w:r>
    </w:p>
  </w:footnote>
  <w:footnote w:id="57">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(7) bekezdését a 2003: XLVIII. törvény 14. §-a iktatta be.</w:t>
      </w:r>
    </w:p>
  </w:footnote>
  <w:footnote w:id="58">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19/A. §-t a 2005: XIX. törvény 4. §-a iktatta be.</w:t>
      </w:r>
    </w:p>
  </w:footnote>
  <w:footnote w:id="59">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a 2005: XIX. törvény 5. §-ával megállapított szöveg.</w:t>
      </w:r>
    </w:p>
  </w:footnote>
  <w:footnote w:id="60">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249/2000. (XII. 24.) Korm. rendelet 8. § (16) bekezdését.</w:t>
      </w:r>
    </w:p>
  </w:footnote>
  <w:footnote w:id="61">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13/2011. (VIII. 4.) MEG utasítást.</w:t>
      </w:r>
    </w:p>
  </w:footnote>
  <w:footnote w:id="62">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adatvédelmi biztos felhívását a Magyar Közlöny 2006. évi 158. számában.</w:t>
      </w:r>
    </w:p>
  </w:footnote>
  <w:footnote w:id="63">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 § (1) bekezdése a 2005: XIX. törvény 12. § (3) bekezdése szerint módosított szöveg.</w:t>
      </w:r>
    </w:p>
  </w:footnote>
  <w:footnote w:id="64">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 § (3) bekezdése a 2005: XIX. törvény 12. § (3) bekezdése szerint módosított szöveg.</w:t>
      </w:r>
    </w:p>
  </w:footnote>
  <w:footnote w:id="65">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21/A. §-t a 2005: XIX. törvény 6. §-a iktatta be.</w:t>
      </w:r>
    </w:p>
  </w:footnote>
  <w:footnote w:id="66">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 § (1) bekezdése a 2007: CXLV. törvény 11. § (3) bekezdése szerint módosított szöveg.</w:t>
      </w:r>
    </w:p>
  </w:footnote>
  <w:footnote w:id="67">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86/2001. (XII. 13.) OGY határozatot.</w:t>
      </w:r>
    </w:p>
  </w:footnote>
  <w:footnote w:id="68">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1993: LIX. törvényt.</w:t>
      </w:r>
    </w:p>
  </w:footnote>
  <w:footnote w:id="69">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 § a) pontja a 2005: XIX. törvény 7. §-ával megállapított szöveg.</w:t>
      </w:r>
    </w:p>
  </w:footnote>
  <w:footnote w:id="70">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 § d) pontját a 2003: XLVIII. törvény 15. §-a iktatta be.</w:t>
      </w:r>
    </w:p>
  </w:footnote>
  <w:footnote w:id="71">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 § új e) pontját a 2005: XIX. törvény 7. §-a iktatta be, egyidejűleg az eredeti e) pont jelölését h) pontra változtatva.</w:t>
      </w:r>
    </w:p>
  </w:footnote>
  <w:footnote w:id="72">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 § f) pontját a 2005: XIX. törvény 7. §-a iktatta be.</w:t>
      </w:r>
    </w:p>
  </w:footnote>
  <w:footnote w:id="73">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 § g) pontját a 2005: XIX. törvény 7. §-a iktatta be.</w:t>
      </w:r>
    </w:p>
  </w:footnote>
  <w:footnote w:id="74">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 § e) pontját a 2003: XLVIII. törvény 15. §-a iktatta be, jelölését h) pontra változtatta a 2005: XIX. törvény 7. §-a.</w:t>
      </w:r>
    </w:p>
  </w:footnote>
  <w:footnote w:id="75">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24/A. §-t a 2005: XIX. törvény 8. §-a iktatta be.</w:t>
      </w:r>
    </w:p>
  </w:footnote>
  <w:footnote w:id="76">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24/A. § (1) bekezdése a 2010: CXXVI. törvény 52. §-a szerint módosított szöveg.</w:t>
      </w:r>
    </w:p>
  </w:footnote>
  <w:footnote w:id="77">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 § (1) bekezdése az 1995: LXV. törvény 32. § (1) bekezdése, a 2005: XIX. törvény 12. § (3) bekezdése, a 2009: CLV. törvény 43. § (12) bekezdés a) pontja szerint módosított szöveg.</w:t>
      </w:r>
    </w:p>
  </w:footnote>
  <w:footnote w:id="78">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 § (3) bekezdése a 2005: XIX. törvény 9. §-ával megállapított szöveg.</w:t>
      </w:r>
    </w:p>
  </w:footnote>
  <w:footnote w:id="79">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 § (4) bekezdését a 2003: XLVIII. törvény 16. §-a iktatta be, szövegét újonnan a 2005: XIX. törvény 9. §-a állapította meg.</w:t>
      </w:r>
    </w:p>
  </w:footnote>
  <w:footnote w:id="80">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 § (5) bekezdését a 2005: XIX. törvény 9. §-a iktatta be.</w:t>
      </w:r>
    </w:p>
  </w:footnote>
  <w:footnote w:id="81">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 § (6) bekezdését a 2010: CXXVI. törvény 51. §-a iktatta be.</w:t>
      </w:r>
    </w:p>
  </w:footnote>
  <w:footnote w:id="82">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 § (1) bekezdése a 2005: XIX. törvény 10. § (1) bekezdésével megállapított szöveg.</w:t>
      </w:r>
    </w:p>
  </w:footnote>
  <w:footnote w:id="83">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 § új (3) bekezdését a 2005: XIX. törvény 10. § (2) bekezdése iktatta be, egyidejűleg az eredeti (3)–(4) bekezdés számozását (4)–(5) bekezdésre változtatva.</w:t>
      </w:r>
    </w:p>
  </w:footnote>
  <w:footnote w:id="84">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 § eredeti (3) bekezdés számozását (4) bekezdésre változtatta a 2005: XIX. törvény 10. § (2) bekezdése, szövege a 2009: CLV. törvény 33. §-ával megállapított szöveg.</w:t>
      </w:r>
    </w:p>
  </w:footnote>
  <w:footnote w:id="85">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 § eredeti (4) bekezdésének számozását (5) bekezdésre változtatta a 2005: XIX. törvény 10. § (2) bekezdése, szövege a 2009: CLV. törvény 33. §-ával megállapított szöveg.</w:t>
      </w:r>
    </w:p>
  </w:footnote>
  <w:footnote w:id="86">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 § (1) bekezdése a 2005: XIX. törvény 12. § (3) bekezdése szerint módosított szöveg.</w:t>
      </w:r>
    </w:p>
  </w:footnote>
  <w:footnote w:id="87">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(1) bekezdésének felvezető szövegrésze a 2005: XIX. törvény 12. § (3) bekezdése szerint módosított szöveg.</w:t>
      </w:r>
    </w:p>
  </w:footnote>
  <w:footnote w:id="88">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(1) bekezdésének g) pontja az 1999: LXXII. törvény 7. §-ának (2) bekezdésével megállapított szöveg.</w:t>
      </w:r>
    </w:p>
  </w:footnote>
  <w:footnote w:id="89">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(1) bekezdésének h) pontját a 2003: XLVIII. törvény 17. §-a iktatta be.</w:t>
      </w:r>
    </w:p>
  </w:footnote>
  <w:footnote w:id="90">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 § (2) bekezdése a 2006: CIX. törvény 2. § (1) bekezdésének b) pontja szerint módosított szöveg.</w:t>
      </w:r>
    </w:p>
  </w:footnote>
  <w:footnote w:id="91">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1986: II. törvényt.</w:t>
      </w:r>
    </w:p>
  </w:footnote>
  <w:footnote w:id="92">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 § i) pontjának második fordulatát az 1995: LXVI. törvény 36. §-ának 1. pontja hatályon kívül helyezte.</w:t>
      </w:r>
    </w:p>
  </w:footnote>
  <w:footnote w:id="93">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 §-t az 1994: LXXV. törvény 3. §-ának (1) bekezdése hatályon kívül helyezte, alcímét a 2003: XLVIII. törvény 20. § (1) bekezdése helyezte hatályon kívül. A 31. §-t és alcímét újonnan a 2003: XLVIII. törvény 18. §-a iktatta be.</w:t>
      </w:r>
    </w:p>
  </w:footnote>
  <w:footnote w:id="94">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31/A. §-t és alcímét a 2003: XLVIII. törvény 18. §-a iktatta be.</w:t>
      </w:r>
    </w:p>
  </w:footnote>
  <w:footnote w:id="95">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32/A. §-t és alcímét a 2003: XLVIII. törvény 19. §-a iktatta be.</w:t>
      </w:r>
    </w:p>
  </w:footnote>
  <w:footnote w:id="96">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32/A. § (1) bekezdése a 2005: XIX. törvény 12. § (3) bekezdése szerint módosított szöveg.</w:t>
      </w:r>
    </w:p>
  </w:footnote>
  <w:footnote w:id="97">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1995: LXVI. törvényt.</w:t>
      </w:r>
    </w:p>
  </w:footnote>
  <w:footnote w:id="98">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 § beépítve az 1959: IV. törvény 83. §-ának (1) bekezdésébe. A 33. §-t és az azt megelőző alcímet a 2007: LXXXII. törvény 2. §-ának 108. pontja hatályon kívül helyezte.</w:t>
      </w:r>
    </w:p>
  </w:footnote>
  <w:footnote w:id="99">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33/A. §-t a 2005: XIX. törvény 11. §-a iktatta be.</w:t>
      </w:r>
    </w:p>
  </w:footnote>
  <w:footnote w:id="100">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 §-t a 2005: XIX. törvény 12. § (2) bekezdése hatályon kívül helyezte.</w:t>
      </w:r>
    </w:p>
  </w:footnote>
  <w:footnote w:id="101">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 § (1) bekezdését az 1994: LXXV. törvény 3. §-ának (1) bekezdése hatályon kívül helyezte.</w:t>
      </w:r>
    </w:p>
  </w:footnote>
  <w:footnote w:id="102">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 § (2) bekezdését a 2005: XIX. törvény 12. § (2) bekezdése hatályon kívül helyezte.</w:t>
      </w:r>
    </w:p>
  </w:footnote>
  <w:footnote w:id="103">
    <w:p w:rsidR="00317E21" w:rsidRDefault="00317E21" w:rsidP="00317E2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 § a 2006: CIX. törvény 168. § (1) bekezdésének i) pontja szerint módosított szöveg.</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E21"/>
    <w:rsid w:val="00317E21"/>
    <w:rsid w:val="00886034"/>
    <w:rsid w:val="0094781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6144</Words>
  <Characters>42396</Characters>
  <Application>Microsoft Office Word</Application>
  <DocSecurity>0</DocSecurity>
  <Lines>353</Lines>
  <Paragraphs>96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48444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Vörösné Nádházi Krisztina</dc:creator>
  <cp:keywords/>
  <dc:description/>
  <cp:lastModifiedBy/>
  <cp:revision>1</cp:revision>
  <dcterms:created xsi:type="dcterms:W3CDTF">2011-10-05T08:08:00Z</dcterms:created>
</cp:coreProperties>
</file>