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47" w:rsidRPr="00577A47" w:rsidRDefault="00577A47" w:rsidP="00577A47">
      <w:pPr>
        <w:spacing w:before="160" w:after="8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58/2013. (XII. 13.) NGM rendelet</w:t>
      </w:r>
    </w:p>
    <w:p w:rsidR="00577A47" w:rsidRPr="00577A47" w:rsidRDefault="00577A47" w:rsidP="00577A47">
      <w:pPr>
        <w:spacing w:after="3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felnőttképzési minőségbiztosítási keretrendszerről, valamint a Felnőttképzési Szakértői Bizottság tagjairól, feladatairól és működésének részletes szabályairól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felnőttképzésről szóló 2013. évi LXXVII. törvény 28. § (2) bekezdés </w: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és </w: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d)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pontjában kapott felhatalmazás alapján – az egyes minisztereknek, valamint a Miniszterelnökséget vezető Államtitkár feladat- és hatásköréről szóló 212/2010. (VII. 1.) Korm. rendelet 73. § </w: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n)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pontjában meghatározott feladatkörömben eljárva – a következőket rendelem el:</w:t>
      </w:r>
    </w:p>
    <w:p w:rsidR="00577A47" w:rsidRPr="00577A47" w:rsidRDefault="00577A47" w:rsidP="00577A47">
      <w:pPr>
        <w:spacing w:before="160" w:after="16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Általános rendelkezések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E rendelet hatálya kiterjed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spellStart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felnőttképzésről szóló 2013. évi LXXVII. törvény (a továbbiakban: </w:t>
      </w:r>
      <w:proofErr w:type="spellStart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Fktv</w:t>
      </w:r>
      <w:proofErr w:type="spellEnd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szerinti felnőttképzést folytató intézményre,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minőségbiztosítási rendszer keretrendszernek való megfeleltethetőségére irányuló kérelmet benyújtó jogi személyre (a továbbiakban: kérelmező),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c)</w:t>
      </w:r>
      <w:bookmarkStart w:id="0" w:name="foot_1_place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"foot1" </w:instrTex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1</w: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0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Nemzeti Szakképzési és Felnőttképzési Hivatalra (a továbbiakban: NSZFH),</w:t>
      </w:r>
    </w:p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d)</w:t>
      </w:r>
      <w:bookmarkStart w:id="1" w:name="foot_2_place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"foot2" </w:instrTex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2</w: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1"/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e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felnőttképzési szakértőkre, felnőttképzési programszakértőkre (a továbbiakban: szakértők),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f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bookmarkStart w:id="2" w:name="foot_3_place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"foot3" </w:instrTex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3</w: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2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az </w:t>
      </w:r>
      <w:proofErr w:type="spellStart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Fktv</w:t>
      </w:r>
      <w:proofErr w:type="spellEnd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14. § (2) bekezdése szerinti külső értékelést (a továbbiakban: külső értékelés) végző jogi személyre,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g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bookmarkStart w:id="3" w:name="foot_4_place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"foot4" </w:instrTex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4</w: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3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Pest Megyei Kormányhivatalra (a továbbiakban: kormányhivatal).</w:t>
      </w:r>
    </w:p>
    <w:p w:rsidR="00577A47" w:rsidRPr="00577A47" w:rsidRDefault="00577A47" w:rsidP="00577A47">
      <w:pPr>
        <w:spacing w:before="160" w:after="16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A felnőttképzési minőségbiztosítási keretrendszer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(1)</w:t>
      </w:r>
      <w:bookmarkStart w:id="4" w:name="foot_5_place"/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"foot5"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5</w: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4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felnőttképzési minőségbiztosítási keretrendszer (a továbbiakban: keretrendszer) alapján a felnőttképzést folytató intézmény létrehozza saját minőségbiztosítási rendszerét, melynek során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átfogó minőségpolitikát és ehhez kapcsolódó stratégiát alakít ki képzési tevékenysége minőségének biztosítása érdekében;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formális belső mechanizmusokat alakít ki képzési programjai indításának jóváhagyására, követésére és rendszeres belső értékelésére vonatkozóan;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c)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eljárásokat alakít ki az oktatók folyamatos továbbképzésének és minősítésének biztosítására;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d)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minden képzési programjához biztosítja az annak megvalósításához szükséges erőforrásokat;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e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gondoskodik képzési tevékenységének hatékonyságát biztosító információk gyűjtéséről, elemzéséről és felhasználásáról, és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f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honlapján rendszeresen közzéteszi a képzési tevékenységére vonatkozó naprakész, objektív mennyiségi és minőségi információkat.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felnőttképzést folytató intézmény a keretrendszer alábbiakban felsorolt alapelveinek érvényesítésével biztosítja, hogy minőségbiztosítási rendszere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tükrözze azt, hogy irányítási folyamatainak középpontjában a képzés minőségének növelése áll,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képzés feltételeinek folyamatos fejlesztésére irányul,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c)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önértékelésre épüljön,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d)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személyi feltételek folyamatos fejlesztésére irányuló szemléletet tükrözzön és segítse elő az oktatók továbbképzését és önképzését a képzés minőségének javítása érdekében,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lastRenderedPageBreak/>
        <w:t>e)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járuljon hozzá ahhoz, hogy az </w:t>
      </w:r>
      <w:proofErr w:type="gramStart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intézmény képzési</w:t>
      </w:r>
      <w:proofErr w:type="gramEnd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tevékenységével kapcsolatos változtatások, a szolgáltatások minőségének javítása adatokon és visszajelzéseken alapuljon,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f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képzési tevékenység külső és belső résztvevőinek bevonására épüljön, és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g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legyen összhangban az intézmény méretével és képzéseinek összetettségével.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felnőttképzést folytató intézmény minőségbiztosítási rendszere a keretrendszer alábbiakban felsorolt tartalmi elemeiből áll: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spellStart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minőségpolitikára vonatkozó dokumentum, mely tartalmazza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aa</w:t>
      </w:r>
      <w:proofErr w:type="spell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minőségre vonatkozó intézményi stratégiát,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ab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intézmény szervezeti egységei és alkalmazottai minőségbiztosítással kapcsolatos felelősségét,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ac</w:t>
      </w:r>
      <w:proofErr w:type="spell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képzésben résztvevők bevonásának módját a minőségbiztosítás megvalósításába,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ad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minőségpolitika megvalósításának, figyelemmel kisérésének és felülvizsgálatának módját;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képzési programokkal kapcsolatos minőségbiztosítási dokumentum, mely tartalmazza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ba</w:t>
      </w:r>
      <w:proofErr w:type="spell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képzési programok és tananyagok tervezésével és tartalmi felülvizsgálatával kapcsolatos eljárást,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bb</w:t>
      </w:r>
      <w:proofErr w:type="spell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képzési programok végrehajtásához szükséges személyi és tárgyi feltételek, pénzügyi források biztosítására vonatkozó eljárást,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bc</w:t>
      </w:r>
      <w:proofErr w:type="spell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képzésben résztvevő felnőttek előrehaladásának és teljesítményének figyelemmel kisérésére vonatkozó módszereket,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bd</w:t>
      </w:r>
      <w:proofErr w:type="spell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munkáltatók és a munkaerőpiac egyéb szervezetei képzési programokkal kapcsolatos véleménye visszacsatolására vonatkozó eljárást,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be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képzési programok nyilvánosságával kapcsolatos eljárást;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c)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oktatók felkészültségével, oktatói kompetenciáik folyamatos fejlesztésével kapcsolatos dokumentum, mely tartalmazza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ca</w:t>
      </w:r>
      <w:proofErr w:type="spell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oktatók alkalmazásával kapcsolatos követelményeket és eljárást,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cb</w:t>
      </w:r>
      <w:proofErr w:type="spell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oktatók kompetenciáinak fejlesztésével kapcsolatos módszereket,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cc</w:t>
      </w:r>
      <w:proofErr w:type="spell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oktatók teljesítményével kapcsolatos visszacsatolásra vonatkozó eljárást;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d)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intézmény információs rendszere, mely kiterjed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da)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képzésben résztvevő felnőttek tanulási eredményeivel kapcsolatos adatok gyűjtésére és elemzésére,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db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képzésben résztvevő felnőttek elégedettség-mérésével kapcsolatos adatok gyűjtésére és elemzésére,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dc</w:t>
      </w:r>
      <w:proofErr w:type="spell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oktatói teljesítményekkel kapcsolatos adatok gyűjtésére és elemzésére,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dd</w:t>
      </w:r>
      <w:proofErr w:type="spell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intézmény rendelkezésére álló erőforrások hatékonyságával kapcsolatos adatok gyűjtésére és elemzésére,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de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képzésekkel megszerzett kompetenciák munkaerő-piaci hasznosulásával kapcsolatos adatok gyűjtésére és elemzésére,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df</w:t>
      </w:r>
      <w:proofErr w:type="spell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intézmény tevékenységével összefüggő információ nyilvánosságával összefüggő eljárásra;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e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panaszok kezeléséről szóló dokumentum, mely tartalmazza a panaszok kivizsgálásának és kezelésének módját,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f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intézmény minőségbiztosítási rendszerének működtetése során keletkezett eltérések kiküszöbölésére irányuló helyesbítő, és ismételt előfordulásuk megakadályozására irányuló megelőző tevékenységek menetét tartalmazó dokumentum, és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g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intézmény tevékenységének önértékelésére vonatkozó eljárást tartalmazó dokumentum.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felnőttképzést folytató intézmény önértékelésének gyakoriságáról maga dönt.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3. §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(1) A felnőttképzést folytató intézmény a minőségbiztosítási rendszerében a 2. § (3) bekezdés </w: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pont </w:t>
      </w:r>
      <w:proofErr w:type="spell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ba</w:t>
      </w:r>
      <w:proofErr w:type="spell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és </w:t>
      </w:r>
      <w:proofErr w:type="spell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bb</w:t>
      </w:r>
      <w:proofErr w:type="spell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), bd)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és </w: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be)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alpontjában, </w: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c)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pont </w: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ca)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és </w: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cc</w:t>
      </w: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alpontjában</w:t>
      </w:r>
      <w:proofErr w:type="gramEnd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 </w: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d)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pont </w: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df)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alpontjában és </w: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g)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pontjában foglalt tartalmi elemekhez tartozó minőségi jellemzőket (indikátorokat) az alábbiak szerint határozza meg: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spellStart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minőségi jellemző legyen alkalmas a tartalmi elem eredményének, eredményeinek kifejezésére, és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minőségi jellemzőhöz az érintett tartalmi elemmel elérni kívánt célérték, célértékek hozzárendelése szükséges a 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 szóló 393/2013. (XI. 12.) Korm. rendelet 17. § (1) bekezdésében foglalt minőségcélok figyelembevételével.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(1) bekezdés szerint meghatározott minőségi jellemzőhöz rendelt célérték nem teljesülése esetén a felnőttképzést folytató intézmény feltárja az okokat, és a 2. § (3) bekezdés </w: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f)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pontjában meghatározott helyesbítő tevékenységet végez, amely a kitűzött célérték teljesítéséhez szükséges lépéseket tartalmazza, vagy a célérték – következő időszakra vonatkozó – indokolt módosítását valósítja meg.</w:t>
      </w:r>
    </w:p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§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(1)</w:t>
      </w:r>
      <w:bookmarkStart w:id="5" w:name="foot_6_place"/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"foot6"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6</w: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5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Minőségbiztosítási rendszer keretrendszernek való megfeleltethetőségére irányuló kérelem (a továbbiakban: kérelem) az </w:t>
      </w:r>
      <w:proofErr w:type="spellStart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NSZFH-hoz</w:t>
      </w:r>
      <w:proofErr w:type="spellEnd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nyújtható be kizárólag elektronikus úton. A kérelem az NSZFH honlapján erre a célra rendszeresített elektronikus űrlap kitöltésével nyújtható be. Kérelmet a minőségbiztosítási rendszer kidolgozója, tulajdonosa vagy annak alkalmazását tanúsító jogi személy nyújthat be. A kérelmező a kérelemhez mellékeli a minőségbiztosítási rendszer leírását.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(1) bekezdés szerinti kérelem tartalmazza a kérelmező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nevét,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székhelyét,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c)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képviselőjének nevét,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d)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elektronikus elérhetőségét,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e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által benyújtott minőségbiztosítási rendszer keretrendszernek való megfeleltethetőségére irányuló indoklást és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f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(3) bekezdés szerinti nyilatkozatát.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</w:t>
      </w:r>
      <w:bookmarkStart w:id="6" w:name="foot_7_place"/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"foot7"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7</w: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6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kérelmező az (1) bekezdés szerinti kérelem benyújtásával egyidejűleg nyilatkozik arról, hogy a szakképzésért és felnőttképzésért felelős miniszter (a továbbiakban: miniszter) által meghozott, a minőségbiztosítási rendszer alkalmazására vonatkozó döntést követően hozzájárul-e a keretrendszernek megfelelő minőségbiztosítási rendszerének az NSZFH honlapján történő közzétételéhez.</w:t>
      </w:r>
    </w:p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§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(1)</w:t>
      </w:r>
      <w:bookmarkStart w:id="7" w:name="foot_8_place"/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"foot8"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8</w: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7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NSZFH megvizsgálja, hogy a kérelem megfelel-e az alábbiaknak: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spellStart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benyújtott minőségbiztosítási rendszer tükrözi-e a 2. § (2) bekezdésében megjelölt alapelveket,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benyújtott minőségbiztosítási rendszerben meghatározott dokumentumok tartalma megfelel-e a 2. § (3) bekezdésében foglalt tartalmi elemeknek,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c)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benyújtott minőségbiztosítási rendszer – a 3. § (1) bekezdésben foglaltak szerint – meghatározza-e a tartalmi elemekhez tartozó minőségi jellemzőket.</w:t>
      </w:r>
    </w:p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</w:t>
      </w:r>
      <w:bookmarkStart w:id="8" w:name="foot_9_place"/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"foot9"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9</w: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8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NSZFH a kérelem beérkezését követő harminc napon belül megvizsgálja a minőségbiztosítási rendszer keretrendszernek való megfeleltethetőségét. Ha megállapítja, hogy a minőségbiztosítási rendszer annak hiányosságai miatt a keretrendszernek nem feleltethető meg, a kérelmezőt – a hiányosságok megjelölésével, azok tizenöt napon belül történő teljesítésének lehetőségével – felhívja a minőségbiztosítási rendszer kiigazítására.</w:t>
      </w:r>
    </w:p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(3)</w:t>
      </w:r>
      <w:bookmarkStart w:id="9" w:name="foot_10_place"/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"foot10"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10</w: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9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NSZFH az (2) bekezdésben foglalt vizsgálatot követően dönt a miniszternek javasolható, a keretrendszernek megfelelő minőségbiztosítási rendszerekről. A keretrendszernek megfelelő minőségbiztosítási rendszerek közül kiválasztja a felnőttképzési tevékenységet folytató intézményeknél alkalmazható minőségbiztosítási rendszereket, és az erre vonatkozó, indoklással ellátott javaslatot – ideértve a keretrendszer alkalmazására vonatkozó gyakorlati, és az összeférhetetlenségi szabályokat is – minden év március 31-ig, július 31-ig és november 30-ig megküldi a miniszternek. Az NSZFH a keretrendszernek nem megfeleltethető minőségbiztosítási rendszerre vonatkozó döntéséről – azt követő öt napon belül – értesíti a kérelmezőt.</w:t>
      </w:r>
    </w:p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</w:t>
      </w:r>
      <w:bookmarkStart w:id="10" w:name="foot_11_place"/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"foot11"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11</w: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10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miniszter az NSZFH (3) bekezdésben foglalt javaslatáról – annak megküldésétől számított – harminc napon belül dönt. A miniszter döntéséről – az NSZFH útján – értesíti a kérelmezőt.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</w:t>
      </w:r>
      <w:bookmarkStart w:id="11" w:name="foot_12_place"/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"foot12"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12</w: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11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NSZFH a miniszter (4) bekezdés szerinti döntéséről szóló értesítést követő öt napon belül – a kérelmező hozzájáruló nyilatkozata esetén – honlapján nyilvánosságra hozza a keretrendszernek megfelelő és a felnőttképzési tevékenységet folytató intézményekben alkalmazható minőségbiztosítási rendszert.</w:t>
      </w:r>
    </w:p>
    <w:p w:rsidR="00577A47" w:rsidRPr="00577A47" w:rsidRDefault="00577A47" w:rsidP="00577A47">
      <w:pPr>
        <w:pBdr>
          <w:left w:val="single" w:sz="36" w:space="3" w:color="FF0000"/>
        </w:pBdr>
        <w:spacing w:before="160" w:after="16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</w:t>
      </w:r>
      <w:bookmarkStart w:id="12" w:name="foot_13_place"/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"foot13" </w:instrText>
      </w: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13</w:t>
      </w: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12"/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A külső értékelésről szóló vizsgálat, valamint az előzetes minősítés és a külső értékelés díja</w:t>
      </w:r>
    </w:p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6–8. §</w:t>
      </w:r>
      <w:bookmarkStart w:id="13" w:name="foot_14_place"/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"foot14" </w:instrText>
      </w: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14</w:t>
      </w: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13"/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9. §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képzési programnak az </w:t>
      </w:r>
      <w:proofErr w:type="spellStart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Fktv</w:t>
      </w:r>
      <w:proofErr w:type="spellEnd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10. § (1) bekezdés </w:t>
      </w:r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pont </w:t>
      </w:r>
      <w:proofErr w:type="spellStart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aa</w:t>
      </w:r>
      <w:proofErr w:type="spellEnd"/>
      <w:r w:rsidRPr="00577A4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alpontja szerinti előzetes minősítéséért a felnőttképzési szakértő vagy a felnőttképzési programszakértő által felszámított díj legmagasabb összege hatvanezer forintnál nem lehet magasabb.</w:t>
      </w:r>
    </w:p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9/</w:t>
      </w:r>
      <w:proofErr w:type="gramStart"/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A.</w:t>
      </w:r>
      <w:proofErr w:type="gramEnd"/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§</w:t>
      </w:r>
      <w:bookmarkStart w:id="14" w:name="foot_15_place"/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"foot15" </w:instrText>
      </w: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15</w:t>
      </w: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14"/>
    </w:p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10. §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(1)</w:t>
      </w:r>
      <w:bookmarkStart w:id="15" w:name="foot_16_place"/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"foot16"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16</w: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15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Az </w:t>
      </w:r>
      <w:proofErr w:type="spellStart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Fktv</w:t>
      </w:r>
      <w:proofErr w:type="spellEnd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14. § (2) bekezdésében előírt külső értékelés során az értékelést végző azt vizsgálja, hogy a felnőttképzést folytató intézmény a minőségbiztosítási rendszerében foglaltaknak megfelelően végzi-e a tevékenységét. A külső értékelésről az értékelést végző aláírt véleményt ad át az intézménynek.</w:t>
      </w:r>
    </w:p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(1a)</w:t>
      </w:r>
      <w:bookmarkStart w:id="16" w:name="foot_17_place"/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"foot17"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17</w: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16"/>
    </w:p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</w:t>
      </w:r>
      <w:bookmarkStart w:id="17" w:name="foot_18_place"/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"foot18"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18</w:t>
      </w:r>
      <w:r w:rsidRPr="00577A47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17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(1) bekezdés szerinti külső értékelésnél felszámítható díj legmagasabb összegét a miniszter – az NSZFH javaslata alapján – minden év március 31-ig közleményben állapítja meg.</w:t>
      </w:r>
    </w:p>
    <w:p w:rsidR="00577A47" w:rsidRPr="00577A47" w:rsidRDefault="00577A47" w:rsidP="00577A47">
      <w:pPr>
        <w:pBdr>
          <w:left w:val="single" w:sz="36" w:space="3" w:color="FF0000"/>
        </w:pBdr>
        <w:spacing w:before="160" w:after="16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</w:t>
      </w:r>
      <w:bookmarkStart w:id="18" w:name="foot_19_place"/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"http://njt.hu/cgi_bin/njt_doc.cgi?docid=165464.350632" \l "foot19" </w:instrText>
      </w: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77A47">
        <w:rPr>
          <w:rFonts w:ascii="Times" w:eastAsia="Times New Roman" w:hAnsi="Times" w:cs="Times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19</w:t>
      </w: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18"/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Záró rendelkezések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11. §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Ez a rendelet a kihirdetését követő napon lép hatályba.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12. §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(1) E rendelet a belső piaci szolgáltatásokról szóló 2006. december 12-i 2006/123/EK európai parlamenti és tanácsi irányelvnek való megfelelést szolgálja.</w:t>
      </w:r>
    </w:p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rendelet tervezetének a belső piaci szolgáltatásokról szóló 2006. december 12-i 2006/123/EK európai parlamenti és tanácsi irányelv 15. cikk (7) bekezdése szerinti bejelentése megtörtént.</w:t>
      </w:r>
    </w:p>
    <w:p w:rsidR="00577A47" w:rsidRPr="00577A47" w:rsidRDefault="00577A47" w:rsidP="00577A4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bookmarkStart w:id="19" w:name="foot1"/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"foot_1_place"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1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9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1. § c) pontja az 55/2014. (XII. 31.) NGM rendelet 16. § (1) bekezdésével megállapított szöveg.</w:t>
      </w:r>
    </w:p>
    <w:bookmarkStart w:id="20" w:name="foot2"/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"foot_2_place"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2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0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1. § d) pontját az 51/2017. (XII. 29.) NGM rendelet 3. § (5) bekezdés a) pontja hatályon kívül helyezte.</w:t>
      </w:r>
    </w:p>
    <w:bookmarkStart w:id="21" w:name="foot3"/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"foot_3_place"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3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1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1. § f) pontja a 62/2016. (XII. 29.) NGM rendelet 65. § (1) bekezdésével megállapított szöveg.</w:t>
      </w:r>
    </w:p>
    <w:bookmarkStart w:id="22" w:name="foot4"/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"foot_4_place"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4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2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1. § g) pontját a 62/2016. (XII. 29.) NGM rendelet 65. § (2) bekezdése iktatta be.</w:t>
      </w:r>
    </w:p>
    <w:bookmarkStart w:id="23" w:name="foot5"/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"foot_5_place"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5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3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2. § (1) bekezdés nyitó szövegrésze a 14/2014. (III. 31.) NGM rendelet 14. §</w:t>
      </w:r>
      <w:proofErr w:type="spellStart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-ával</w:t>
      </w:r>
      <w:proofErr w:type="spellEnd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megállapított szöveg.</w:t>
      </w:r>
    </w:p>
    <w:bookmarkStart w:id="24" w:name="foot6"/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"foot_6_place"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6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4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4. § (1) bekezdése az 51/2017. (XII. 29.) NGM rendelet 3. § (4) bekezdés a)–b) pontja szerint módosított szöveg.</w:t>
      </w:r>
    </w:p>
    <w:bookmarkStart w:id="25" w:name="foot7"/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"foot_7_place"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7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5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4. § (3) bekezdése az 55/2014. (XII. 31.) NGM rendelet 16. § (2) bekezdése szerint módosított szöveg.</w:t>
      </w:r>
    </w:p>
    <w:bookmarkStart w:id="26" w:name="foot8"/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"foot_8_place"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8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6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5. § (1) bekezdés nyitó szövegrésze az 51/2017. (XII. 29.) NGM rendelet 3. § (4) bekezdés a) pontja szerint módosított szöveg.</w:t>
      </w:r>
    </w:p>
    <w:bookmarkStart w:id="27" w:name="foot9"/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"foot_9_place"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9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7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5. § (2) bekezdése az 51/2017. (XII. 29.) NGM rendelet 3. § (4) bekezdés a) pontja szerint módosított szöveg.</w:t>
      </w:r>
    </w:p>
    <w:bookmarkStart w:id="28" w:name="foot10"/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"foot_10_place"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10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8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5. § (3) bekezdése az 51/2017. (XII. 29.) NGM rendelet 3. § (4) bekezdés c) pontja szerint módosított szöveg.</w:t>
      </w:r>
    </w:p>
    <w:bookmarkStart w:id="29" w:name="foot11"/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"foot_11_place"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11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9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5. § (4) bekezdése az 55/2014. (XII. 31.) NGM rendelet 16. § (2) bekezdése, az 51/2017. (XII. 29.) NGM rendelet 3. § (4) bekezdés a) pontja szerint módosított szöveg.</w:t>
      </w:r>
    </w:p>
    <w:bookmarkStart w:id="30" w:name="foot12"/>
    <w:p w:rsidR="00577A47" w:rsidRPr="00577A47" w:rsidRDefault="00577A47" w:rsidP="00577A4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"foot_12_place"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12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0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5. § (5) bekezdése az 55/2014. (XII. 31.) NGM rendelet 16. § (2) bekezdése szerint módosított szöveg.</w:t>
      </w:r>
    </w:p>
    <w:bookmarkStart w:id="31" w:name="foot13"/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"foot_13_place"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13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1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3. alcím címe az 51/2017. (XII. 29.) NGM rendelet 3. § (2) bekezdésével megállapított szöveg.</w:t>
      </w:r>
    </w:p>
    <w:bookmarkStart w:id="32" w:name="foot14"/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"foot_14_place"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14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2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6–8. §</w:t>
      </w:r>
      <w:proofErr w:type="spellStart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-t</w:t>
      </w:r>
      <w:proofErr w:type="spellEnd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51/2017. (XII. 29.) NGM rendelet 3. § (5) bekezdés b) pontja hatályon kívül helyezte.</w:t>
      </w:r>
    </w:p>
    <w:bookmarkStart w:id="33" w:name="foot15"/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"foot_15_place"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15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3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9/</w:t>
      </w:r>
      <w:proofErr w:type="gramStart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</w:t>
      </w:r>
      <w:proofErr w:type="spellStart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-t</w:t>
      </w:r>
      <w:proofErr w:type="spellEnd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62/2016. (XII. 29.) NGM rendelet 65. § (5) bekezdése iktatta be, hatályon kívül helyezte az 51/2017. (XII. 29.) NGM rendelet 3. § (5) bekezdés c) pontja.</w:t>
      </w:r>
    </w:p>
    <w:bookmarkStart w:id="34" w:name="foot16"/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"foot_16_place"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16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4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10. § (1) bekezdése az 51/2017. (XII. 29.) NGM rendelet 3. § (1) bekezdésével megállapított szöveg.</w:t>
      </w:r>
    </w:p>
    <w:bookmarkStart w:id="35" w:name="foot17"/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"foot_17_place"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17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5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10. § (1a) bekezdését a 62/2016. (XII. 29.) NGM rendelet 65. § (6) bekezdése iktatta be, hatályon kívül helyezte az 51/2017. (XII. 29.) NGM rendelet 3. § (5) bekezdés d) pontja.</w:t>
      </w:r>
    </w:p>
    <w:bookmarkStart w:id="36" w:name="foot18"/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"foot_18_place"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18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6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10. § (2) bekezdése az 51/2017. (XII. 29.) NGM rendelet 3. § (4) bekezdés a) pontja szerint módosított szöveg.</w:t>
      </w:r>
    </w:p>
    <w:bookmarkStart w:id="37" w:name="foot19"/>
    <w:p w:rsidR="00577A47" w:rsidRPr="00577A47" w:rsidRDefault="00577A47" w:rsidP="00577A47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"http://njt.hu/cgi_bin/njt_doc.cgi?docid=165464.350632" \l "foot_19_place" </w:instrTex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577A47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19</w:t>
      </w:r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7"/>
      <w:r w:rsidRPr="00577A4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4. alcím címet az 51/2017. (XII. 29.) NGM rendelet 3. § (3) bekezdése iktatta be.</w:t>
      </w:r>
    </w:p>
    <w:p w:rsidR="00EC6102" w:rsidRDefault="00EC6102">
      <w:bookmarkStart w:id="38" w:name="_GoBack"/>
      <w:bookmarkEnd w:id="38"/>
    </w:p>
    <w:sectPr w:rsidR="00E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47"/>
    <w:rsid w:val="00577A47"/>
    <w:rsid w:val="00E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2167</Words>
  <Characters>14958</Characters>
  <Application>Microsoft Office Word</Application>
  <DocSecurity>0</DocSecurity>
  <Lines>124</Lines>
  <Paragraphs>34</Paragraphs>
  <ScaleCrop>false</ScaleCrop>
  <Company>NSZFH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Baráth Emese</dc:creator>
  <cp:lastModifiedBy>Sarkadiné Baráth Emese</cp:lastModifiedBy>
  <cp:revision>1</cp:revision>
  <dcterms:created xsi:type="dcterms:W3CDTF">2018-01-09T08:02:00Z</dcterms:created>
  <dcterms:modified xsi:type="dcterms:W3CDTF">2018-01-09T08:02:00Z</dcterms:modified>
</cp:coreProperties>
</file>