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A47" w:rsidRPr="00577A47" w:rsidRDefault="00577A47" w:rsidP="00577A47">
      <w:pPr>
        <w:spacing w:before="160" w:after="8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58/2013. (XII. 13.) NGM rendelet</w:t>
      </w:r>
    </w:p>
    <w:p w:rsidR="00577A47" w:rsidRPr="00577A47" w:rsidRDefault="00577A47" w:rsidP="00577A47">
      <w:pPr>
        <w:spacing w:after="32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a</w:t>
      </w:r>
      <w:proofErr w:type="gramEnd"/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 xml:space="preserve"> felnőttképzési minőségbiztosítási keretrendszerről, valamint a Felnőttképzési Szakértői Bizottság tagjairól, feladatairól és működésének részletes szabályairól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 felnőttképzésről szóló 2013. évi LXXVII. törvény 28. § (2) bekezdés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és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kapott felhatalmazás alapján – az egyes minisztereknek, valamint a Miniszterelnökséget vezető Államtitkár feladat- és hatásköréről szóló 212/2010. (VII. 1.) Korm. rendelet 73. §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n)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meghatározott feladatkörömben eljárva – a következőket rendelem el:</w:t>
      </w:r>
    </w:p>
    <w:p w:rsidR="00577A47" w:rsidRPr="00577A47" w:rsidRDefault="00577A47" w:rsidP="00577A47">
      <w:pP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1. Általános rendelkezések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1. §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 rendelet hatálya kiterjed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felnőttképzésről szóló 2013. évi LXXVII. törvény (a továbbiakban: 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.) szerinti felnőttképzést folytató intézményre,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minőségbiztosítási rendszer keretrendszernek való megfeleltethetőségére irányuló kérelmet benyújtó jogi személyre (a továbbiakban: kérelmező),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bookmarkStart w:id="0" w:name="foot_1_place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"foot1" </w:instrTex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1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0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Nemzeti Szakképzési és Felnőttképzési Hivatalra (a továbbiakban: NSZFH),</w:t>
      </w:r>
    </w:p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bookmarkStart w:id="1" w:name="foot_2_place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"foot2" </w:instrTex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2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"/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felnőttképzési szakértőkre, felnőttképzési programszakértőkre (a továbbiakban: szakértők),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f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bookmarkStart w:id="2" w:name="foot_3_place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"foot3" </w:instrTex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3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2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14. § (2) bekezdése szerinti külső értékelést (a továbbiakban: külső értékelés) végző jogi személyre,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g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bookmarkStart w:id="3" w:name="foot_4_place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"foot4" </w:instrTex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i/>
          <w:iCs/>
          <w:color w:val="0000FF"/>
          <w:sz w:val="24"/>
          <w:szCs w:val="24"/>
          <w:u w:val="single"/>
          <w:vertAlign w:val="superscript"/>
          <w:lang w:eastAsia="hu-HU"/>
        </w:rPr>
        <w:t>4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3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Pest Megyei Kormányhivatalra (a továbbiakban: kormányhivatal).</w:t>
      </w:r>
    </w:p>
    <w:p w:rsidR="00577A47" w:rsidRPr="00577A47" w:rsidRDefault="00577A47" w:rsidP="00577A47">
      <w:pP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2. A felnőttképzési minőségbiztosítási keretrendszer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2. §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</w:t>
      </w:r>
      <w:bookmarkStart w:id="4" w:name="foot_5_place"/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"foot5"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5</w: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4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felnőttképzési minőségbiztosítási keretrendszer (a továbbiakban: keretrendszer) alapján a felnőttképzést folytató intézmény létrehozza saját minőségbiztosítási rendszerét, melynek során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átfogó minőségpolitikát és ehhez kapcsolódó stratégiát alakít ki képzési tevékenysége minőségének biztosítása érdekében;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formális belső mechanizmusokat alakít ki képzési programjai indításának jóváhagyására, követésére és rendszeres belső értékelésére vonatkozóan;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eljárásokat alakít ki az oktatók folyamatos továbbképzésének és minősítésének biztosítására;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minden képzési programjához biztosítja az annak megvalósításához szükséges erőforrásokat;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gondoskodik képzési tevékenységének hatékonyságát biztosító információk gyűjtéséről, elemzéséről és felhasználásáról, és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f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honlapján rendszeresen közzéteszi a képzési tevékenységére vonatkozó naprakész, objektív mennyiségi és minőségi információkat.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 A felnőttképzést folytató intézmény a keretrendszer alábbiakban felsorolt alapelveinek érvényesítésével biztosítja, hogy minőségbiztosítási rendszere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tükrözze azt, hogy irányítási folyamatainak középpontjában a képzés minőségének növelése áll,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 feltételeinek folyamatos fejlesztésére irányul,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önértékelésre épüljön,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személyi feltételek folyamatos fejlesztésére irányuló szemléletet tükrözzön és segítse elő az oktatók továbbképzését és önképzését a képzés minőségének javítása érdekében,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lastRenderedPageBreak/>
        <w:t>e)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járuljon hozzá ahhoz, hogy az </w:t>
      </w:r>
      <w:proofErr w:type="gram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intézmény képzési</w:t>
      </w:r>
      <w:proofErr w:type="gram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tevékenységével kapcsolatos változtatások, a szolgáltatások minőségének javítása adatokon és visszajelzéseken alapuljon,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f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képzési tevékenység külső és belső résztvevőinek bevonására épüljön, és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g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legyen összhangban az intézmény méretével és képzéseinek összetettségével.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(3) A felnőttképzést folytató intézmény minőségbiztosítási rendszere a keretrendszer alábbiakban felsorolt tartalmi elemeiből áll: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minőségpolitikára vonatkozó dokumentum, mely tartalmazza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aa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minőségre vonatkozó intézményi stratégiát,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ab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intézmény szervezeti egységei és alkalmazottai minőségbiztosítással kapcsolatos felelősségét,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ac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képzésben résztvevők bevonásának módját a minőségbiztosítás megvalósításába,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ad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minőségpolitika megvalósításának, figyelemmel kisérésének és felülvizsgálatának módját;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képzési programokkal kapcsolatos minőségbiztosítási dokumentum, mely tartalmazza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ba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képzési programok és tananyagok tervezésével és tartalmi felülvizsgálatával kapcsolatos eljárást,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bb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képzési programok végrehajtásához szükséges személyi és tárgyi feltételek, pénzügyi források biztosítására vonatkozó eljárást,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bc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képzésben résztvevő felnőttek előrehaladásának és teljesítményének figyelemmel kisérésére vonatkozó módszereket,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bd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munkáltatók és a munkaerőpiac egyéb szervezetei képzési programokkal kapcsolatos véleménye visszacsatolására vonatkozó eljárást,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be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képzési programok nyilvánosságával kapcsolatos eljárást;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oktatók felkészültségével, oktatói kompetenciáik folyamatos fejlesztésével kapcsolatos dokumentum, mely tartalmazza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ca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oktatók alkalmazásával kapcsolatos követelményeket és eljárást,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cb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oktatók kompetenciáinak fejlesztésével kapcsolatos módszereket,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cc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oktatók teljesítményével kapcsolatos visszacsatolásra vonatkozó eljárást;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intézmény információs rendszere, mely kiterjed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da)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képzésben résztvevő felnőttek tanulási eredményeivel kapcsolatos adatok gyűjtésére és elemzésére,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db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képzésben résztvevő felnőttek elégedettség-mérésével kapcsolatos adatok gyűjtésére és elemzésére,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dc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oktatói teljesítményekkel kapcsolatos adatok gyűjtésére és elemzésére,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dd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intézmény rendelkezésére álló erőforrások hatékonyságával kapcsolatos adatok gyűjtésére és elemzésére,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de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képzésekkel megszerzett kompetenciák munkaerő-piaci hasznosulásával kapcsolatos adatok gyűjtésére és elemzésére,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df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intézmény tevékenységével összefüggő információ nyilvánosságával összefüggő eljárásra;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panaszok kezeléséről szóló dokumentum, mely tartalmazza a panaszok kivizsgálásának és kezelésének módját,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f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intézmény minőségbiztosítási rendszerének működtetése során keletkezett eltérések kiküszöbölésére irányuló helyesbítő, és ismételt előfordulásuk megakadályozására irányuló megelőző tevékenységek menetét tartalmazó dokumentum, és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g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intézmény tevékenységének önértékelésére vonatkozó eljárást tartalmazó dokumentum.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(4) A felnőttképzést folytató intézmény önértékelésének gyakoriságáról maga dönt.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lastRenderedPageBreak/>
        <w:t>3. §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 A felnőttképzést folytató intézmény a minőségbiztosítási rendszerében a 2. § (3) bekezdés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 </w:t>
      </w: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ba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és </w:t>
      </w: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bb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), bd)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és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be)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alpontjában,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ca)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és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cc</w:t>
      </w: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alpontjában</w:t>
      </w:r>
      <w:proofErr w:type="gram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,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df)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alpontjában és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g)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foglalt tartalmi elemekhez tartozó minőségi jellemzőket (indikátorokat) az alábbiak szerint határozza meg: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minőségi jellemző legyen alkalmas a tartalmi elem eredményének, eredményeinek kifejezésére, és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minőségi jellemzőhöz az érintett tartalmi elemmel elérni kívánt célérték, célértékek hozzárendelése szükséges a felnőttképzési tevékenység folytatásához szükséges engedélyezési eljárásra és követelményrendszerre, a felnőttképzést folytató intézmények nyilvántartásának vezetésére, valamint a felnőttképzést folytató intézmények ellenőrzésére vonatkozó részletes szabályokról szóló 393/2013. (XI. 12.) Korm. rendelet 17. § (1) bekezdésében foglalt minőségcélok figyelembevételével.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 Az (1) bekezdés szerint meghatározott minőségi jellemzőhöz rendelt célérték nem teljesülése esetén a felnőttképzést folytató intézmény feltárja az okokat, és a 2. § (3) bekezdés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f)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pontjában meghatározott helyesbítő tevékenységet végez, amely a kitűzött célérték teljesítéséhez szükséges lépéseket tartalmazza, vagy a célérték – következő időszakra vonatkozó – indokolt módosítását valósítja meg.</w:t>
      </w:r>
    </w:p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4. §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</w:t>
      </w:r>
      <w:bookmarkStart w:id="5" w:name="foot_6_place"/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"foot6"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6</w: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5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Minőségbiztosítási rendszer keretrendszernek való megfeleltethetőségére irányuló kérelem (a továbbiakban: kérelem) az 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NSZFH-hoz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nyújtható be kizárólag elektronikus úton. A kérelem az NSZFH honlapján erre a célra rendszeresített elektronikus űrlap kitöltésével nyújtható be. Kérelmet a minőségbiztosítási rendszer kidolgozója, tulajdonosa vagy annak alkalmazását tanúsító jogi személy nyújthat be. A kérelmező a kérelemhez mellékeli a minőségbiztosítási rendszer leírását.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 Az (1) bekezdés szerinti kérelem tartalmazza a kérelmező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nevét,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székhelyét,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képviselőjének nevét,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d)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elektronikus elérhetőségét,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e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által benyújtott minőségbiztosítási rendszer keretrendszernek való megfeleltethetőségére irányuló indoklást és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f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(3) bekezdés szerinti nyilatkozatát.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(3)</w:t>
      </w:r>
      <w:bookmarkStart w:id="6" w:name="foot_7_place"/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"foot7"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7</w: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6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kérelmező az (1) bekezdés szerinti kérelem benyújtásával egyidejűleg nyilatkozik arról, hogy a szakképzésért és felnőttképzésért felelős miniszter (a továbbiakban: miniszter) által meghozott, a minőségbiztosítási rendszer alkalmazására vonatkozó döntést követően hozzájárul-e a keretrendszernek megfelelő minőségbiztosítási rendszerének az NSZFH honlapján történő közzétételéhez.</w:t>
      </w:r>
    </w:p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5. §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</w:t>
      </w:r>
      <w:bookmarkStart w:id="7" w:name="foot_8_place"/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"foot8"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8</w: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7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NSZFH megvizsgálja, hogy a kérelem megfelel-e az alábbiaknak: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proofErr w:type="gram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</w:t>
      </w:r>
      <w:proofErr w:type="gram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benyújtott minőségbiztosítási rendszer tükrözi-e a 2. § (2) bekezdésében megjelölt alapelveket,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b)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benyújtott minőségbiztosítási rendszerben meghatározott dokumentumok tartalma megfelel-e a 2. § (3) bekezdésében foglalt tartalmi elemeknek,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c)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benyújtott minőségbiztosítási rendszer – a 3. § (1) bekezdésben foglaltak szerint – meghatározza-e a tartalmi elemekhez tartozó minőségi jellemzőket.</w:t>
      </w:r>
    </w:p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</w:t>
      </w:r>
      <w:bookmarkStart w:id="8" w:name="foot_9_place"/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"foot9"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9</w: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8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NSZFH a kérelem beérkezését követő harminc napon belül megvizsgálja a minőségbiztosítási rendszer keretrendszernek való megfeleltethetőségét. Ha megállapítja, hogy a minőségbiztosítási rendszer annak hiányosságai miatt a keretrendszernek nem feleltethető meg, a kérelmezőt – a hiányosságok megjelölésével, azok tizenöt napon belül történő teljesítésének lehetőségével – felhívja a minőségbiztosítási rendszer kiigazítására.</w:t>
      </w:r>
    </w:p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lastRenderedPageBreak/>
        <w:t>(3)</w:t>
      </w:r>
      <w:bookmarkStart w:id="9" w:name="foot_10_place"/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"foot10"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10</w: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9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NSZFH az (2) bekezdésben foglalt vizsgálatot követően dönt a miniszternek javasolható, a keretrendszernek megfelelő minőségbiztosítási rendszerekről. A keretrendszernek megfelelő minőségbiztosítási rendszerek közül kiválasztja a felnőttképzési tevékenységet folytató intézményeknél alkalmazható minőségbiztosítási rendszereket, és az erre vonatkozó, indoklással ellátott javaslatot – ideértve a keretrendszer alkalmazására vonatkozó gyakorlati, és az összeférhetetlenségi szabályokat is – minden év március 31-ig, július 31-ig és november 30-ig megküldi a miniszternek. Az NSZFH a keretrendszernek nem megfeleltethető minőségbiztosítási rendszerre vonatkozó döntéséről – azt követő öt napon belül – értesíti a kérelmezőt.</w:t>
      </w:r>
    </w:p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(4)</w:t>
      </w:r>
      <w:bookmarkStart w:id="10" w:name="foot_11_place"/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"foot11"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11</w: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0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miniszter az NSZFH (3) bekezdésben foglalt javaslatáról – annak megküldésétől számított – harminc napon belül dönt. A miniszter döntéséről – az NSZFH útján – értesíti a kérelmezőt.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(5)</w:t>
      </w:r>
      <w:bookmarkStart w:id="11" w:name="foot_12_place"/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"foot12"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12</w: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1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NSZFH a miniszter (4) bekezdés szerinti döntéséről szóló értesítést követő öt napon belül – a kérelmező hozzájáruló nyilatkozata esetén – honlapján nyilvánosságra hozza a keretrendszernek megfelelő és a felnőttképzési tevékenységet folytató intézményekben alkalmazható minőségbiztosítási rendszert.</w:t>
      </w:r>
    </w:p>
    <w:p w:rsidR="00577A47" w:rsidRPr="00577A47" w:rsidRDefault="00577A47" w:rsidP="00577A47">
      <w:pPr>
        <w:pBdr>
          <w:left w:val="single" w:sz="36" w:space="3" w:color="FF0000"/>
        </w:pBd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3.</w:t>
      </w:r>
      <w:bookmarkStart w:id="12" w:name="foot_13_place"/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"foot13" </w:instrText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13</w:t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2"/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 A külső értékelésről szóló vizsgálat, valamint az előzetes minősítés és a külső értékelés díja</w:t>
      </w:r>
    </w:p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6–8. §</w:t>
      </w:r>
      <w:bookmarkStart w:id="13" w:name="foot_14_place"/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"foot14" </w:instrText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14</w:t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3"/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9. §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 képzési programnak az 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10. § (1) bekezdés </w:t>
      </w:r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pont </w:t>
      </w:r>
      <w:proofErr w:type="spellStart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aa</w:t>
      </w:r>
      <w:proofErr w:type="spellEnd"/>
      <w:r w:rsidRPr="00577A47">
        <w:rPr>
          <w:rFonts w:ascii="Times" w:eastAsia="Times New Roman" w:hAnsi="Times" w:cs="Times"/>
          <w:i/>
          <w:iCs/>
          <w:color w:val="000000"/>
          <w:sz w:val="24"/>
          <w:szCs w:val="24"/>
          <w:lang w:eastAsia="hu-HU"/>
        </w:rPr>
        <w:t>)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alpontja szerinti előzetes minősítéséért a felnőttképzési szakértő vagy a felnőttképzési programszakértő által felszámított díj legmagasabb összege hatvanezer forintnál nem lehet magasabb.</w:t>
      </w:r>
    </w:p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9/</w:t>
      </w:r>
      <w:proofErr w:type="gramStart"/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A.</w:t>
      </w:r>
      <w:proofErr w:type="gramEnd"/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 xml:space="preserve"> §</w:t>
      </w:r>
      <w:bookmarkStart w:id="14" w:name="foot_15_place"/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"foot15" </w:instrText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15</w:t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4"/>
    </w:p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10. §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</w:t>
      </w:r>
      <w:bookmarkStart w:id="15" w:name="foot_16_place"/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"foot16"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16</w: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5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 Az 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Fktv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14. § (2) bekezdésében előírt külső értékelés során az értékelést végző azt vizsgálja, hogy a felnőttképzést folytató intézmény a minőségbiztosítási rendszerében foglaltaknak megfelelően végzi-e a tevékenységét. A külső értékelésről az értékelést végző aláírt véleményt ad át az intézménynek.</w:t>
      </w:r>
    </w:p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(1a)</w:t>
      </w:r>
      <w:bookmarkStart w:id="16" w:name="foot_17_place"/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"foot17"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17</w: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6"/>
    </w:p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</w:t>
      </w:r>
      <w:bookmarkStart w:id="17" w:name="foot_18_place"/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"foot18"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18</w:t>
      </w:r>
      <w:r w:rsidRPr="00577A47">
        <w:rPr>
          <w:rFonts w:ascii="Times" w:eastAsia="Times New Roman" w:hAnsi="Times" w:cs="Times"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7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(1) bekezdés szerinti külső értékelésnél felszámítható díj legmagasabb összegét a miniszter – az NSZFH javaslata alapján – minden év március 31-ig közleményben állapítja meg.</w:t>
      </w:r>
    </w:p>
    <w:p w:rsidR="00577A47" w:rsidRPr="00577A47" w:rsidRDefault="00577A47" w:rsidP="00577A47">
      <w:pPr>
        <w:pBdr>
          <w:left w:val="single" w:sz="36" w:space="3" w:color="FF0000"/>
        </w:pBdr>
        <w:spacing w:before="160" w:after="160" w:line="240" w:lineRule="auto"/>
        <w:ind w:firstLine="180"/>
        <w:jc w:val="center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4.</w:t>
      </w:r>
      <w:bookmarkStart w:id="18" w:name="foot_19_place"/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begin"/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instrText xml:space="preserve"> HYPERLINK "http://njt.hu/cgi_bin/njt_doc.cgi?docid=165464.350632" \l "foot19" </w:instrText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separate"/>
      </w:r>
      <w:r w:rsidRPr="00577A47">
        <w:rPr>
          <w:rFonts w:ascii="Times" w:eastAsia="Times New Roman" w:hAnsi="Times" w:cs="Times"/>
          <w:b/>
          <w:bCs/>
          <w:color w:val="0000FF"/>
          <w:sz w:val="24"/>
          <w:szCs w:val="24"/>
          <w:u w:val="single"/>
          <w:vertAlign w:val="superscript"/>
          <w:lang w:eastAsia="hu-HU"/>
        </w:rPr>
        <w:t>19</w:t>
      </w: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vertAlign w:val="superscript"/>
          <w:lang w:eastAsia="hu-HU"/>
        </w:rPr>
        <w:fldChar w:fldCharType="end"/>
      </w:r>
      <w:bookmarkEnd w:id="18"/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 Záró rendelkezések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11. §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Ez a rendelet a kihirdetését követő napon lép hatályba.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b/>
          <w:bCs/>
          <w:color w:val="000000"/>
          <w:sz w:val="24"/>
          <w:szCs w:val="24"/>
          <w:lang w:eastAsia="hu-HU"/>
        </w:rPr>
        <w:t>12. §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(1) E rendelet a belső piaci szolgáltatásokról szóló 2006. december 12-i 2006/123/EK európai parlamenti és tanácsi irányelvnek való megfelelést szolgálja.</w:t>
      </w:r>
    </w:p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(2) A rendelet tervezetének a belső piaci szolgáltatásokról szóló 2006. december 12-i 2006/123/EK európai parlamenti és tanácsi irányelv 15. cikk (7) bekezdése szerinti bejelentése megtörtént.</w:t>
      </w:r>
    </w:p>
    <w:p w:rsidR="00577A47" w:rsidRPr="00577A47" w:rsidRDefault="00577A47" w:rsidP="00577A47">
      <w:pPr>
        <w:spacing w:after="0" w:line="240" w:lineRule="auto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pict>
          <v:rect id="_x0000_i1025" style="width:0;height:1.5pt" o:hralign="center" o:hrstd="t" o:hr="t" fillcolor="#a0a0a0" stroked="f"/>
        </w:pict>
      </w:r>
    </w:p>
    <w:bookmarkStart w:id="19" w:name="foot1"/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"foot_1_place"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19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1. § c) pontja az 55/2014. (XII. 31.) NGM rendelet 16. § (1) bekezdésével megállapított szöveg.</w:t>
      </w:r>
    </w:p>
    <w:bookmarkStart w:id="20" w:name="foot2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"foot_2_place"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2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0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1. § d) pontját az 51/2017. (XII. 29.) NGM rendelet 3. § (5) bekezdés a) pontja hatályon kívül helyezte.</w:t>
      </w:r>
    </w:p>
    <w:bookmarkStart w:id="21" w:name="foot3"/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"foot_3_place"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3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1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1. § f) pontja a 62/2016. (XII. 29.) NGM rendelet 65. § (1) bekezdésével megállapított szöveg.</w:t>
      </w:r>
    </w:p>
    <w:bookmarkStart w:id="22" w:name="foot4"/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"foot_4_place"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4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2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1. § g) pontját a 62/2016. (XII. 29.) NGM rendelet 65. § (2) bekezdése iktatta be.</w:t>
      </w:r>
    </w:p>
    <w:bookmarkStart w:id="23" w:name="foot5"/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lastRenderedPageBreak/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"foot_5_place"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5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3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2. § (1) bekezdés nyitó szövegrésze a 14/2014. (III. 31.) NGM rendelet 14. §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-ával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megállapított szöveg.</w:t>
      </w:r>
    </w:p>
    <w:bookmarkStart w:id="24" w:name="foot6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"foot_6_place"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6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4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4. § (1) bekezdése az 51/2017. (XII. 29.) NGM rendelet 3. § (4) bekezdés a)–b) pontja szerint módosított szöveg.</w:t>
      </w:r>
    </w:p>
    <w:bookmarkStart w:id="25" w:name="foot7"/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"foot_7_place"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7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5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4. § (3) bekezdése az 55/2014. (XII. 31.) NGM rendelet 16. § (2) bekezdése szerint módosított szöveg.</w:t>
      </w:r>
    </w:p>
    <w:bookmarkStart w:id="26" w:name="foot8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"foot_8_place"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8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6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(1) bekezdés nyitó szövegrésze az 51/2017. (XII. 29.) NGM rendelet 3. § (4) bekezdés a) pontja szerint módosított szöveg.</w:t>
      </w:r>
    </w:p>
    <w:bookmarkStart w:id="27" w:name="foot9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"foot_9_place"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9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7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(2) bekezdése az 51/2017. (XII. 29.) NGM rendelet 3. § (4) bekezdés a) pontja szerint módosított szöveg.</w:t>
      </w:r>
    </w:p>
    <w:bookmarkStart w:id="28" w:name="foot10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"foot_10_place"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10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8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(3) bekezdése az 51/2017. (XII. 29.) NGM rendelet 3. § (4) bekezdés c) pontja szerint módosított szöveg.</w:t>
      </w:r>
    </w:p>
    <w:bookmarkStart w:id="29" w:name="foot11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"foot_11_place"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11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29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(4) bekezdése az 55/2014. (XII. 31.) NGM rendelet 16. § (2) bekezdése, az 51/2017. (XII. 29.) NGM rendelet 3. § (4) bekezdés a) pontja szerint módosított szöveg.</w:t>
      </w:r>
    </w:p>
    <w:bookmarkStart w:id="30" w:name="foot12"/>
    <w:p w:rsidR="00577A47" w:rsidRPr="00577A47" w:rsidRDefault="00577A47" w:rsidP="00577A47">
      <w:pP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"foot_12_place"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12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0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Az 5. § (5) bekezdése az 55/2014. (XII. 31.) NGM rendelet 16. § (2) bekezdése szerint módosított szöveg.</w:t>
      </w:r>
    </w:p>
    <w:bookmarkStart w:id="31" w:name="foot13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"foot_13_place"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13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1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3. alcím címe az 51/2017. (XII. 29.) NGM rendelet 3. § (2) bekezdésével megállapított szöveg.</w:t>
      </w:r>
    </w:p>
    <w:bookmarkStart w:id="32" w:name="foot14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"foot_14_place"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14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2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6–8. §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-t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az 51/2017. (XII. 29.) NGM rendelet 3. § (5) bekezdés b) pontja hatályon kívül helyezte.</w:t>
      </w:r>
    </w:p>
    <w:bookmarkStart w:id="33" w:name="foot15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"foot_15_place"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15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3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9/</w:t>
      </w:r>
      <w:proofErr w:type="gram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A</w:t>
      </w:r>
      <w:proofErr w:type="gram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. §</w:t>
      </w:r>
      <w:proofErr w:type="spellStart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-t</w:t>
      </w:r>
      <w:proofErr w:type="spellEnd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 xml:space="preserve"> a 62/2016. (XII. 29.) NGM rendelet 65. § (5) bekezdése iktatta be, hatályon kívül helyezte az 51/2017. (XII. 29.) NGM rendelet 3. § (5) bekezdés c) pontja.</w:t>
      </w:r>
    </w:p>
    <w:bookmarkStart w:id="34" w:name="foot16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"foot_16_place"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16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4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10. § (1) bekezdése az 51/2017. (XII. 29.) NGM rendelet 3. § (1) bekezdésével megállapított szöveg.</w:t>
      </w:r>
    </w:p>
    <w:bookmarkStart w:id="35" w:name="foot17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"foot_17_place"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17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5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10. § (1a) bekezdését a 62/2016. (XII. 29.) NGM rendelet 65. § (6) bekezdése iktatta be, hatályon kívül helyezte az 51/2017. (XII. 29.) NGM rendelet 3. § (5) bekezdés d) pontja.</w:t>
      </w:r>
    </w:p>
    <w:bookmarkStart w:id="36" w:name="foot18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"foot_18_place"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18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6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10. § (2) bekezdése az 51/2017. (XII. 29.) NGM rendelet 3. § (4) bekezdés a) pontja szerint módosított szöveg.</w:t>
      </w:r>
    </w:p>
    <w:bookmarkStart w:id="37" w:name="foot19"/>
    <w:p w:rsidR="00577A47" w:rsidRPr="00577A47" w:rsidRDefault="00577A47" w:rsidP="00577A47">
      <w:pPr>
        <w:pBdr>
          <w:left w:val="single" w:sz="36" w:space="3" w:color="FF0000"/>
        </w:pBdr>
        <w:spacing w:after="20" w:line="240" w:lineRule="auto"/>
        <w:ind w:firstLine="180"/>
        <w:jc w:val="both"/>
        <w:rPr>
          <w:rFonts w:ascii="Times" w:eastAsia="Times New Roman" w:hAnsi="Times" w:cs="Times"/>
          <w:color w:val="000000"/>
          <w:sz w:val="24"/>
          <w:szCs w:val="24"/>
          <w:lang w:eastAsia="hu-HU"/>
        </w:rPr>
      </w:pP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begin"/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instrText xml:space="preserve"> HYPERLINK "http://njt.hu/cgi_bin/njt_doc.cgi?docid=165464.350632" \l "foot_19_place" </w:instrTex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separate"/>
      </w:r>
      <w:r w:rsidRPr="00577A47">
        <w:rPr>
          <w:rFonts w:ascii="Times" w:eastAsia="Times New Roman" w:hAnsi="Times" w:cs="Times"/>
          <w:color w:val="0000FF"/>
          <w:sz w:val="24"/>
          <w:szCs w:val="24"/>
          <w:u w:val="single"/>
          <w:vertAlign w:val="superscript"/>
          <w:lang w:eastAsia="hu-HU"/>
        </w:rPr>
        <w:t>19</w:t>
      </w:r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fldChar w:fldCharType="end"/>
      </w:r>
      <w:bookmarkEnd w:id="37"/>
      <w:r w:rsidRPr="00577A47">
        <w:rPr>
          <w:rFonts w:ascii="Times" w:eastAsia="Times New Roman" w:hAnsi="Times" w:cs="Times"/>
          <w:color w:val="000000"/>
          <w:sz w:val="24"/>
          <w:szCs w:val="24"/>
          <w:lang w:eastAsia="hu-HU"/>
        </w:rPr>
        <w:t> A 4. alcím címet az 51/2017. (XII. 29.) NGM rendelet 3. § (3) bekezdése iktatta be.</w:t>
      </w:r>
    </w:p>
    <w:p w:rsidR="00EC6102" w:rsidRDefault="00EC6102">
      <w:bookmarkStart w:id="38" w:name="_GoBack"/>
      <w:bookmarkEnd w:id="38"/>
    </w:p>
    <w:sectPr w:rsidR="00EC61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A47"/>
    <w:rsid w:val="00577A47"/>
    <w:rsid w:val="00EC6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352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4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2167</Words>
  <Characters>14958</Characters>
  <Application>Microsoft Office Word</Application>
  <DocSecurity>0</DocSecurity>
  <Lines>124</Lines>
  <Paragraphs>34</Paragraphs>
  <ScaleCrop>false</ScaleCrop>
  <Company>NSZFH</Company>
  <LinksUpToDate>false</LinksUpToDate>
  <CharactersWithSpaces>17091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Sarkadiné Baráth Emese</dc:creator>
  <cp:lastModifiedBy>Sarkadiné Baráth Emese</cp:lastModifiedBy>
  <cp:revision>1</cp:revision>
  <dcterms:created xsi:type="dcterms:W3CDTF">2018-01-09T08:02:00Z</dcterms:created>
  <dcterms:modified xsi:type="dcterms:W3CDTF">2018-01-09T08:02:00Z</dcterms:modified>
</cp:coreProperties>
</file>