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1809" w:rsidRDefault="009F1809" w:rsidP="009F1809">
      <w:pPr>
        <w:autoSpaceDE w:val="0"/>
        <w:autoSpaceDN w:val="0"/>
        <w:adjustRightInd w:val="0"/>
        <w:spacing w:before="120" w:after="6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4/2008. (IV. 22.) SZMM rendelet</w:t>
      </w: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F1809" w:rsidRDefault="009F1809" w:rsidP="009F1809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regionális fejlesztési és képzési bizottságok működéséről</w:t>
      </w: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szakképzési hozzájárulásról és a képzés fejlesztésének támogatásáról szóló 2003. évi LXXXVI. törvény 28. § (4)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pontjában foglalt felhatalmazás alapján, a szociális és munkaügyi miniszter feladat- és hatásköréről szóló 170/2006. (VII. 28.) Korm. rendelet 1. § </w:t>
      </w:r>
      <w:r>
        <w:rPr>
          <w:rFonts w:ascii="Times New Roman" w:hAnsi="Times New Roman" w:cs="Times New Roman"/>
          <w:i/>
          <w:iCs/>
          <w:sz w:val="20"/>
          <w:szCs w:val="20"/>
        </w:rPr>
        <w:t>g)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feladatkörömben eljárva – az oktatási és kulturális miniszter feladat- és hatásköréről szóló 167/2006. (VII. 28.) Korm. rendelet 1. §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feladatkörében eljáró oktatási és kulturális miniszterrel, valamint a pénzügyminiszter feladat- és hatásköréről szóló 169/2006. (VII. 28.) Korm. rendelet 1. §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és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feladatkörében eljáró pénzügyminiszterrel egyetértésben – a következőket rendelem el:</w:t>
      </w: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§</w:t>
      </w:r>
      <w:r>
        <w:rPr>
          <w:rFonts w:ascii="Times New Roman" w:hAnsi="Times New Roman" w:cs="Times New Roman"/>
          <w:sz w:val="20"/>
          <w:szCs w:val="20"/>
        </w:rPr>
        <w:t xml:space="preserve"> (1) A regionális fejlesztési és képzési bizottság (a továbbiakban: bizottság) a szakképzésért és felnőttképzésért felelős miniszter (a továbbiakban: miniszter) által felkért tagokból álló, a szakképzési hozzájárulásról és a képzés fejlesztésének támogatásáról szóló 2003. évi LXXXVI. törvény (a továbbiakban: </w:t>
      </w:r>
      <w:proofErr w:type="spellStart"/>
      <w:r>
        <w:rPr>
          <w:rFonts w:ascii="Times New Roman" w:hAnsi="Times New Roman" w:cs="Times New Roman"/>
          <w:sz w:val="20"/>
          <w:szCs w:val="20"/>
        </w:rPr>
        <w:t>Szht</w:t>
      </w:r>
      <w:proofErr w:type="spellEnd"/>
      <w:r>
        <w:rPr>
          <w:rFonts w:ascii="Times New Roman" w:hAnsi="Times New Roman" w:cs="Times New Roman"/>
          <w:sz w:val="20"/>
          <w:szCs w:val="20"/>
        </w:rPr>
        <w:t>.) 13. § (2) bekezdésében, valamint a közoktatásról szóló 1993. évi LXXIX. törvény 89/B. § (1) bekezdésében meghatározott feladatok ellátására létrehozott, régiónként működő testület.</w:t>
      </w: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1"/>
      </w:r>
      <w:r>
        <w:rPr>
          <w:rFonts w:ascii="Times New Roman" w:hAnsi="Times New Roman" w:cs="Times New Roman"/>
          <w:sz w:val="20"/>
          <w:szCs w:val="20"/>
        </w:rPr>
        <w:t xml:space="preserve"> Az </w:t>
      </w:r>
      <w:proofErr w:type="spellStart"/>
      <w:r>
        <w:rPr>
          <w:rFonts w:ascii="Times New Roman" w:hAnsi="Times New Roman" w:cs="Times New Roman"/>
          <w:sz w:val="20"/>
          <w:szCs w:val="20"/>
        </w:rPr>
        <w:t>Szht</w:t>
      </w:r>
      <w:proofErr w:type="spellEnd"/>
      <w:r>
        <w:rPr>
          <w:rFonts w:ascii="Times New Roman" w:hAnsi="Times New Roman" w:cs="Times New Roman"/>
          <w:sz w:val="20"/>
          <w:szCs w:val="20"/>
        </w:rPr>
        <w:t>. 13. § (3) bekezdésében meghatározott szerveket, testületeket – a szakképzést folytató intézmények fenntartói kivételével – a miniszter keresi meg a bizottság tagjaira vonatkozó javaslatok megtételére. A szakképzést folytató intézmények fenntartóinak képviselőire vonatkozó javaslat beszerzésében – a miniszter erre irányuló felkérése alapján – fővárosi és megyei kormányhivatal munkaügyi központja (a továbbiakban: munkaügyi központ) működik közre.</w:t>
      </w: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szakképzést folytató intézmények fenntartói által delegált személyekről való döntés során valamennyi érdekelt fenntartó részére véleménynyilvánítási lehetőséget kell biztosítani. A bizottságba delegált személyre vonatkozó javaslatról az érdekeltek – legalább kétharmaduk részvétele esetén – egyszerű szótöbbséggel döntenek.</w:t>
      </w: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A javaslattételre jogosult a bizottsági tagságra jelölt személyéről a javaslatot a megkereséstől számított 45 napon belül küldi meg a miniszternek. A miniszter a javasolt személyt a javaslat kézhezvételét követő 30 napon belül kéri fel a bizottsági tagságra.</w:t>
      </w: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§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footnoteReference w:id="2"/>
      </w:r>
      <w:r>
        <w:rPr>
          <w:rFonts w:ascii="Times New Roman" w:hAnsi="Times New Roman" w:cs="Times New Roman"/>
          <w:sz w:val="20"/>
          <w:szCs w:val="20"/>
        </w:rPr>
        <w:t xml:space="preserve"> (1) A bizottság tagjainak névsorát a kormányzati portálon közzé kell tenni.</w:t>
      </w: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bizottságnak az éves működtetésére fordítható keretösszeg felhasználására vonatkozó – a tervezett költségeket kiemelt előirányzati bontásban, tételesen meghatározó – költségvetést a tárgyév február 15. napjáig kell elfogadnia. A költségvetés elfogadásához, valamint módosításához a jelenlévő bizottsági tagok kétharmadának a szavazata szükséges.</w:t>
      </w: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 §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footnoteReference w:id="3"/>
      </w:r>
      <w:r>
        <w:rPr>
          <w:rFonts w:ascii="Times New Roman" w:hAnsi="Times New Roman" w:cs="Times New Roman"/>
          <w:sz w:val="20"/>
          <w:szCs w:val="20"/>
        </w:rPr>
        <w:t xml:space="preserve"> A bizottság működésével, a hatáskörébe tartozó döntések, javaslatok, állásfoglalások előkészítésével és a végrehajtással, valamint működtetési költségeinek felhasználásával kapcsolatos feladatokat a bizottság munkaszervezeteként a munkaügyi központ látja el.</w:t>
      </w: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4. §</w:t>
      </w:r>
      <w:r>
        <w:rPr>
          <w:rFonts w:ascii="Times New Roman" w:hAnsi="Times New Roman" w:cs="Times New Roman"/>
          <w:sz w:val="20"/>
          <w:szCs w:val="20"/>
        </w:rPr>
        <w:t xml:space="preserve"> (1)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4"/>
      </w:r>
      <w:r>
        <w:rPr>
          <w:rFonts w:ascii="Times New Roman" w:hAnsi="Times New Roman" w:cs="Times New Roman"/>
          <w:sz w:val="20"/>
          <w:szCs w:val="20"/>
        </w:rPr>
        <w:t xml:space="preserve"> A bizottság az ügyrendjét a jelenlévő tagok egyhangú döntése alapján maga határozza meg. Egyhangú döntés hiányában az ügyrendet a 30 napon belül megismételt ülésen jelen levő bizottsági tagok kétharmadának szavazatával fogadja el.</w:t>
      </w: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Az ügyrend tartalmazza:</w:t>
      </w: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bizottság tisztségviselőinek feladat- és hatáskörét,</w:t>
      </w: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bizottság elnökének helyettesítési rendjét,</w:t>
      </w: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tanácskozási jog gyakorlásának módját,</w:t>
      </w: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szükség szerint a döntések előkészítését, végrehajtását végző munkabizottságok létrehozását és működését,</w:t>
      </w: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határozathozatal szabályait,</w:t>
      </w: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f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decentralizált keret terhére meghirdetett pályázatokkal kapcsolatos eljárási szabályokat, ideértve a pályáztatásba bevont szakértői bizottságra vonatkozó szabályokat is,</w:t>
      </w: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g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footnoteReference w:id="5"/>
      </w:r>
      <w:r>
        <w:rPr>
          <w:rFonts w:ascii="Times New Roman" w:hAnsi="Times New Roman" w:cs="Times New Roman"/>
          <w:sz w:val="20"/>
          <w:szCs w:val="20"/>
        </w:rPr>
        <w:t xml:space="preserve"> a bizottság működésével összefüggésben a munkaügyi központra háruló feladatokat,</w:t>
      </w: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h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footnoteReference w:id="6"/>
      </w:r>
      <w:r>
        <w:rPr>
          <w:rFonts w:ascii="Times New Roman" w:hAnsi="Times New Roman" w:cs="Times New Roman"/>
          <w:sz w:val="20"/>
          <w:szCs w:val="20"/>
        </w:rPr>
        <w:t xml:space="preserve"> a bizottság működtetéséhez biztosított éves keretösszeg felhasználására vonatkozó költségvetés elfogadásának rendjét.</w:t>
      </w: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miniszter az ügyrendet annak felterjesztésétől számított 30 napon belül hagyja jóvá. A miniszter az ügyrend jóváhagyását megtagadja, ha az jogszabályt sért, vagy a támogatási rendszer működését akadályozná.</w:t>
      </w: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5. §</w:t>
      </w:r>
      <w:r>
        <w:rPr>
          <w:rFonts w:ascii="Times New Roman" w:hAnsi="Times New Roman" w:cs="Times New Roman"/>
          <w:sz w:val="20"/>
          <w:szCs w:val="20"/>
        </w:rPr>
        <w:t xml:space="preserve"> (1) A bizottság a munkatervében meghatározottak szerint, de évente legalább hat alkalommal ülésezik. A bizottság ülései nyilvánosak.</w:t>
      </w: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bizottság ülését az elnök hívja össze. A bizottság üléseinek időpontját, helyét és – a társelnök egyetértésével kialakított – tervezett napirendjét az elnök határozza meg; erről a bizottság tagjait a kijelölt időpont előtt legalább 8 nappal korábban írásban értesíteni kell. A bizottság ülésére a szakképesítésért felelős miniszter erre kijelölt képviselőjét is meg kell hívni.</w:t>
      </w: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bizottság elnöke köteles a bizottság rendkívüli ülését annak kezdeményezésétől számított 30 napon belüli időpontra összehívni, ha a társelnök vagy a bizottság tagjainak egyharmada azt írásban a napirend megjelölésével kezdeményezi.</w:t>
      </w: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7"/>
      </w:r>
      <w:r>
        <w:rPr>
          <w:rFonts w:ascii="Times New Roman" w:hAnsi="Times New Roman" w:cs="Times New Roman"/>
          <w:sz w:val="20"/>
          <w:szCs w:val="20"/>
        </w:rPr>
        <w:t xml:space="preserve"> A bizottság szavazati joggal rendelkező tagjait – ülésenkénti részvételük alapján – a kötelező legkisebb munkabér havi összege 50%-ának megfelelő tiszteletdíj illeti meg.</w:t>
      </w: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6. §</w:t>
      </w:r>
      <w:r>
        <w:rPr>
          <w:rFonts w:ascii="Times New Roman" w:hAnsi="Times New Roman" w:cs="Times New Roman"/>
          <w:sz w:val="20"/>
          <w:szCs w:val="20"/>
        </w:rPr>
        <w:t xml:space="preserve"> (1) A bizottság tagjai egy-egy szavazattal rendelkeznek, és a szavazati jogukat csak személyesen gyakorolhatják.</w:t>
      </w: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bizottság akkor határozatképes, ha tagjainak több mint a fele jelen van. A határozatképtelenség miatt megismételt ülést az elnök az ülést követő 8 és 15 nap közötti időpontra hívja össze. Ebben az esetben a megismételt ülés a megjelent tagok számától függetlenül határozatképes.</w:t>
      </w: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(3) A bizottság döntéseit nyílt szavazással, egyszerű szótöbbséggel hozza. Szavazategyenlőség esetén az elnök szavazata dönt. Az ügyrend módosítása esetén a bizottság a 4. § (1) bekezdésében foglaltak szerint jár el. Az </w:t>
      </w:r>
      <w:proofErr w:type="spellStart"/>
      <w:r>
        <w:rPr>
          <w:rFonts w:ascii="Times New Roman" w:hAnsi="Times New Roman" w:cs="Times New Roman"/>
          <w:sz w:val="20"/>
          <w:szCs w:val="20"/>
        </w:rPr>
        <w:t>Szht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 13. § (2)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és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döntéshez a jelen levő bizottsági tagok kétharmadának a szavazata szükséges.</w:t>
      </w: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7. §</w:t>
      </w:r>
      <w:r>
        <w:rPr>
          <w:rFonts w:ascii="Times New Roman" w:hAnsi="Times New Roman" w:cs="Times New Roman"/>
          <w:sz w:val="20"/>
          <w:szCs w:val="20"/>
        </w:rPr>
        <w:t xml:space="preserve"> (1) Az ülést az elnök, akadályoztatása esetén a társelnök vezeti.</w:t>
      </w: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8"/>
      </w:r>
      <w:r>
        <w:rPr>
          <w:rFonts w:ascii="Times New Roman" w:hAnsi="Times New Roman" w:cs="Times New Roman"/>
          <w:sz w:val="20"/>
          <w:szCs w:val="20"/>
        </w:rPr>
        <w:t xml:space="preserve"> A bizottság üléseiről jegyzőkönyv készül, amely a megjelent bizottsági tagok és az ülésen a szakképesítésért felelős miniszter tanácskozási joggal részt vevő képviselőjének a nevét, a tárgyalt napirendi pontokat, a tanácskozás lényegét, a szavazás számszerű eredményét és a hozott döntéseket tartalmazza. A jegyzőkönyvet a munkaügyi központ készíti el.</w:t>
      </w: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bizottság ülésének jegyzőkönyvét az ülés vezetője és egy másik bizottsági tag aláírásával hitelesíti.</w:t>
      </w: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8. §</w:t>
      </w:r>
      <w:r>
        <w:rPr>
          <w:rFonts w:ascii="Times New Roman" w:hAnsi="Times New Roman" w:cs="Times New Roman"/>
          <w:sz w:val="20"/>
          <w:szCs w:val="20"/>
        </w:rPr>
        <w:t xml:space="preserve"> (1)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9"/>
      </w:r>
      <w:r>
        <w:rPr>
          <w:rFonts w:ascii="Times New Roman" w:hAnsi="Times New Roman" w:cs="Times New Roman"/>
          <w:sz w:val="20"/>
          <w:szCs w:val="20"/>
        </w:rPr>
        <w:t xml:space="preserve"> A bizottság döntéseit a meghozatal időpontjától számított 8 napon belül a munkaügyi központ, valamint a minisztérium honlapján, a támogatásokról szóló döntéseket az államháztartásról szóló 1992. évi XXXVIII. törvény 15/</w:t>
      </w: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sz w:val="20"/>
          <w:szCs w:val="20"/>
        </w:rPr>
        <w:t>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-ában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foglaltak szerint közzé kell tenni.</w:t>
      </w: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(2) A bizottság az </w:t>
      </w:r>
      <w:proofErr w:type="spellStart"/>
      <w:r>
        <w:rPr>
          <w:rFonts w:ascii="Times New Roman" w:hAnsi="Times New Roman" w:cs="Times New Roman"/>
          <w:sz w:val="20"/>
          <w:szCs w:val="20"/>
        </w:rPr>
        <w:t>Szht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 13. § (2)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pontja szerinti döntését minden év szeptember 30-ig hozza meg a következő tanévre vonatkozóan. Az e döntésről szóló határozatot a fejlesztési támogatások ellenőrizhetősége céljából meg kell küldeni a Nemzeti Szakképzési és Felnőttképzési Intézet részére.</w:t>
      </w: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9. §</w:t>
      </w:r>
      <w:r>
        <w:rPr>
          <w:rFonts w:ascii="Times New Roman" w:hAnsi="Times New Roman" w:cs="Times New Roman"/>
          <w:sz w:val="20"/>
          <w:szCs w:val="20"/>
        </w:rPr>
        <w:t xml:space="preserve"> (1) A bizottsági tagság megszűnik</w:t>
      </w: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megbízási időtartam elteltével,</w:t>
      </w: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visszavonással,</w:t>
      </w: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lemondással,</w:t>
      </w: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 tag halálával.</w:t>
      </w: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10"/>
      </w:r>
      <w:r>
        <w:rPr>
          <w:rFonts w:ascii="Times New Roman" w:hAnsi="Times New Roman" w:cs="Times New Roman"/>
          <w:sz w:val="20"/>
          <w:szCs w:val="20"/>
        </w:rPr>
        <w:t xml:space="preserve"> A miniszter a bizottság tagját – a bizottság elnökének javaslatára – felmenti, ha három egymást követő ülésről önhibájából távol marad. A miniszter a bizottság tagját abban az esetben is felmenti, ha a tagot a delegáló szervezet visszahívja.</w:t>
      </w: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(3) Amennyiben a bizottsági tagság az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b)–d)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ok miatt szűnik meg, a miniszter az e tényről való tudomásszerzést követően haladéktalanul megkeresi a javaslattételre jogosultat az új bizottsági tag személyére vonatkozó javaslat megtétele érdekében. Ilyen esetben a delegáló szervezet által javasolt és a miniszter által felkért új bizottsági tag megbízatása az eredetileg felkért bizottsági tag megbízatásának végéig tart.</w:t>
      </w: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Ha a bizottsági tagság a megbízási időtartam eltelte miatt szűnik meg, a miniszter a bizottság mandátumának lejártát megelőző 30 napon belül megkeresi az 1. § (2) bekezdése szerinti szerveket, testületeket az új bizottság tagjaira vonatkozó javaslat megtétele érdekében.</w:t>
      </w: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 A javaslattételre, valamint a javasolt személy felkérésére az 1. § (4) bekezdésében megállapított határidőt a (3) és (4) bekezdés szerinti esetekben is megfelelően alkalmazni kell.</w:t>
      </w: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10. §</w:t>
      </w:r>
      <w:r>
        <w:rPr>
          <w:rFonts w:ascii="Times New Roman" w:hAnsi="Times New Roman" w:cs="Times New Roman"/>
          <w:sz w:val="20"/>
          <w:szCs w:val="20"/>
        </w:rPr>
        <w:t xml:space="preserve"> (1) Ez a rendelet a kihirdetését követő 8. napon lép hatályba.</w:t>
      </w: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Hatályát veszti a szakképzési hozzájárulásról és a képzés fejlesztésének támogatásáról szóló 2003. évi LXXXVI. törvény végrehajtásáról szóló 13/2004. (IV. 27.) OM rendelet 9–11.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</w:t>
      </w: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>, valamint 9.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megelőző alcíme.</w:t>
      </w: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11. §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footnoteReference w:id="11"/>
      </w:r>
      <w:r>
        <w:rPr>
          <w:rFonts w:ascii="Times New Roman" w:hAnsi="Times New Roman" w:cs="Times New Roman"/>
          <w:sz w:val="20"/>
          <w:szCs w:val="20"/>
        </w:rPr>
        <w:t xml:space="preserve"> A bizottságnak a 2011. évre szólóan a működtetésére biztosított keretösszeg felhasználására vonatkozó költségvetést 2011. szeptember 30. napjáig kell elfogadnia.</w:t>
      </w: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12. §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footnoteReference w:id="12"/>
      </w:r>
      <w:r>
        <w:rPr>
          <w:rFonts w:ascii="Times New Roman" w:hAnsi="Times New Roman" w:cs="Times New Roman"/>
          <w:sz w:val="20"/>
          <w:szCs w:val="20"/>
        </w:rPr>
        <w:t xml:space="preserve"> A bizottság szavazati joggal rendelkező tagjait – az 5. § (4) bekezdésétől eltérően – 2011. szeptember 30. napjáig megtartott üléseken történő részvételük alapján a kötelező legkisebb munkabér havi összegének megfelelő tiszteltdíj illeti meg.</w:t>
      </w:r>
    </w:p>
    <w:p w:rsidR="009F1809" w:rsidRDefault="009F1809" w:rsidP="009F180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DD1174" w:rsidRDefault="00DD1174"/>
    <w:sectPr w:rsidR="00DD11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7521" w:rsidRDefault="008F7521" w:rsidP="009F1809">
      <w:pPr>
        <w:spacing w:after="0" w:line="240" w:lineRule="auto"/>
      </w:pPr>
      <w:r>
        <w:separator/>
      </w:r>
    </w:p>
  </w:endnote>
  <w:endnote w:type="continuationSeparator" w:id="0">
    <w:p w:rsidR="008F7521" w:rsidRDefault="008F7521" w:rsidP="009F18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7521" w:rsidRDefault="008F7521" w:rsidP="009F1809">
      <w:pPr>
        <w:spacing w:after="0" w:line="240" w:lineRule="auto"/>
      </w:pPr>
      <w:r>
        <w:separator/>
      </w:r>
    </w:p>
  </w:footnote>
  <w:footnote w:type="continuationSeparator" w:id="0">
    <w:p w:rsidR="008F7521" w:rsidRDefault="008F7521" w:rsidP="009F1809">
      <w:pPr>
        <w:spacing w:after="0" w:line="240" w:lineRule="auto"/>
      </w:pPr>
      <w:r>
        <w:continuationSeparator/>
      </w:r>
    </w:p>
  </w:footnote>
  <w:footnote w:id="1">
    <w:p w:rsidR="009F1809" w:rsidRDefault="009F1809" w:rsidP="009F18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Az 1. § (2) bekezdése a 27/2010. (XII. 31.) NGM rendelet 61. §</w:t>
      </w:r>
      <w:proofErr w:type="spellStart"/>
      <w:r>
        <w:rPr>
          <w:rFonts w:ascii="Times New Roman" w:hAnsi="Times New Roman" w:cs="Times New Roman"/>
          <w:sz w:val="24"/>
          <w:szCs w:val="24"/>
        </w:rPr>
        <w:t>-a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szerint módosított szöveg.</w:t>
      </w:r>
    </w:p>
  </w:footnote>
  <w:footnote w:id="2">
    <w:p w:rsidR="009F1809" w:rsidRDefault="009F1809" w:rsidP="009F18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2. § a 37/2011. (IX. 26.) NGM rendelet 1. §</w:t>
      </w:r>
      <w:proofErr w:type="spellStart"/>
      <w:r>
        <w:rPr>
          <w:rFonts w:ascii="Times New Roman" w:hAnsi="Times New Roman" w:cs="Times New Roman"/>
          <w:sz w:val="24"/>
          <w:szCs w:val="24"/>
        </w:rPr>
        <w:t>-ával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megállapított szöveg.</w:t>
      </w:r>
    </w:p>
  </w:footnote>
  <w:footnote w:id="3">
    <w:p w:rsidR="009F1809" w:rsidRDefault="009F1809" w:rsidP="009F18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3. § a 27/2010. (XII. 31.) NGM rendelet 61. §</w:t>
      </w:r>
      <w:proofErr w:type="spellStart"/>
      <w:r>
        <w:rPr>
          <w:rFonts w:ascii="Times New Roman" w:hAnsi="Times New Roman" w:cs="Times New Roman"/>
          <w:sz w:val="24"/>
          <w:szCs w:val="24"/>
        </w:rPr>
        <w:t>-a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szerint módosított szöveg.</w:t>
      </w:r>
    </w:p>
  </w:footnote>
  <w:footnote w:id="4">
    <w:p w:rsidR="009F1809" w:rsidRDefault="009F1809" w:rsidP="009F18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4. § (1) bekezdése a 37/2011. (IX. 26.) NGM rendelet 2. § (1) bekezdésével megállapított szöveg.</w:t>
      </w:r>
    </w:p>
  </w:footnote>
  <w:footnote w:id="5">
    <w:p w:rsidR="009F1809" w:rsidRDefault="009F1809" w:rsidP="009F18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4. § (2) bekezdés g) pontja a 27/2010. (XII. 31.) NGM rendelet 61. §</w:t>
      </w:r>
      <w:proofErr w:type="spellStart"/>
      <w:r>
        <w:rPr>
          <w:rFonts w:ascii="Times New Roman" w:hAnsi="Times New Roman" w:cs="Times New Roman"/>
          <w:sz w:val="24"/>
          <w:szCs w:val="24"/>
        </w:rPr>
        <w:t>-a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szerint módosított szöveg.</w:t>
      </w:r>
    </w:p>
  </w:footnote>
  <w:footnote w:id="6">
    <w:p w:rsidR="009F1809" w:rsidRDefault="009F1809" w:rsidP="009F18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4. § (2) bekezdés h) pontját a 37/2011. (IX. 26.) NGM rendelet 2. § (2) bekezdése iktatta be.</w:t>
      </w:r>
    </w:p>
  </w:footnote>
  <w:footnote w:id="7">
    <w:p w:rsidR="009F1809" w:rsidRDefault="009F1809" w:rsidP="009F18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Az 5. § (4) bekezdését a 37/2011. (IX. 26.) NGM rendelet 3. §</w:t>
      </w:r>
      <w:proofErr w:type="spellStart"/>
      <w:r>
        <w:rPr>
          <w:rFonts w:ascii="Times New Roman" w:hAnsi="Times New Roman" w:cs="Times New Roman"/>
          <w:sz w:val="24"/>
          <w:szCs w:val="24"/>
        </w:rPr>
        <w:t>-</w:t>
      </w:r>
      <w:proofErr w:type="gramStart"/>
      <w:r>
        <w:rPr>
          <w:rFonts w:ascii="Times New Roman" w:hAnsi="Times New Roman" w:cs="Times New Roman"/>
          <w:sz w:val="24"/>
          <w:szCs w:val="24"/>
        </w:rPr>
        <w:t>a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iktatta be.</w:t>
      </w:r>
    </w:p>
  </w:footnote>
  <w:footnote w:id="8">
    <w:p w:rsidR="009F1809" w:rsidRDefault="009F1809" w:rsidP="009F18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7. § (2) bekezdése a 27/2010. (XII. 31.) NGM rendelet 61. §</w:t>
      </w:r>
      <w:proofErr w:type="spellStart"/>
      <w:r>
        <w:rPr>
          <w:rFonts w:ascii="Times New Roman" w:hAnsi="Times New Roman" w:cs="Times New Roman"/>
          <w:sz w:val="24"/>
          <w:szCs w:val="24"/>
        </w:rPr>
        <w:t>-a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szerint módosított szöveg.</w:t>
      </w:r>
    </w:p>
  </w:footnote>
  <w:footnote w:id="9">
    <w:p w:rsidR="009F1809" w:rsidRDefault="009F1809" w:rsidP="009F18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8. § (1) bekezdése a 37/2011. (IX. 26.) NGM rendelet 6. §</w:t>
      </w:r>
      <w:proofErr w:type="spellStart"/>
      <w:r>
        <w:rPr>
          <w:rFonts w:ascii="Times New Roman" w:hAnsi="Times New Roman" w:cs="Times New Roman"/>
          <w:sz w:val="24"/>
          <w:szCs w:val="24"/>
        </w:rPr>
        <w:t>-a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szerint módosított szöveg.</w:t>
      </w:r>
    </w:p>
  </w:footnote>
  <w:footnote w:id="10">
    <w:p w:rsidR="009F1809" w:rsidRDefault="009F1809" w:rsidP="009F18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9. § (2) bekezdése a 7/2010. (III. 23.) SZMM rendelet 1. §</w:t>
      </w:r>
      <w:proofErr w:type="spellStart"/>
      <w:r>
        <w:rPr>
          <w:rFonts w:ascii="Times New Roman" w:hAnsi="Times New Roman" w:cs="Times New Roman"/>
          <w:sz w:val="24"/>
          <w:szCs w:val="24"/>
        </w:rPr>
        <w:t>-ával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megállapított szöveg.</w:t>
      </w:r>
    </w:p>
  </w:footnote>
  <w:footnote w:id="11">
    <w:p w:rsidR="009F1809" w:rsidRDefault="009F1809" w:rsidP="009F18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11 §</w:t>
      </w:r>
      <w:proofErr w:type="spellStart"/>
      <w:r>
        <w:rPr>
          <w:rFonts w:ascii="Times New Roman" w:hAnsi="Times New Roman" w:cs="Times New Roman"/>
          <w:sz w:val="24"/>
          <w:szCs w:val="24"/>
        </w:rPr>
        <w:t>-t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37/2011. (IX. 26.) NGM rendelet 4. §</w:t>
      </w:r>
      <w:proofErr w:type="spellStart"/>
      <w:r>
        <w:rPr>
          <w:rFonts w:ascii="Times New Roman" w:hAnsi="Times New Roman" w:cs="Times New Roman"/>
          <w:sz w:val="24"/>
          <w:szCs w:val="24"/>
        </w:rPr>
        <w:t>-</w:t>
      </w:r>
      <w:proofErr w:type="gramStart"/>
      <w:r>
        <w:rPr>
          <w:rFonts w:ascii="Times New Roman" w:hAnsi="Times New Roman" w:cs="Times New Roman"/>
          <w:sz w:val="24"/>
          <w:szCs w:val="24"/>
        </w:rPr>
        <w:t>a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iktatta be.</w:t>
      </w:r>
    </w:p>
  </w:footnote>
  <w:footnote w:id="12">
    <w:p w:rsidR="009F1809" w:rsidRDefault="009F1809" w:rsidP="009F18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12 §</w:t>
      </w:r>
      <w:proofErr w:type="spellStart"/>
      <w:r>
        <w:rPr>
          <w:rFonts w:ascii="Times New Roman" w:hAnsi="Times New Roman" w:cs="Times New Roman"/>
          <w:sz w:val="24"/>
          <w:szCs w:val="24"/>
        </w:rPr>
        <w:t>-t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37/2011. (IX. 26.) NGM rendelet 5. §</w:t>
      </w:r>
      <w:proofErr w:type="spellStart"/>
      <w:r>
        <w:rPr>
          <w:rFonts w:ascii="Times New Roman" w:hAnsi="Times New Roman" w:cs="Times New Roman"/>
          <w:sz w:val="24"/>
          <w:szCs w:val="24"/>
        </w:rPr>
        <w:t>-</w:t>
      </w:r>
      <w:proofErr w:type="gramStart"/>
      <w:r>
        <w:rPr>
          <w:rFonts w:ascii="Times New Roman" w:hAnsi="Times New Roman" w:cs="Times New Roman"/>
          <w:sz w:val="24"/>
          <w:szCs w:val="24"/>
        </w:rPr>
        <w:t>a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iktatta be.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1809"/>
    <w:rsid w:val="008F7521"/>
    <w:rsid w:val="009F1809"/>
    <w:rsid w:val="00DD1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1148</Words>
  <Characters>7925</Characters>
  <Application>Microsoft Office Word</Application>
  <DocSecurity>0</DocSecurity>
  <Lines>66</Lines>
  <Paragraphs>18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Vörösné Nádházi Krisztina</dc:creator>
  <cp:keywords/>
  <dc:description/>
  <cp:lastModifiedBy/>
  <cp:revision>1</cp:revision>
  <dcterms:created xsi:type="dcterms:W3CDTF">2011-09-28T07:07:00Z</dcterms:created>
</cp:coreProperties>
</file>