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836" w:rsidRDefault="005B4836" w:rsidP="005B4836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33/2008. (II. 21.) Korm. rendelet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külföldi bizonyítványok és oklevelek elismeréséről szóló 2001. évi C. törvény hatálya alá tartozó ügyekben eljáró hatóságok kijelöléséről,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>valamint a nyilatkozattételi kötelezettség alá eső szolgáltatások felsorolásáról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Kormány a Magyar Köztársaság Alkotmányáról szóló 1949. évi XX. törvény 35. § (1)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foglalt feladatkörében eljárva, a külföldi bizonyítványok és oklevelek elismeréséről szóló 2001. évi C. törvény 67. § (1) bekezdésében foglalt felhatalmazás alapján a következő rendeletet alkotja: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(1) A Kormány a külföldi bizonyítványok és oklevelek elismeréséről szóló 2001. évi C. törvény (a továbbiakban: </w:t>
      </w:r>
      <w:proofErr w:type="spellStart"/>
      <w:r>
        <w:rPr>
          <w:rFonts w:ascii="Times New Roman" w:hAnsi="Times New Roman" w:cs="Times New Roman"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sz w:val="20"/>
          <w:szCs w:val="20"/>
        </w:rPr>
        <w:t>.) 4/A.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meghatározott információs szolgálatként, továbbá – a (2)–(3) bekezdésben foglalt kivétellel – a külföldi bizonyítványok és oklevelek elismeréséért felelős hatóságként első fokon az Oktatási Hivatalt, másodfokon az oktatásért felelős minisztert jelöli ki.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Az </w:t>
      </w:r>
      <w:proofErr w:type="spellStart"/>
      <w:r>
        <w:rPr>
          <w:rFonts w:ascii="Times New Roman" w:hAnsi="Times New Roman" w:cs="Times New Roman"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sz w:val="20"/>
          <w:szCs w:val="20"/>
        </w:rPr>
        <w:t>. Harmadik részének hatálya alá tartozó hatósági eljárásokban a Kormány a külföldi bizonyítványok és oklevelek elismerésért felelős hatóságként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egészségügyért felelős miniszter hatáskörébe tartozó szabályozott szakmák esetében első fokon az Egészségügyi Nyilvántartási és Képzési Központot, másodfokon az Országos </w:t>
      </w:r>
      <w:proofErr w:type="spellStart"/>
      <w:r>
        <w:rPr>
          <w:rFonts w:ascii="Times New Roman" w:hAnsi="Times New Roman" w:cs="Times New Roman"/>
          <w:sz w:val="20"/>
          <w:szCs w:val="20"/>
        </w:rPr>
        <w:t>Tisztifőorvosi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Hivatalt,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szakképzésért és felnőttképzésért felelős miniszter hatáskörébe tartozó szabályozott szakmák esetében első fokon a Nemzeti Szakképzési és Felnőttképzési Hivatalt, másodfokon a szakképzésért és felnőttképzésért felelős minisztert,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kereskedelemért felelős miniszter és az iparügyekért felelős miniszter hatáskörébe tartozó szabályozott szakmák esetében első fokon a Nemzeti Szakképzési és Felnőttképzési Hivatalt, másodfokon a szakképzésért és felnőttképzésért felelős minisztert,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területfejlesztésért felelős miniszter hatáskörébe tartozó szabályozott szakmák esetében a külön jogszabályban meghatározott, a területi építész kamarák hatáskörébe tartozó területrendezési tervezési, területrendezési szakértői tevékenységeknél – az </w:t>
      </w:r>
      <w:r>
        <w:rPr>
          <w:rFonts w:ascii="Times New Roman" w:hAnsi="Times New Roman" w:cs="Times New Roman"/>
          <w:i/>
          <w:iCs/>
          <w:sz w:val="20"/>
          <w:szCs w:val="20"/>
        </w:rPr>
        <w:t>e)</w:t>
      </w:r>
      <w:r>
        <w:rPr>
          <w:rFonts w:ascii="Times New Roman" w:hAnsi="Times New Roman" w:cs="Times New Roman"/>
          <w:sz w:val="20"/>
          <w:szCs w:val="20"/>
        </w:rPr>
        <w:t xml:space="preserve"> pontban meghatározott kivétellel – első fokon a Budapesti Építész Kamarát, másodfokon a Magyar Építész Kamarát,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területfejlesztésért felelős miniszter hatáskörébe tartozó szabályozott szakmák esetében a külön jogszabályban meghatározott, a mérnöki kamarák hatáskörébe tartozó területrendezési tervezési, területrendezési szakértői tevékenységeknél első fokon a Budapesti és Pest Megyei Mérnöki Kamarát, másodfokon a Magyar Mérnöki Kamarát,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településrendezésért felelős miniszter és az építésügyért felelős miniszter hatáskörébe tartozó szabályozott szakmák esetében az építésügy területén, a külön jogszabályban meghatározott, a területi mérnöki kamarák hatáskörébe tartozó településtervezési, településrendezési szakértői, építészeti-műszaki tervezési, építésügyi műszaki szakértői, építési műszaki ellenőri, felelős műszaki vezetői, energetikai tanúsítói tevékenységeknél első fokon a Budapesti és Pest Megyei Mérnöki Kamarát, másodfokon a Magyar Mérnöki Kamarát,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településrendezésért felelős miniszter és az építésügyért felelős miniszter hatáskörébe tartozó szabályozott szakmák esetében az építésügy területén, a külön jogszabályban meghatározott, a területi építész kamarák hatáskörébe tartozó településtervezési, településrendezési szakértői, építészeti-műszaki tervezési, építésügyi műszaki szakértői, építési műszaki ellenőri, felelős műszaki vezetői tevékenység, energetikai tanúsítói tevékenységeknél első fokon a Budapesti Építész Kamarát, másodfokon a Magyar Építész Kamarát,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h)</w:t>
      </w:r>
      <w:r>
        <w:rPr>
          <w:rFonts w:ascii="Times New Roman" w:hAnsi="Times New Roman" w:cs="Times New Roman"/>
          <w:sz w:val="20"/>
          <w:szCs w:val="20"/>
        </w:rPr>
        <w:t xml:space="preserve"> az iparügyért felelős miniszter hatáskörébe tartozó szabályozott szakmák esetében az építésügy területén a felvonó- és mozgólépcső karbantartó-szerelői, valamint felvonó- és mozgólépcső ellenőri tevékenység </w:t>
      </w:r>
      <w:proofErr w:type="gramStart"/>
      <w:r>
        <w:rPr>
          <w:rFonts w:ascii="Times New Roman" w:hAnsi="Times New Roman" w:cs="Times New Roman"/>
          <w:sz w:val="20"/>
          <w:szCs w:val="20"/>
        </w:rPr>
        <w:t>esetén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első fokon a Budapesti és Pest Megyei Mérnöki Kamarát, másodfokon a Magyar Mérnöki Kamarát,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a katasztrófák elleni védekezésért felelős miniszter hatáskörébe tartozó szabályozott szakmák esetében katasztrófavédelem, tűzvédelem, valamint polgári védelem </w:t>
      </w:r>
      <w:proofErr w:type="gramStart"/>
      <w:r>
        <w:rPr>
          <w:rFonts w:ascii="Times New Roman" w:hAnsi="Times New Roman" w:cs="Times New Roman"/>
          <w:sz w:val="20"/>
          <w:szCs w:val="20"/>
        </w:rPr>
        <w:t>szakterületen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első fokon az Országos Katasztrófavédelmi Főigazgatóságot,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j)</w:t>
      </w:r>
      <w:r>
        <w:rPr>
          <w:rFonts w:ascii="Times New Roman" w:hAnsi="Times New Roman" w:cs="Times New Roman"/>
          <w:sz w:val="20"/>
          <w:szCs w:val="20"/>
        </w:rPr>
        <w:t xml:space="preserve"> a településfejlesztésért felelős miniszter és a településrendezésért felelős miniszter hatáskörébe tartozó szabályozott szakmák esetében a külön jogszabályban meghatározott, a területi építész kamarák hatáskörébe tartozó településtervezési, településrendezési szakértői tevékenységeknél első fokon a Budapesti Építész Kamarát, másodfokon a Magyar Építész Kamarát,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k)</w:t>
      </w:r>
      <w:r>
        <w:rPr>
          <w:rFonts w:ascii="Times New Roman" w:hAnsi="Times New Roman" w:cs="Times New Roman"/>
          <w:sz w:val="20"/>
          <w:szCs w:val="20"/>
        </w:rPr>
        <w:t xml:space="preserve"> a területrendezésért felelős miniszter hatáskörébe tartozó szabályozott szakmák esetében a külön jogszabályban meghatározott, a mérnöki kamarák hatáskörébe tartozó területrendezési tervezési, területrendezési szakértői tevékenységeknél első fokon a Budapesti és Pest Megyei Mérnöki Kamarát, másodfokon a Magyar Mérnöki Kamarát,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l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környezetvédelemért felelős miniszter és a természetvédelemért felelős miniszter hatáskörébe tartozó szabályozott szakmák esetében első fokon az Országos Környezetvédelmi és Természetvédelmi Főfelügyelőséget, másodfokon a környezetvédelemért felelős miniszter és a természetvédelemért felelős minisztert,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m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közlekedésért felelős miniszter hatáskörébe tartozó szabályozott szakmák esetében: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ma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gépjármű-közlekedési tevékenységeknél első fokon a Nemzeti Közlekedési Hatóság Közúti Gépjármű-közlekedési Hivatalát,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mb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közúti, vasúti és </w:t>
      </w:r>
      <w:proofErr w:type="spellStart"/>
      <w:r>
        <w:rPr>
          <w:rFonts w:ascii="Times New Roman" w:hAnsi="Times New Roman" w:cs="Times New Roman"/>
          <w:sz w:val="20"/>
          <w:szCs w:val="20"/>
        </w:rPr>
        <w:t>víziközlekedési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tevékenységeknél első fokon a Nemzeti Közlekedési Hatóság Útügyi, Vasúti és Hajózási Hivatalát,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mc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légiközlekedési tevékenységeknél első fokon a Nemzeti Közlekedési Hatóság Légügyi Hivatalát,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másodfokon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 Nemzeti Közlekedési Hatóság Központját,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n)</w:t>
      </w:r>
      <w:r>
        <w:rPr>
          <w:rFonts w:ascii="Times New Roman" w:hAnsi="Times New Roman" w:cs="Times New Roman"/>
          <w:sz w:val="20"/>
          <w:szCs w:val="20"/>
        </w:rPr>
        <w:t xml:space="preserve"> a postaügyért felelős miniszter hatáskörébe tartozó szabályozott szakmák esetében a Nemzeti Média- és Hírközlési Hatóság Hivatalát, másodfokon a Nemzeti Média- és Hírközlési Hatóság Elnökét,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o)</w:t>
      </w:r>
      <w:r>
        <w:rPr>
          <w:rFonts w:ascii="Times New Roman" w:hAnsi="Times New Roman" w:cs="Times New Roman"/>
          <w:sz w:val="20"/>
          <w:szCs w:val="20"/>
        </w:rPr>
        <w:t xml:space="preserve"> az elektronikus hírközlésért felelős miniszter, illetve az informatikáért miniszter hatáskörébe tartozó szabályozott szakmák esetében informatikai és elektronikus hírközlési </w:t>
      </w:r>
      <w:proofErr w:type="gramStart"/>
      <w:r>
        <w:rPr>
          <w:rFonts w:ascii="Times New Roman" w:hAnsi="Times New Roman" w:cs="Times New Roman"/>
          <w:sz w:val="20"/>
          <w:szCs w:val="20"/>
        </w:rPr>
        <w:t>szakterületen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első fokon a Nemzeti Média- és Hírközlési Hatóság Hivatalát, másodfokon a Nemzeti Média- és Hírközlési Hatóság Elnökét,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p)</w:t>
      </w:r>
      <w:r>
        <w:rPr>
          <w:rFonts w:ascii="Times New Roman" w:hAnsi="Times New Roman" w:cs="Times New Roman"/>
          <w:sz w:val="20"/>
          <w:szCs w:val="20"/>
        </w:rPr>
        <w:t xml:space="preserve"> az ügyvédi és ügyvédjelölti képesítések esetében első fokon a Budapesti Ügyvédi Kamarát, másodfokon a Magyar Ügyvédi Kamarát,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q)</w:t>
      </w:r>
      <w:r>
        <w:rPr>
          <w:rFonts w:ascii="Times New Roman" w:hAnsi="Times New Roman" w:cs="Times New Roman"/>
          <w:sz w:val="20"/>
          <w:szCs w:val="20"/>
        </w:rPr>
        <w:t xml:space="preserve"> a vízgazdálkodásért felelős miniszter hatáskörébe tartozó szabályozott szakmák esetében első fokon az Országos Vízügyi Hatóságot, másodfokon a vízgazdálkodásért felelős minisztert,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r)</w:t>
      </w:r>
      <w:r>
        <w:rPr>
          <w:rFonts w:ascii="Times New Roman" w:hAnsi="Times New Roman" w:cs="Times New Roman"/>
          <w:sz w:val="20"/>
          <w:szCs w:val="20"/>
        </w:rPr>
        <w:t xml:space="preserve"> energetikai </w:t>
      </w:r>
      <w:proofErr w:type="spellStart"/>
      <w:r>
        <w:rPr>
          <w:rFonts w:ascii="Times New Roman" w:hAnsi="Times New Roman" w:cs="Times New Roman"/>
          <w:sz w:val="20"/>
          <w:szCs w:val="20"/>
        </w:rPr>
        <w:t>auditor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képesítések esetén a Magyar Energetikai és Közmű-szabályozási Hivatalt</w:t>
      </w:r>
    </w:p>
    <w:p w:rsidR="005B4836" w:rsidRDefault="005B4836" w:rsidP="005B48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jelöli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ki.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 Kormány az </w:t>
      </w:r>
      <w:proofErr w:type="spellStart"/>
      <w:r>
        <w:rPr>
          <w:rFonts w:ascii="Times New Roman" w:hAnsi="Times New Roman" w:cs="Times New Roman"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sz w:val="20"/>
          <w:szCs w:val="20"/>
        </w:rPr>
        <w:t>. IV. fejezetének hatálya alá tartozó hatósági eljárásokban azon szakmák tekintetében, amelyek esetében a szakmai és vizsgakövetelmények meghatározása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egészségügyért felelős miniszter hatáskörébe tartozik, első fokon az Egészségügyi Nyilvántartási és Képzési Központot, másodfokon az Országos </w:t>
      </w:r>
      <w:proofErr w:type="spellStart"/>
      <w:r>
        <w:rPr>
          <w:rFonts w:ascii="Times New Roman" w:hAnsi="Times New Roman" w:cs="Times New Roman"/>
          <w:sz w:val="20"/>
          <w:szCs w:val="20"/>
        </w:rPr>
        <w:t>Tisztifőorvosi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Hivatalt,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szakképzésért és felnőttképzésért felelős miniszter hatáskörébe tartozik, első fokon a Nemzeti Szakképzési és Felnőttképzési Hivatalt, másodfokon a szakképzésért és felnőttképzésért felelős minisztert,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közlekedésért felelős miniszter hatáskörébe tartozik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ca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gépjármű-közlekedési tevékenységeknél első fokon a Nemzeti Közlekedési Hatóság Közúti Gépjármű-közlekedési Hivatalát,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cb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közúti, vasúti és </w:t>
      </w:r>
      <w:proofErr w:type="spellStart"/>
      <w:r>
        <w:rPr>
          <w:rFonts w:ascii="Times New Roman" w:hAnsi="Times New Roman" w:cs="Times New Roman"/>
          <w:sz w:val="20"/>
          <w:szCs w:val="20"/>
        </w:rPr>
        <w:t>víziközlekedési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tevékenységeknél első fokon a Nemzeti Közlekedési Hatóság Útügyi, Vasúti és Hajózási Hivatalát,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cc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légiközlekedési tevékenységeknél első fokon a Nemzeti Közlekedési Hatóság Légügyi Hivatalát,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másodfokon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 Nemzeti Közlekedési Hatóság Központját,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postaügyért felelős miniszter hatáskörébe tartozik első fokon a Nemzeti Média- és Hírközlési Hatóság Hivatalát, másodfokon a Nemzeti Média- és Hírközlési Hatóság Elnökét,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kereskedelemért felelős miniszter és az iparügyekért felelős miniszter hatáskörébe tartozik, első fokon a Nemzeti Szakképzési és Felnőttképzési Intézetet, másodfokon a szakképzésért és felnőttképzésért felelős minisztert,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elektronikus hírközlésért felelős miniszter, illetve az informatikáért felelős miniszter hatáskörébe tartozik, első fokon a Nemzeti Média- és Hírközlési Hatóság Hivatalát, másodfokon a Nemzeti Média- és Hírközlési Hatóság Elnökét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jelöli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ki a külföldi bizonyítványok és oklevelek elismeréséért felelős hatóságként.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 Kormány az </w:t>
      </w:r>
      <w:proofErr w:type="spellStart"/>
      <w:r>
        <w:rPr>
          <w:rFonts w:ascii="Times New Roman" w:hAnsi="Times New Roman" w:cs="Times New Roman"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sz w:val="20"/>
          <w:szCs w:val="20"/>
        </w:rPr>
        <w:t>. 60/A–60/C.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szerinti eljárásokban – az (5) bekezdésben foglalt kivételekkel – eljáró hatóságként első fokon az Oktatási Hivatalt, másodfokon az oktatásért felelős minisztert jelöli ki.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Kormány eljáró hatóságként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sz w:val="20"/>
          <w:szCs w:val="20"/>
        </w:rPr>
        <w:t>. 60/A–60/C.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szerinti eljárásokban a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pontja, valamint a (3)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pontja alapján elismerendő szakmák tekintetében első fokon az Egészségügyi Nyilvántartási és Képzési Központot, másodfokon az Országos </w:t>
      </w:r>
      <w:proofErr w:type="spellStart"/>
      <w:r>
        <w:rPr>
          <w:rFonts w:ascii="Times New Roman" w:hAnsi="Times New Roman" w:cs="Times New Roman"/>
          <w:sz w:val="20"/>
          <w:szCs w:val="20"/>
        </w:rPr>
        <w:t>Tisztifőorvosi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Hivatalt,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sz w:val="20"/>
          <w:szCs w:val="20"/>
        </w:rPr>
        <w:t>. 60/B.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szerinti eljárásokban okleveles építészmérnök és okleveles építész tervező művész szakképzettség </w:t>
      </w:r>
      <w:proofErr w:type="gramStart"/>
      <w:r>
        <w:rPr>
          <w:rFonts w:ascii="Times New Roman" w:hAnsi="Times New Roman" w:cs="Times New Roman"/>
          <w:sz w:val="20"/>
          <w:szCs w:val="20"/>
        </w:rPr>
        <w:t>esetén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első fokon a Budapesti Építész Kamarát, másodfokon a Magyar Építész Kamarát,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pontban nem említett esetekben az </w:t>
      </w:r>
      <w:proofErr w:type="spellStart"/>
      <w:r>
        <w:rPr>
          <w:rFonts w:ascii="Times New Roman" w:hAnsi="Times New Roman" w:cs="Times New Roman"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sz w:val="20"/>
          <w:szCs w:val="20"/>
        </w:rPr>
        <w:t>. 60/B.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szerinti eljárásokban, ha az adott szabályozott szakma folytatása Magyarország területén engedélyköteles vagy a szolgáltatási tevékenység folytatásának és megkezdésének általános szabályairól szóló 2009. évi LXXVI. törvény szerinti bejelentési kötelezettség hatálya alá tartozik, az engedélyezésre, illetve a bejelentéssel kapcsolatos eljárásra hatáskörrel rendelkező illetékes hatóságot jelöli ki.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(6) Az elismerésért felelős hatóság rendszeresen tájékoztatja az </w:t>
      </w:r>
      <w:proofErr w:type="spellStart"/>
      <w:r>
        <w:rPr>
          <w:rFonts w:ascii="Times New Roman" w:hAnsi="Times New Roman" w:cs="Times New Roman"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sz w:val="20"/>
          <w:szCs w:val="20"/>
        </w:rPr>
        <w:t>. IV. fejezetének hatálya alá tartozó döntéseiről a szakmai és vizsgakövetelmények meghatározásáért felelős minisztert.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A Magyarország </w:t>
      </w:r>
      <w:proofErr w:type="gramStart"/>
      <w:r>
        <w:rPr>
          <w:rFonts w:ascii="Times New Roman" w:hAnsi="Times New Roman" w:cs="Times New Roman"/>
          <w:sz w:val="20"/>
          <w:szCs w:val="20"/>
        </w:rPr>
        <w:t>területén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határon átnyúló szolgáltatásnyújtás keretében az e rendelet 1. és 2. számú mellékletében meghatározott szabályozott szakma gyakorlásával járó szolgáltatási tevékenységet folytatni kívánó szolgáltatásnyújtó köteles a szolgáltatási tevékenység folytatására irányuló szándékát bejelenteni az adott szabályozott szakma vonatkozásában az 1., illetve a 2. számú mellékletben meghatározott hatóságnak.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szolgáltatásnyújtó a 2. számú mellékletben meghatározott szabályozott szakma gyakorlásával járó szolgáltatási tevékenységét csak azt követően kezdheti meg, hogy azt az előzetes ellenőrzést végző hatóság a bejelentés alapján a szolgáltatásnyújtó szakmai képesítésének ellenőrzését követően engedélyezte.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 Kormány az </w:t>
      </w:r>
      <w:proofErr w:type="spellStart"/>
      <w:r>
        <w:rPr>
          <w:rFonts w:ascii="Times New Roman" w:hAnsi="Times New Roman" w:cs="Times New Roman"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sz w:val="20"/>
          <w:szCs w:val="20"/>
        </w:rPr>
        <w:t>. 40.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szerinti elismerésért felelő hatóságként – az (5) bekezdésben foglalt kivétellel – az 1. számú mellékletben felsorolt szabályozott szakmák tekintetében ott megjelölt hatóságot jelöli ki.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 Kormány az </w:t>
      </w:r>
      <w:proofErr w:type="spellStart"/>
      <w:r>
        <w:rPr>
          <w:rFonts w:ascii="Times New Roman" w:hAnsi="Times New Roman" w:cs="Times New Roman"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sz w:val="20"/>
          <w:szCs w:val="20"/>
        </w:rPr>
        <w:t>. 41.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szerinti előzetes ellenőrzést végző hatóságként– a (6) bekezdésben foglalt kivétellel – a 2. számú mellékletben felsorolt szabályozott szakmák tekintetében ott megjelölt hatóságot jelöli ki.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(5) Az 1. számú melléklet 1–6. pontjában felsorolt szabályozott szakmák esetében a Kormány az </w:t>
      </w:r>
      <w:proofErr w:type="spellStart"/>
      <w:r>
        <w:rPr>
          <w:rFonts w:ascii="Times New Roman" w:hAnsi="Times New Roman" w:cs="Times New Roman"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sz w:val="20"/>
          <w:szCs w:val="20"/>
        </w:rPr>
        <w:t>. 40.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szerinti elismerésért felelős hatóságként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adott szakmagyakorlást szabályozó külön kormányrendelet szerint a területi mérnöki kamarák hatáskörébe tartozó településtervezési szakterületen, településrendezési szakértői, valamint építésügyi szakterületen (</w:t>
      </w:r>
      <w:proofErr w:type="spellStart"/>
      <w:r>
        <w:rPr>
          <w:rFonts w:ascii="Times New Roman" w:hAnsi="Times New Roman" w:cs="Times New Roman"/>
          <w:sz w:val="20"/>
          <w:szCs w:val="20"/>
        </w:rPr>
        <w:t>beruházáslebonyolító</w:t>
      </w:r>
      <w:proofErr w:type="spellEnd"/>
      <w:r>
        <w:rPr>
          <w:rFonts w:ascii="Times New Roman" w:hAnsi="Times New Roman" w:cs="Times New Roman"/>
          <w:sz w:val="20"/>
          <w:szCs w:val="20"/>
        </w:rPr>
        <w:t>, energetikai tanúsító) első fokon a Budapesti és Pest Megyei Mérnöki Kamarát, másodfokon a Magyar Mérnöki Kamarát,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adott szakmagyakorlást szabályozó külön kormányrendelet szerint a területi építész kamarák hatáskörébe tartozó területrendezési tervezési, településtervezési szakterületen, településrendezési szakértői, valamint építésügyi szakterületen (</w:t>
      </w:r>
      <w:proofErr w:type="spellStart"/>
      <w:r>
        <w:rPr>
          <w:rFonts w:ascii="Times New Roman" w:hAnsi="Times New Roman" w:cs="Times New Roman"/>
          <w:sz w:val="20"/>
          <w:szCs w:val="20"/>
        </w:rPr>
        <w:t>beruházáslebonyolító</w:t>
      </w:r>
      <w:proofErr w:type="spellEnd"/>
      <w:r>
        <w:rPr>
          <w:rFonts w:ascii="Times New Roman" w:hAnsi="Times New Roman" w:cs="Times New Roman"/>
          <w:sz w:val="20"/>
          <w:szCs w:val="20"/>
        </w:rPr>
        <w:t>, energetikai tanúsító) első fokon a Budapesti Építész Kamarát, másodfokon a Magyar Építész Kamarát jelöli ki.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(6) A 2. számú melléklet 5–11. pontjában felsorolt szabályozott szakmák esetében a Kormány az </w:t>
      </w:r>
      <w:proofErr w:type="spellStart"/>
      <w:r>
        <w:rPr>
          <w:rFonts w:ascii="Times New Roman" w:hAnsi="Times New Roman" w:cs="Times New Roman"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sz w:val="20"/>
          <w:szCs w:val="20"/>
        </w:rPr>
        <w:t>. 41. § (1) bekezdése szerinti előzetes ellenőrzést végző hatóságként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adott szakmagyakorlást szabályozó külön kormányrendelet szerint a területi mérnöki kamarák hatáskörébe tartozó építészeti-műszaki tervezési szakterületen, valamint építésügyi szakterületen (építésügyi műszaki szakértő, építési műszaki ellenőr, felelős műszaki vezető) első fokon a Budapesti és Pest Megyei Mérnöki Kamarát, másodfokon a Magyar Mérnöki Kamarát,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adott szakmagyakorlást szabályozó külön kormányrendelet szerint a területi építész kamarák hatáskörébe tartozó építészeti-műszaki tervezési szakterületen, valamint építésügyi szakterületen (építésügyi műszaki szakértő, építési műszaki ellenőr, felelős műszaki vezető, építésügyi igazgatási szakértő) első fokon a Budapesti Építész Kamarát, másodfokon a Magyar Építész Kamarát jelöli ki. 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(7)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A szolgáltatásnyújtó bejelentésének tartalmaznia kell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szolgáltatási tevékenység megkezdésének és folytatásának általános szabályairól szóló 2009. évi LXXVI. törvény 22. § (1) és (3) bekezdésében meghatározott adatokat,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szolgáltató nyilatkozatát arról, hogy rendelkezik-e megfelelő szakmai biztosítékkal, valamint a szakmai biztosítékot nyújtó szervezet nevéről és a szakmai biztosítékot megalapozó szerződés azonosításához szükséges adatokról, a szakmai biztosítékkal fedezett kockázatokról, a szakmai biztosíték területi hatályáról és a szakmai biztosíték összegéről vagy az abban foglalt garancia felső határáról,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biztonsági és az egészségügyi ágazatban, valamint a kiskorúak oktatásához – ideértve a gyermekgondozást és a koragyermekkori nevelést is – kapcsolódó szakmák esetében – amennyiben azt a magyar jog előírja – az igazolást arról, hogy a szolgáltatásnyújtó nem áll a foglalkozás gyakorlásától való eltiltás hatálya alatt, és vele szemben büntetőjogi felelősséget megállapító ítélet nem született,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szolgáltatásnyújtás </w:t>
      </w:r>
      <w:proofErr w:type="gramStart"/>
      <w:r>
        <w:rPr>
          <w:rFonts w:ascii="Times New Roman" w:hAnsi="Times New Roman" w:cs="Times New Roman"/>
          <w:sz w:val="20"/>
          <w:szCs w:val="20"/>
        </w:rPr>
        <w:t>során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Magyarországon használni kívánt szakmai címet.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szolgáltatásnyújtó bejelentéséhez csatolni kell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állampolgárságát igazoló közokirat másolatát,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olyan okirat másolatát és hiteles fordítását vagy hiteles fordításának másolatát, amely tanúsítja, hogy valamely tagállamban letelepedettként jogosult az adott szakma gyakorlására,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szolgáltatásnyújtó azon képzése sikeres elvégzését tanúsító okiratainak másolatait és hiteles fordításait vagy hiteles fordításainak másolatai, amely tagállamában a szolgáltatásnyújtásra felkészítette,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sz w:val="20"/>
          <w:szCs w:val="20"/>
        </w:rPr>
        <w:t>. 38. § (2) bekezdése alá tartozó esetben annak az okiratnak a másolatát és hiteles fordítását vagy hiteles fordításának másolatát, amely tanúsítja, hogy a szolgáltatásnyújtó a bejelentés benyújtását megelőző tíz év folyamán legalább egy évig gyakorolta az adott szakmát a letelepedés szerinti tagállamban,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betegek életét vagy biztonságát érintő szakma esetében a szolgáltatásnyújtó nyilatkozatát arról, hogy rendelkezik a szakma gyakorlásához Magyarországon szükséges nyelvismerettel,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VIII. Fejezetének, valamint az </w:t>
      </w:r>
      <w:proofErr w:type="spellStart"/>
      <w:r>
        <w:rPr>
          <w:rFonts w:ascii="Times New Roman" w:hAnsi="Times New Roman" w:cs="Times New Roman"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sz w:val="20"/>
          <w:szCs w:val="20"/>
        </w:rPr>
        <w:t>. 41.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hatálya alá tartozó szakmák esetében a származási tagállam illetékes hatóságának igazolását a szolgáltatásnyújtó tevékenységének jellegéről és időtartamáról.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eljáró hatóság internetes honlapján közzéteszi azoknak a nyelveknek a felsorolását, amelyek esetében a (2) bekezdés rendelkezéseitől eltérően nem hiteles fordítást is elfogad.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A 2. számú mellékletben felsorolt szabályozott szakmák esetén a szolgáltatásnyújtó bejelentésnek tájékoztatást kell továbbá tartalmaznia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képzés sikeres elvégzését tanúsító okiratához vezető képzés időtartamáról és tartalmáról,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ha szakmai tapasztalattal rendelkezik, akkor szakmai tapasztalatáról, továbbá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ha a képzés sikeres elvégzését tanúsító okirata megszerzését követően szakmai továbbképzésben vett részt, akkor a szakmai továbbképzéséről.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Ha szolgáltatásnyújtó a bejelentési kötelezettség alá tartozó határon átnyúló szolgáltatásnyújtás során ténylegesen nem maga végzi az adott tevékenységet, akkor a 3. § (1) bekezdése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pontjában, valamint a (2) bekezdésében meghatározott adatok bejelentését a szolgáltatási tevékenységet ténylegesen végző személyre vonatkozóan kell megtenni. Ha az ilyen szolgáltatásnyújtás a 2. melléklet hatálya alá tartozik, akkor a 4.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meghatározott adatok bejelentését is a szolgáltatási tevékenységet ténylegesen végző személyre vonatkozóan kell megtenni, és az előzetes ellenőrzést is e személy szakmai képesítése tekintetében kell lefolytatni.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  <w:r>
        <w:rPr>
          <w:rFonts w:ascii="Times New Roman" w:hAnsi="Times New Roman" w:cs="Times New Roman"/>
          <w:sz w:val="20"/>
          <w:szCs w:val="20"/>
        </w:rPr>
        <w:t xml:space="preserve"> (1) A szolgáltatásnyújtó bejelentése egy évre szól.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Ha az első alkalommal tett bejelentés lejártát követően a szolgáltatásnyújtó ismételten határon átnyúló szolgáltatást kíván Magyarországon nyújtani, és a 3. § (2) bekezdésében meghatározott okiratok által tanúsított körülményekben nem történt lényeges változás, akkor a szolgáltatásnyújtó bejelentésének csak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adatokat kell tartalmaznia.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5/B. §</w:t>
      </w:r>
      <w:r>
        <w:rPr>
          <w:rFonts w:ascii="Times New Roman" w:hAnsi="Times New Roman" w:cs="Times New Roman"/>
          <w:sz w:val="20"/>
          <w:szCs w:val="20"/>
        </w:rPr>
        <w:t xml:space="preserve"> (1) 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3. számú melléklet állapítja meg az </w:t>
      </w:r>
      <w:proofErr w:type="spellStart"/>
      <w:r>
        <w:rPr>
          <w:rFonts w:ascii="Times New Roman" w:hAnsi="Times New Roman" w:cs="Times New Roman"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sz w:val="20"/>
          <w:szCs w:val="20"/>
        </w:rPr>
        <w:t>. 55.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meghatározott riasztási mechanizmus alá tartozó képesítéseket, továbbá a riasztási mechanizmusban közreműködő hatóságokat.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 4. számú melléklet állapítja meg azokat a szakmákat, amelyekben az </w:t>
      </w:r>
      <w:proofErr w:type="spellStart"/>
      <w:r>
        <w:rPr>
          <w:rFonts w:ascii="Times New Roman" w:hAnsi="Times New Roman" w:cs="Times New Roman"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sz w:val="20"/>
          <w:szCs w:val="20"/>
        </w:rPr>
        <w:t>. XI/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>. Fejezete szerinti európai szakmai kártya bevezetésre kerül, továbbá kijelöli azon hatóságokat, amelyek az európai szakmai kártya létrehozásáért felelősek.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 E rendelet a kihirdetését követő 8. napon lép hatályba, rendelkezéseit a hatálybalépését követően indult eljárásokban kell alkalmazni.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E rendeletnek az oktatást szabályozó egyes kormányrendeletek módosításáról szóló 345/2015. (XI. 19.) Korm. rendelettel (a továbbiakban: </w:t>
      </w:r>
      <w:proofErr w:type="spellStart"/>
      <w:r>
        <w:rPr>
          <w:rFonts w:ascii="Times New Roman" w:hAnsi="Times New Roman" w:cs="Times New Roman"/>
          <w:sz w:val="20"/>
          <w:szCs w:val="20"/>
        </w:rPr>
        <w:t>Módr</w:t>
      </w:r>
      <w:proofErr w:type="spellEnd"/>
      <w:r>
        <w:rPr>
          <w:rFonts w:ascii="Times New Roman" w:hAnsi="Times New Roman" w:cs="Times New Roman"/>
          <w:sz w:val="20"/>
          <w:szCs w:val="20"/>
        </w:rPr>
        <w:t>.) megállapított 5/B.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módosított 1. számú mellékletében és megállapított 4. számú mellékletében foglalt rendelkezéseket a </w:t>
      </w:r>
      <w:proofErr w:type="spellStart"/>
      <w:r>
        <w:rPr>
          <w:rFonts w:ascii="Times New Roman" w:hAnsi="Times New Roman" w:cs="Times New Roman"/>
          <w:sz w:val="20"/>
          <w:szCs w:val="20"/>
        </w:rPr>
        <w:t>Módr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</w:t>
      </w:r>
      <w:proofErr w:type="gramStart"/>
      <w:r>
        <w:rPr>
          <w:rFonts w:ascii="Times New Roman" w:hAnsi="Times New Roman" w:cs="Times New Roman"/>
          <w:sz w:val="20"/>
          <w:szCs w:val="20"/>
        </w:rPr>
        <w:t>hatálybalépésekor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folyamatban lévő eljárásokban is kell alkalmazni.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Ez a rendelet az </w:t>
      </w:r>
      <w:proofErr w:type="spellStart"/>
      <w:r>
        <w:rPr>
          <w:rFonts w:ascii="Times New Roman" w:hAnsi="Times New Roman" w:cs="Times New Roman"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</w:t>
      </w:r>
      <w:proofErr w:type="gramStart"/>
      <w:r>
        <w:rPr>
          <w:rFonts w:ascii="Times New Roman" w:hAnsi="Times New Roman" w:cs="Times New Roman"/>
          <w:sz w:val="20"/>
          <w:szCs w:val="20"/>
        </w:rPr>
        <w:t>rendelkezéseivel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együtt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szakmai képesítések elismeréséről szóló, 2005. szeptember 7-i 2005/36/EK európai parlamenti és tanácsi irányelv 7. cikk (1) és (4) bekezdésének, valamint 56. cikk (3) bekezdésének,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szakmai képesítések elismeréséről szóló 2005/36/EK irányelv és a belső piaci információs rendszer keretében történő igazgatási együttműködésről szóló 1024/2012/EU rendelet (az </w:t>
      </w:r>
      <w:proofErr w:type="spellStart"/>
      <w:r>
        <w:rPr>
          <w:rFonts w:ascii="Times New Roman" w:hAnsi="Times New Roman" w:cs="Times New Roman"/>
          <w:sz w:val="20"/>
          <w:szCs w:val="20"/>
        </w:rPr>
        <w:t>IMI-rendelet</w:t>
      </w:r>
      <w:proofErr w:type="spellEnd"/>
      <w:r>
        <w:rPr>
          <w:rFonts w:ascii="Times New Roman" w:hAnsi="Times New Roman" w:cs="Times New Roman"/>
          <w:sz w:val="20"/>
          <w:szCs w:val="20"/>
        </w:rPr>
        <w:t>) módosításáról szóló, 2013. november 20-i 2013/55/EU európai parlamenti és tanácsi irányelv 1. cikk 7. pontjának és 44. pontjának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való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megfelelést szolgálja.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Ez a rendelet az </w:t>
      </w:r>
      <w:proofErr w:type="spellStart"/>
      <w:r>
        <w:rPr>
          <w:rFonts w:ascii="Times New Roman" w:hAnsi="Times New Roman" w:cs="Times New Roman"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</w:t>
      </w:r>
      <w:proofErr w:type="gramStart"/>
      <w:r>
        <w:rPr>
          <w:rFonts w:ascii="Times New Roman" w:hAnsi="Times New Roman" w:cs="Times New Roman"/>
          <w:sz w:val="20"/>
          <w:szCs w:val="20"/>
        </w:rPr>
        <w:t>rendelkezéseivel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együtt a 2005/36/EK európai parlamenti és tanácsi irányelv értelmében az európai szakmai kártya kibocsátási eljárásáról és a riasztási mechanizmus alkalmazásáról szóló, 2015. június 24-i 2015/983 bizottsági végrehajtási rendelet végrehajtásához szükséges rendelkezéseket állapít meg.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számú melléklet a 33/2008. (II. 21.) Korm. rendelethez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Az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>. 40. § (1) bekezdése szerinti előzetes bejelentési kötelezettség alá tartozó szabályozott szakmák</w:t>
      </w:r>
    </w:p>
    <w:p w:rsidR="005B4836" w:rsidRDefault="005B4836" w:rsidP="005B48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82"/>
        <w:gridCol w:w="4607"/>
        <w:gridCol w:w="4607"/>
      </w:tblGrid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Sorszám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Szabályozott szakma megnevezése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Hatóság kijelölése, amelyhez a bejelentést meg kell tenni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Felvonó- és mozgólépcső karbantartó-szerelői tevékenység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Budapesti és Pest Megyei Mérnöki Kamara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Településtervezési tevékenység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 § (5) bekezdése szerint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Településrendezési szakértő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 § (5) bekezdése szerint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Területrendezési tervezési tevékenység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 § (5) bekezdés b) pont szerint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Energetikai tanúsítói tevékenység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 § (5) bekezdése szerint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Környezetvédelmi, természetvédelmi és tájvédelmi szakértői tevékenység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Országos Környezetvédelmi és Természetvédelmi Főfelügyelőség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Jövedéki ügyintézői tevékenység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Nemzeti Adó- és Vámhivatal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Vámkezelő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Nemzeti Adó- és Vámhivatal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Vámügyintéző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Nemzeti Adó- és Vámhivatal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Idegenvezetői tevékenység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Magyar Kereskedelmi Engedélyezési Hivatal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Lovastúra-vezető tevékenység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Magyar Kereskedelmi Engedélyezési Hivatal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Tűzvédelmi tevékenység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Országos Katasztrófavédelmi Főigazgatóság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Polgári védelmi tevékenység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Országos Katasztrófavédelmi Főigazgatóság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Igazságügyi szakértői tevékenység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igazságügyért felelős miniszter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 közvetítői tevékenységről szóló törvény hatálya alá tartozó közvetítés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igazságügyért felelős miniszter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Biztonságtechnikai tervező, szerelő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Országos Rendőr-főkapitányság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Biztonságtechnikai szerelő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Országos Rendőr-főkapitányság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Mechanikai vagyonvédelmi rendszert tervező, szerelő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Országos Rendőr-főkapitányság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Mechanikai vagyonvédelmi rendszert szerelő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Országos Rendőr-főkapitányság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Magánnyomozó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Országos Rendőr-főkapitányság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Személy- és vagyonőr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Országos Rendőr-főkapitányság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Fegyveres biztonsági őr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Országos Rendőr-főkapitányság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Az állattenyésztéshez kapcsolódó mesterséges termékenyítési szolgáltatások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Nemzeti Élelmiszerlánc-biztonsági Hivatal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Magán-állatorvosi tevékenység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Magyar Állatorvosi Kamara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Adótanácsadás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adópolitikáért felelős miniszter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Adószakértői tevékenység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adópolitikáért felelős miniszter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Okleveles adószakértői tevékenység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adópolitikáért felelős miniszter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Könyvviteli szolgáltatás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adópolitikáért felelős miniszter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Belső ellenőr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adópolitikáért felelős miniszter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Társasházkezelő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az ingatlan fekvése szerint illetékes járási hivatal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Ingatlankezelő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az ingatlan fekvése szerint illetékes járási hivatal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Ingatlanközvetítői tevékenység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az ingatlan fekvése szerint illetékes megyeszékhely szerinti városi önkormányzat jegyzője, Pest megyében a megyei önkormányzat főjegyzője, Budapesten a Fővárosi Önkormányzat főjegyzője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Ingatlanvagyon-értékelő és közvetítő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az ingatlan fekvése szerint illetékes megyeszékhely szerinti városi önkormányzat jegyzője, Pest megyében a megyei önkormányzat főjegyzője, Budapesten a Fővárosi Önkormányzat főjegyzője</w:t>
            </w:r>
          </w:p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Az egészségügyről szóló 1997. évi CLIV. törvény 3. § e) pontja szerinti egészségügyi szolgáltatások nyújtására irányuló tevékenység az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Etv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IX. fejezetének hatálya alá tartozó szabályozott szakmák esetén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Egészségügyi Nyilvántartási és Képzési Központ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 régészeti örökség és a műemléki érték védelmével kapcsolatos területeken végzett szakértői tevékenység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 kulturális örökség védelméért felelős miniszter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8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</w:t>
            </w:r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Energetikai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auditor</w:t>
            </w:r>
            <w:proofErr w:type="spellEnd"/>
          </w:p>
        </w:tc>
        <w:tc>
          <w:tcPr>
            <w:tcW w:w="4607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Magyar Energetikai és Közmű-szabályozási Hivatal</w:t>
            </w:r>
          </w:p>
        </w:tc>
      </w:tr>
    </w:tbl>
    <w:p w:rsidR="005B4836" w:rsidRDefault="005B4836" w:rsidP="005B48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számú melléklet a 33/2008. (II. 21.) Korm. rendelethez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Az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>. 41. § (1) bekezdése szerinti előzetes ellenőrzés alá tartozó szabályozott szakmák</w:t>
      </w:r>
    </w:p>
    <w:p w:rsidR="005B4836" w:rsidRDefault="005B4836" w:rsidP="005B48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79"/>
        <w:gridCol w:w="3071"/>
        <w:gridCol w:w="3071"/>
        <w:gridCol w:w="3072"/>
      </w:tblGrid>
      <w:tr w:rsidR="005B4836">
        <w:tblPrEx>
          <w:tblCellMar>
            <w:top w:w="0" w:type="dxa"/>
            <w:bottom w:w="0" w:type="dxa"/>
          </w:tblCellMar>
        </w:tblPrEx>
        <w:tc>
          <w:tcPr>
            <w:tcW w:w="879" w:type="dxa"/>
            <w:vAlign w:val="center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Sorszám</w:t>
            </w:r>
          </w:p>
        </w:tc>
        <w:tc>
          <w:tcPr>
            <w:tcW w:w="3071" w:type="dxa"/>
            <w:vAlign w:val="center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Szabályozott szakma megnevezése</w:t>
            </w:r>
          </w:p>
        </w:tc>
        <w:tc>
          <w:tcPr>
            <w:tcW w:w="3071" w:type="dxa"/>
            <w:vAlign w:val="center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Előzetes ellenőrzést végző elsőfokú hatóság</w:t>
            </w:r>
          </w:p>
        </w:tc>
        <w:tc>
          <w:tcPr>
            <w:tcW w:w="3072" w:type="dxa"/>
            <w:vAlign w:val="center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Előzetes ellenőrzést végző másodfokú hatóság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Az egészségügyről szóló 1997. évi CLIV. törvény 3. § e) pontja szerinti egészségügyi szolgáltatások, az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Etv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IX. fejezetének hatálya alá tartozó szabályozott szakmák kivételével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népegészégügyi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feladatkörében eljáró fővárosi és megyei kormányhivatal</w:t>
            </w:r>
          </w:p>
        </w:tc>
        <w:tc>
          <w:tcPr>
            <w:tcW w:w="307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Állami Népegészségügyi és Tisztiorvosi Szolgálat Országos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Tisztifőorvosi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Hivatala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Tűzvédelmi szakértő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Országos Katasztrófavédelmi Főigazgatóság</w:t>
            </w:r>
          </w:p>
        </w:tc>
        <w:tc>
          <w:tcPr>
            <w:tcW w:w="307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Gázszerelő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mérésügyi és műszaki biztonsági hatáskörében eljáró fővárosi és megyei kormányhivatal</w:t>
            </w:r>
          </w:p>
        </w:tc>
        <w:tc>
          <w:tcPr>
            <w:tcW w:w="307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Magyar Kereskedelmi és Engedélyezési Hivatal központi szerve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Növényvédelmi tevékenység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Magyar Növényvédő Mérnöki és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Növényorvosi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Kamara területileg illetékes szerve</w:t>
            </w:r>
          </w:p>
        </w:tc>
        <w:tc>
          <w:tcPr>
            <w:tcW w:w="307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Magyar Növényvédő Mérnöki és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Növényorvosi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Kamara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Építészeti-műszaki tervezési tevékenység, az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Etv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IX. fejezetének hatálya alá tartozó szabályozott szakmák kivételével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 § (6) bekezdése szerint</w:t>
            </w:r>
          </w:p>
        </w:tc>
        <w:tc>
          <w:tcPr>
            <w:tcW w:w="307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 § (6) bekezdése szerint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Építésügyi műszaki szakértői tevékenység, az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Etv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IX. fejezetének hatálya alá tartozó szabályozott szakmák kivételével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 § (6) bekezdése szerint</w:t>
            </w:r>
          </w:p>
        </w:tc>
        <w:tc>
          <w:tcPr>
            <w:tcW w:w="307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 § (6) bekezdése szerint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Építési műszaki ellenőri tevékenység, az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Etv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IX. fejezetének hatálya alá tartozó szabályozott szakmák kivételével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 § (6) bekezdése szerint</w:t>
            </w:r>
          </w:p>
        </w:tc>
        <w:tc>
          <w:tcPr>
            <w:tcW w:w="307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 § (6) bekezdése szerint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Felelős műszaki vezetői tevékenység, az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Etv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IX. fejezetének hatálya alá tartozó szabályozott szakmák kivételével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 § (6) bekezdés a) pontja szerint</w:t>
            </w:r>
          </w:p>
        </w:tc>
        <w:tc>
          <w:tcPr>
            <w:tcW w:w="307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 § (6) bekezdés a) pontja szerint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7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Felvonó- és mozgólépcső ellenőri tevékenység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Budapesti és Pest Megyei Mérnöki Kamara</w:t>
            </w:r>
          </w:p>
        </w:tc>
        <w:tc>
          <w:tcPr>
            <w:tcW w:w="307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Magyar Mérnöki Kamara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Az atomenergiáról szóló 1996. évi CXVI. törvény szerinti, az atomenergia alkalmazása körében eljáró független műszaki szakértő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Myriad Pro" w:hAnsi="Myriad Pro" w:cs="Myriad Pr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területi mérnöki kamara</w:t>
            </w:r>
          </w:p>
        </w:tc>
        <w:tc>
          <w:tcPr>
            <w:tcW w:w="307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Magyar Mérnöki Kamara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Beépített tűzjelző vagy beépített tűzoltó berendezés tervezői tevékenység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Országos Katasztrófavédelmi Főigazgatóság</w:t>
            </w:r>
          </w:p>
        </w:tc>
        <w:tc>
          <w:tcPr>
            <w:tcW w:w="307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879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Ebek viselkedésének megítélésében jártas szakértő</w:t>
            </w:r>
          </w:p>
        </w:tc>
        <w:tc>
          <w:tcPr>
            <w:tcW w:w="3071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Nemzeti Élelmiszerlánc-biztonsági Hivatal</w:t>
            </w:r>
          </w:p>
        </w:tc>
        <w:tc>
          <w:tcPr>
            <w:tcW w:w="3072" w:type="dxa"/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élelmiszerlánc-felügyeletért felelős miniszter</w:t>
            </w:r>
          </w:p>
        </w:tc>
      </w:tr>
    </w:tbl>
    <w:p w:rsidR="005B4836" w:rsidRDefault="005B4836" w:rsidP="005B48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számú melléklet a 33/2008. (II. 21.) Korm. rendelethez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widowControl w:val="0"/>
        <w:autoSpaceDE w:val="0"/>
        <w:autoSpaceDN w:val="0"/>
        <w:adjustRightInd w:val="0"/>
        <w:spacing w:after="0" w:line="260" w:lineRule="atLeast"/>
        <w:ind w:left="964"/>
        <w:jc w:val="right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735"/>
        <w:gridCol w:w="4763"/>
        <w:gridCol w:w="4764"/>
      </w:tblGrid>
      <w:tr w:rsidR="005B4836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4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Képesítések megjelölése</w:t>
            </w:r>
          </w:p>
        </w:tc>
        <w:tc>
          <w:tcPr>
            <w:tcW w:w="4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Hatóság kijelölése, amely a riasztási mechanizmusban közreműködik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Az egészségügyről szóló 1997. évi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CLIV. törvény 3. § e) pontja szerinti egészségügyi szolgáltatások nyújtásához szükséges képesítés</w:t>
            </w:r>
          </w:p>
        </w:tc>
        <w:tc>
          <w:tcPr>
            <w:tcW w:w="4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Egészségügyi Nyilvántartási és Képzési Központ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Állatorvosi képesítés</w:t>
            </w:r>
          </w:p>
        </w:tc>
        <w:tc>
          <w:tcPr>
            <w:tcW w:w="4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Nemzeti Élelmiszerlánc-biztonsági Hivatal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 nemzeti köznevelésről szóló 2011. évi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CXC. törvény szerinti nevelési-oktatási tevékenységhez, illetve a gyermekek védelméről és a gyámügyi igazgatásról szóló 1997. évi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XXXI. törvény szerinti személyes gondoskodást nyújtó ellátásokhoz szükséges képesítés</w:t>
            </w:r>
          </w:p>
        </w:tc>
        <w:tc>
          <w:tcPr>
            <w:tcW w:w="4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Oktatási Hivatal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c>
          <w:tcPr>
            <w:tcW w:w="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7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Etv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55. § (4) bekezdése szerint közokirat-hamisítással érintett képesítés</w:t>
            </w:r>
          </w:p>
        </w:tc>
        <w:tc>
          <w:tcPr>
            <w:tcW w:w="4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Oktatási Hivatal</w:t>
            </w:r>
          </w:p>
        </w:tc>
      </w:tr>
    </w:tbl>
    <w:p w:rsidR="005B4836" w:rsidRDefault="005B4836" w:rsidP="005B48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4. számú melléklet a 33/2008. (II. 21.) Korm. rendelethez</w:t>
      </w: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widowControl w:val="0"/>
        <w:autoSpaceDE w:val="0"/>
        <w:autoSpaceDN w:val="0"/>
        <w:adjustRightInd w:val="0"/>
        <w:spacing w:after="0" w:line="260" w:lineRule="atLeast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Az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Etv</w:t>
      </w:r>
      <w:proofErr w:type="spell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. XI/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. Fejezete szerinti európai szakmai kártya</w:t>
      </w:r>
    </w:p>
    <w:p w:rsidR="005B4836" w:rsidRDefault="005B4836" w:rsidP="005B4836">
      <w:pPr>
        <w:widowControl w:val="0"/>
        <w:autoSpaceDE w:val="0"/>
        <w:autoSpaceDN w:val="0"/>
        <w:adjustRightInd w:val="0"/>
        <w:spacing w:after="0" w:line="26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515"/>
        <w:gridCol w:w="4873"/>
        <w:gridCol w:w="4874"/>
      </w:tblGrid>
      <w:tr w:rsidR="005B4836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4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Azon szakmák megjelölése, amelyekben az európai szakmai kártya bevezetésre került</w:t>
            </w:r>
          </w:p>
        </w:tc>
        <w:tc>
          <w:tcPr>
            <w:tcW w:w="4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Hatóság kijelölése, amely az európai szakmai kártya létrehozásáért felelős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ápoló</w:t>
            </w:r>
          </w:p>
        </w:tc>
        <w:tc>
          <w:tcPr>
            <w:tcW w:w="4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Egészségügyi Nyilvántartási és Képzési Központ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gyógyszerész</w:t>
            </w:r>
          </w:p>
        </w:tc>
        <w:tc>
          <w:tcPr>
            <w:tcW w:w="4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Egészségügyi Nyilvántartási és Képzési Központ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gyógytornász</w:t>
            </w:r>
          </w:p>
        </w:tc>
        <w:tc>
          <w:tcPr>
            <w:tcW w:w="4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Egészségügyi Nyilvántartási és Képzési Központ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hegyi túravezető</w:t>
            </w:r>
          </w:p>
        </w:tc>
        <w:tc>
          <w:tcPr>
            <w:tcW w:w="4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Oktatási Hivatal</w:t>
            </w:r>
          </w:p>
        </w:tc>
      </w:tr>
      <w:tr w:rsidR="005B4836">
        <w:tblPrEx>
          <w:tblCellMar>
            <w:top w:w="0" w:type="dxa"/>
            <w:bottom w:w="0" w:type="dxa"/>
          </w:tblCellMar>
        </w:tblPrEx>
        <w:trPr>
          <w:trHeight w:val="60"/>
        </w:trPr>
        <w:tc>
          <w:tcPr>
            <w:tcW w:w="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ingatlanközvetítő</w:t>
            </w:r>
          </w:p>
        </w:tc>
        <w:tc>
          <w:tcPr>
            <w:tcW w:w="48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B4836" w:rsidRDefault="005B4836">
            <w:pPr>
              <w:widowControl w:val="0"/>
              <w:autoSpaceDE w:val="0"/>
              <w:autoSpaceDN w:val="0"/>
              <w:adjustRightInd w:val="0"/>
              <w:spacing w:before="40" w:after="4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az ingatlan fekvése szerint illetékes megyeszékhely szerinti városi önkormányzat jegyzője, Pest megyében a megyei önkormányzat főjegyzője, Budapesten a Fővárosi Önkormányzat főjegyzője</w:t>
            </w:r>
          </w:p>
        </w:tc>
      </w:tr>
    </w:tbl>
    <w:p w:rsidR="005B4836" w:rsidRDefault="005B4836" w:rsidP="005B48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B4836" w:rsidRDefault="005B4836" w:rsidP="005B4836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96020" w:rsidRDefault="00196020">
      <w:bookmarkStart w:id="0" w:name="_GoBack"/>
      <w:bookmarkEnd w:id="0"/>
    </w:p>
    <w:sectPr w:rsidR="001960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yriad Pro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836"/>
    <w:rsid w:val="00196020"/>
    <w:rsid w:val="005B4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3259</Words>
  <Characters>22489</Characters>
  <Application>Microsoft Office Word</Application>
  <DocSecurity>0</DocSecurity>
  <Lines>187</Lines>
  <Paragraphs>51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 dr.</dc:creator>
  <cp:lastModifiedBy>Bodrogi István dr.</cp:lastModifiedBy>
  <cp:revision>1</cp:revision>
  <dcterms:created xsi:type="dcterms:W3CDTF">2016-11-23T13:07:00Z</dcterms:created>
  <dcterms:modified xsi:type="dcterms:W3CDTF">2016-11-23T13:08:00Z</dcterms:modified>
</cp:coreProperties>
</file>