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76C" w:rsidRDefault="00DD676C" w:rsidP="00DD676C">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328/2009. (XII. 29.) Korm. rendelet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szakiskolai tanulmányi ösztöndíjról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szakképzési hozzájárulásról és a képzés fejlesztésének támogatásáról szóló 2003. évi LXXXVI. törvény 28. § (5) bekezdésében, a közalkalmazottak jogállásáról szóló 1992. évi XXXIII. törvény 85. § (2)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valamint a közoktatásról szóló 1993. évi LXXIX. törvény 94. § (3) bekezdés </w:t>
      </w:r>
      <w:r>
        <w:rPr>
          <w:rFonts w:ascii="Times New Roman" w:hAnsi="Times New Roman" w:cs="Times New Roman"/>
          <w:i/>
          <w:iCs/>
          <w:sz w:val="20"/>
          <w:szCs w:val="20"/>
        </w:rPr>
        <w:t>l)</w:t>
      </w:r>
      <w:r>
        <w:rPr>
          <w:rFonts w:ascii="Times New Roman" w:hAnsi="Times New Roman" w:cs="Times New Roman"/>
          <w:sz w:val="20"/>
          <w:szCs w:val="20"/>
        </w:rPr>
        <w:t xml:space="preserve"> pontjában foglalt felhatalmazás alapján, az Alkotmány 35.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feladatkörében eljárva a következőket rendeli el: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szakiskolai tanulmányi ösztöndíj (a továbbiakban: ösztöndíj) célja a Kormány rendeletében meghatározott hiány-szakképesítések körébe tartozó, első szakképesítés megszerzésére irányuló, nappali rendszerű képzésben részt vevő tanulók támogatása.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megyei fejlesztési és képzési bizottság megyénként legfeljebb 12, az adott megyében szakiskolai tanulmányi ösztöndíjra jogosító hiány-szakképesítésre tesz javaslatot minden év március 31-ig.</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Az ösztöndíj forrása a Nemzeti Foglalkoztatási Alap képzési alaprésze (a továbbiakban: képzési alaprész).</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Jövedelmi helyzettől függetlenül ösztöndíjban részesülnek – a (2) bekezdésben foglaltak kivételével – a szakiskola szakképzési évfolyamán, az első szakképesítésre felkészítő, nappali rendszerű iskolai oktatásban részt vevő, hiány-szakképesítést tanulók (a továbbiakban: ösztöndíjas tanuló).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részesülhet ösztöndíjban</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tanév adott félévében a tanuló, ha az azt megelőző félévben 2,51 alatti tanulmányi átlageredményt ért el,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tanév ismétlésére kötelezett tanuló, a megismételt tanév időtartama alatt,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az adott tanévben, attól a hónaptól kezdődően, amelyet megelőző hónapban a tanév során keletkezett igazolatlan óráinak száma meghaladja a tíz órát.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az adott tanévben a nemzeti köznevelésről szóló 2011. évi CXC. törvény (a továbbiakban: Nkt.) 58. § (4) bekezdés </w:t>
      </w:r>
      <w:r>
        <w:rPr>
          <w:rFonts w:ascii="Times New Roman" w:hAnsi="Times New Roman" w:cs="Times New Roman"/>
          <w:i/>
          <w:iCs/>
          <w:sz w:val="20"/>
          <w:szCs w:val="20"/>
        </w:rPr>
        <w:t>c), 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fegyelmi büntetés esetén az arról szóló határozat jogerőre emelkedésének napjától.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ösztöndíj – az (1) bekezdésben foglaltak szerint – megilleti azt a tanulót is, aki az Országos Szakmai Tanulmányi Versenyen elért eredménye alapján az órák látogatása alól felmentést kapott.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tanuló az (1) bekezdésében foglaltaknak megfelelően másik iskolával úgy létesít tanulói jogviszonyt, hogy a korábbi iskolában nem teljesültek az (1) bekezdésében foglalt feltételek, úgy a tanuló számára az adott félévre az utolsó lezárt félév tanulmányi átlageredménye alapján járó ösztöndíjat kell folyósítani a másik iskolával létesített tanulói jogviszony hónapjától kezdődően.</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köteles tájékoztatni a tanulót az (1)–(4) bekezdésben foglaltakról.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Az ösztöndíjas tanuló az ösztöndíjra az első szakképzési évfolyam tanévének kezdő napjától az utolsó szakképzési évfolyamon a tanulmányokat lezáró, a tanév rendjében meghatározott első szakmai vizsga letételére kijelölt hónap végéig jogosult, amely időtartamot nem hosszabbítja meg a javító- vagy pótló vizsga időpontja.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ösztöndíj folyósítása független a tanulónak más jogcímen fizetett egyéb juttatásoktól.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ösztöndíjat a tanuló részére fizetési számlára történő átutalással kell folyósítani. Amennyiben a tanuló nem rendelkezik saját fizetési számlával, az ösztöndíjat a tanuló szülőjének, gyámjának a fizetési számlájára is lehet folyósítani. Az ösztöndíj folyósításának a feltétele a fizetési számla számának az iskola felé írásban történő bejelentése.</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Az ösztöndíj mértékét félévente kell megállapítani, a tanév második félévében a félévi értesítőben, a tanév első félévében az előző tanév végi bizonyítványban szereplő osztályzatok számtani átlagaként – a magatartás és a szorgalom osztályzatok kivételével – meghatározott tanulmányi átlageredmény alapján. Amennyiben a tanulónak javítóvizsgát, osztályozóvizsgát vagy pótló vizsgát kell tennie, a tanulmányi átlageredményt a javítóvizsga, az osztályozóvizsga, pótló vizsga letételét követően, annak eredményével együtt kell megállapítani.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ösztöndíj mértéke az első szakképzési évfolyam első félévében tanulónként egységesen 10 000 Ft/hó. Az első szakképzési évfolyam második félévétől kezdődően, és a további félévekben, ha a tanulmányi átlageredmény</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2,51 és 3,0 között van, az ösztöndíj mértéke 10 000 Ft/hó;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3,01 és 3,5 között van, az ösztöndíj mértéke 15 000 Ft/hó;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3,51 és 4,0 között van, az ösztöndíj mértéke 20 000 Ft/hó;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4,01 és 4,5 között van, az ösztöndíj mértéke 25 000 Ft/hó;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4,51 és 5,0 között van, az ösztöndíj mértéke 30 000 Ft/hó.</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július és augusztus hónapokra folyósított ösztöndíj mértéke megegyezik a tanév második félévében folyósított ösztöndíj mértékével.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tanulmányi átlageredmény meghatározása során az általános kerekítési szabályok szerint kell eljárni. Amennyiben a tanuló tudásának félévi vagy év végi minősítése és értékelése során bármely tantárgyból elégtelen (1) osztályzatot kapott, tanulmányi átlag nem számítható, ekkor a tanulót kompetenciafejlesztésben kell részesíteni.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2,51 tanulmányi átlageredmény elérését, vagy a megismételt tanévet követően az ösztöndíj a következő félévtől újra megilleti a tanulót a (2) bekezdés szerinti mértékben.</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2,51 tanulmányi átlageredményt el nem érő tanuló számára az iskolának biztosítania kell a szakmai kompetenciákat fejlesztő oktatásban való részvétel lehetőségét.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kompetenciákat fejlesztő oktatást maximum négyfős csoportokban kell végezni.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kompetenciákat fejlesztő oktatásról foglalkozási naplót kell vezetni, melyben fel kell tüntetni az oktatás időtartamát, tárgyát, és az abban résztvevők nevét.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szakmai kompetenciákat fejlesztő oktatást végző tanárokat az elvégzett többletmunkáért a közalkalmazottakról szóló 1992. évi XXXIII. törvény végrehajtásáról szóló kormányrendeletben meghatározottak szerint felzárkóztatási pótlék illeti meg.</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felzárkóztatási pótléknak és a pótlék munkáltatót terhelő közterheinek forrása a képzési alaprész.</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ösztöndíj folyósításával összefüggő feladatokat az iskola végzi. Az iskolát az ösztöndíj folyósításából eredő többletfeladataiért az általa kifizetett ösztöndíj 2 százalékának megfelelő lebonyolítási költségtérítés illeti meg, mely magában foglalja az ösztöndíj folyósításával kapcsolatos banki költségeket is.</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 Szakképzési és Felnőttképzési Hivatal (a továbbiakban: NSZFH) az ösztöndíj fedezetét biztosító összeget, az iskolát megillető lebonyolítási költségtérítést, a felzárkóztatási pótléknak és annak munkáltatót terhelő közterheinek fedezetét biztosító összeget az iskolával kötött támogatási szerződés alapján, az iskola (5) bekezdés szerinti időszakokra vonatkozó igénybejelentése alapján, előfinanszírozással, az előző időszakról készített utólagos elszámolás egyidejű benyújtása mellett folyósítja az iskolának, a támogatási szerződésben feltüntetett pénzforgalmi számlaszámra.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utólagos elszámolást készít az előző időszakban folyósított ösztöndíjakról, az iskolát megillető lebonyolítási költségtérítésről, a felzárkóztatási pótlékról és annak munkáltatót terhelő járulékairól, és azt az adott időszakra vonatkozó igénybejelentésével együtt benyújtja az NSZFH-nak. Az NSZFH az iskola igénybejelentését követően, a benyújtott utólagos elszámolás elfogadása után, a teljesítési igazolás kiállítását követő 5 napon belül folyósítja az igényelt összeget az iskolának.</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(2)–(3) bekezdésben meghatározott igénybejelentést és utólagos elszámolást az iskola az 1. és 2. számú melléklet szerinti adatlapon nyújtja be az NSZFH-nak az NSZFH honlapján közzétett formátumban.</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 és (3) bekezdés szerinti adatlapokat az iskola minden évben</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szeptember 1-jétől január 31-éig terjedő időszakra szeptember 15-éig,</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február 1-jétől augusztus 31-éig terjedő időszakra február 15-éig</w:t>
      </w:r>
    </w:p>
    <w:p w:rsidR="00DD676C" w:rsidRDefault="00DD676C" w:rsidP="00DD676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köteles benyújtani az NSZFH-nak.</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Az iskola a rendelkezésére bocsátott összeget kizárólag az e rendeletben meghatározott célokra használhatja fel.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az ösztöndíjat minden hónap 28. napjáig folyósítja az ösztöndíjas tanuló részére azzal az eltéréssel, hogy a július és augusztus hónapokra járó ösztöndíjat a szorgalmi időszak utolsó hónapjának 28. napjáig egy összegben fizeti ki.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iskola rendelkezésére bocsátott összeg felhasználásának és az ösztöndíj folyósításának ellenőrzését az NFSZH végzi.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(1) bekezdésben foglalt ellenőrzési jogosultsága kiterjed</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 által közölt igénylési és elszámolási adatok valóságtartalmának vizsgálatára, valamint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 rendelkezésére bocsátott összeg cél szerinti felhasználására.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NSZFH az ellenőrzés során vizsgálatot tarthat, okiratot és más dokumentációt kérhet, azokról másolatot, kivonatot készíthet, az iskola igazgatójától vagy az általa megbízott személytől szóban és írásban felvilágosítást kérhet.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Az ellenőrzés alá vont iskola köteles</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NSZFH megkeresésének soron kívül eleget tenni,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NSZFH részére szóban vagy írásban tájékoztatást, magyarázatot adni, a dokumentációs anyagokba a betekintést lehetővé tenni,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NSZFH kérésére az általa szolgáltatott adatok és rendelkezésre bocsátott dokumentáció teljességéről nyilatkozatot tenni,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köteles az ellenőrzés alá vont iskolát előzetesen értesíteni az ellenőrzésről. Az ellenőrzésről való értesítés mellőzhető, ha fennáll a veszélye annak, hogy az ellenőrzés alá vont iskola bizonylatokat, könyveket, nyilvántartásokat, egyéb iratokat megsemmisítik, vagy megváltoztatják, vagy az ellenőrzés eredményességét az ellenőrzés alá vont iskola egyéb módon veszélyeztetné.</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az ellenőrzést a szükséges iratok, bizonylatok, könyvek, nyilvántartások – ideértve az elektronikus úton tárolt adatokat is –, számítások és egyéb tények, adatok, körülmények megvizsgálásával – a dokumentáció bekérésével vagy helyszíni ellenőrzés útján – folytatja le.</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NSZFH az ellenőrzés megállapításairól és a szükséges intézkedésekről az ellenőrzés alá vont iskola által is aláírt jegyzőkönyvet készít.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ellenőrzés alá vont iskolának joga van az ellenőrzés során keletkezett iratokba betekinteni, a megállapításokkal kapcsolatban felvilágosítást kérni, azokra észrevételt tenni, a jegyzőkönyvet megismerni, és a jegyzőkönyv átadását, kézbesítését követő 15 napon belül észrevételt tenni.</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Jogszabálysértés, a támogatási szerződés által előírt kötelezettségek nem szerződésszerű teljesítése, vagy a rendelkezésére bocsátott összeg jogszerűtlen felhasználása esetén az iskolát a rendelkezésére bocsátott összeg tekintetében visszafizetési és kamatfizetési kötelezettség terheli a Magyar Államkincstárnál vezetett NSZFH-NFA előirányzat-felhasználási keretszámla javára (10032000-01744260-70000007).</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eseteken túlmenően visszafizetési és kamatfizetési kötelezettség terheli az iskolát abban az esetben is, ha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ellenőrzést szándékosan meghiúsította,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ellenőrzés lefolytatását akadályozta vagy</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ellenőrzéshez szükséges dokumentumokat nem bocsátotta rendelkezésre.</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visszafizetési kötelezettség az (1)–(2) bekezdésben meghatározott cselekmény megállapításától, a kamatfizetési kötelezettség az (1)–(2) bekezdésben meghatározott cselekmény megvalósításának kezdő időpontjától keletkezik. A kamat napi mértéke a mindenkori jegybanki alapkamat 365-öd részének kétszerese.</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visszafizetési és kamatfizetési kötelezettség teljesítése nem érintheti az ösztöndíj folyósítását.</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Az iskola az ösztöndíjas tanulókról az Nkt. 41. § (4) bekezdésében foglalt adatokon túl nyilvántartja azt is, ha a tanuló az adott megyében a hiány-szakképesítés körébe tartozó szakképesítést tanul.</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14/A. §</w:t>
      </w:r>
      <w:r>
        <w:rPr>
          <w:rFonts w:ascii="Times New Roman" w:hAnsi="Times New Roman" w:cs="Times New Roman"/>
          <w:sz w:val="20"/>
          <w:szCs w:val="20"/>
        </w:rPr>
        <w:t xml:space="preserve"> Kifutó rendszerben az e rendeletben foglalt feltételek szerint szakiskolai tanulmányi ösztöndíjban részesülnek vagy részesülhetnek a szakképzési hozzájárulásról és a képzés fejlesztésének támogatásáról szóló 2003. évi LXXXVI. törvény szerinti regionális fejlesztési és képzési bizottság döntésében szereplő szakképesítést tanulók.</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Ez a rendelet 2010. január 1-jén lép hatályba.</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(5)–(7)</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328/2009. (XII. 29.) Korm. rendelethez</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6" w:type="dxa"/>
        <w:tblLayout w:type="fixed"/>
        <w:tblCellMar>
          <w:left w:w="70" w:type="dxa"/>
          <w:right w:w="70" w:type="dxa"/>
        </w:tblCellMar>
        <w:tblLook w:val="0000" w:firstRow="0" w:lastRow="0" w:firstColumn="0" w:lastColumn="0" w:noHBand="0" w:noVBand="0"/>
      </w:tblPr>
      <w:tblGrid>
        <w:gridCol w:w="9639"/>
      </w:tblGrid>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Szakképző iskola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Címe: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OM azonosítója: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Pénzforgalmi számlaszám:</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tabs>
                <w:tab w:val="left" w:pos="4395"/>
              </w:tabs>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Ügyintéző neve:</w:t>
            </w:r>
            <w:r>
              <w:rPr>
                <w:rFonts w:ascii="Times New Roman" w:hAnsi="Times New Roman" w:cs="Times New Roman"/>
                <w:sz w:val="20"/>
                <w:szCs w:val="20"/>
              </w:rPr>
              <w:tab/>
              <w:t>Telefonszáma: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tabs>
                <w:tab w:val="left" w:pos="4395"/>
              </w:tabs>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b/>
              <w:t>E-mail címe: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igénylés időszaka:</w:t>
            </w: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t>Szakiskolai tanulmányi ösztöndíj igénylése: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Az igénylés időszakában járó ösztöndíj igénylése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3119"/>
        <w:gridCol w:w="1417"/>
        <w:gridCol w:w="1418"/>
        <w:gridCol w:w="1417"/>
        <w:gridCol w:w="1418"/>
      </w:tblGrid>
      <w:tr w:rsidR="00DD676C">
        <w:tblPrEx>
          <w:tblCellMar>
            <w:top w:w="0" w:type="dxa"/>
            <w:bottom w:w="0" w:type="dxa"/>
          </w:tblCellMar>
        </w:tblPrEx>
        <w:trPr>
          <w:cantSplit/>
        </w:trPr>
        <w:tc>
          <w:tcPr>
            <w:tcW w:w="850"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3119"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Tanulmányi átlageredmény</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Ösztöndíjas </w:t>
            </w:r>
            <w:r>
              <w:rPr>
                <w:rFonts w:ascii="Times New Roman" w:hAnsi="Times New Roman" w:cs="Times New Roman"/>
                <w:sz w:val="18"/>
                <w:szCs w:val="18"/>
              </w:rPr>
              <w:br/>
              <w:t>tanulói létszám</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Ösztöndíj </w:t>
            </w:r>
            <w:r>
              <w:rPr>
                <w:rFonts w:ascii="Times New Roman" w:hAnsi="Times New Roman" w:cs="Times New Roman"/>
                <w:sz w:val="18"/>
                <w:szCs w:val="18"/>
              </w:rPr>
              <w:br/>
              <w:t>mértéke</w:t>
            </w:r>
          </w:p>
        </w:tc>
        <w:tc>
          <w:tcPr>
            <w:tcW w:w="1417"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Hónapok száma</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Igényelt </w:t>
            </w:r>
            <w:r>
              <w:rPr>
                <w:rFonts w:ascii="Times New Roman" w:hAnsi="Times New Roman" w:cs="Times New Roman"/>
                <w:sz w:val="18"/>
                <w:szCs w:val="18"/>
              </w:rPr>
              <w:br/>
              <w:t xml:space="preserve">ösztöndíj </w:t>
            </w:r>
            <w:r>
              <w:rPr>
                <w:rFonts w:ascii="Times New Roman" w:hAnsi="Times New Roman" w:cs="Times New Roman"/>
                <w:sz w:val="18"/>
                <w:szCs w:val="18"/>
              </w:rPr>
              <w:br/>
              <w:t>összege</w:t>
            </w:r>
          </w:p>
        </w:tc>
      </w:tr>
      <w:tr w:rsidR="00DD676C">
        <w:tblPrEx>
          <w:tblCellMar>
            <w:top w:w="0" w:type="dxa"/>
            <w:bottom w:w="0" w:type="dxa"/>
          </w:tblCellMar>
        </w:tblPrEx>
        <w:trPr>
          <w:cantSplit/>
        </w:trPr>
        <w:tc>
          <w:tcPr>
            <w:tcW w:w="850"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3119"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fő</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Ft/hó</w:t>
            </w:r>
          </w:p>
        </w:tc>
        <w:tc>
          <w:tcPr>
            <w:tcW w:w="1417"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r>
      <w:tr w:rsidR="00DD676C">
        <w:tblPrEx>
          <w:tblCellMar>
            <w:top w:w="0" w:type="dxa"/>
            <w:bottom w:w="0" w:type="dxa"/>
          </w:tblCellMar>
        </w:tblPrEx>
        <w:tc>
          <w:tcPr>
            <w:tcW w:w="85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119"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f=c*d*e</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első szakképző évfolyam</w:t>
            </w:r>
            <w:r>
              <w:rPr>
                <w:rFonts w:ascii="Times New Roman" w:hAnsi="Times New Roman" w:cs="Times New Roman"/>
                <w:sz w:val="20"/>
                <w:szCs w:val="20"/>
              </w:rPr>
              <w:br/>
              <w:t>első félévében</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5,0 és 4,51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4,5 és 4,01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4,0 és 3,51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 és 3,01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15 000</w:t>
            </w:r>
          </w:p>
        </w:tc>
        <w:tc>
          <w:tcPr>
            <w:tcW w:w="1417"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 és 2,51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2,51 alatt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1417" w:type="dxa"/>
            <w:tcBorders>
              <w:top w:val="nil"/>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Összesen:</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Borders>
              <w:bottom w:val="nil"/>
              <w:right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7" w:type="dxa"/>
            <w:tcBorders>
              <w:top w:val="nil"/>
              <w:left w:val="nil"/>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ind w:left="426"/>
        <w:jc w:val="both"/>
        <w:rPr>
          <w:rFonts w:ascii="Times New Roman" w:hAnsi="Times New Roman" w:cs="Times New Roman"/>
          <w:sz w:val="20"/>
          <w:szCs w:val="20"/>
          <w:vertAlign w:val="superscript"/>
        </w:rPr>
      </w:pPr>
      <w:r>
        <w:rPr>
          <w:rFonts w:ascii="Times New Roman" w:hAnsi="Times New Roman" w:cs="Times New Roman"/>
          <w:sz w:val="20"/>
          <w:szCs w:val="20"/>
        </w:rPr>
        <w:t>B. Az igénylés időszakát megelőzően járó ösztöndíj pótigénylése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3119"/>
        <w:gridCol w:w="1417"/>
        <w:gridCol w:w="1418"/>
        <w:gridCol w:w="1417"/>
        <w:gridCol w:w="1418"/>
      </w:tblGrid>
      <w:tr w:rsidR="00DD676C">
        <w:tblPrEx>
          <w:tblCellMar>
            <w:top w:w="0" w:type="dxa"/>
            <w:bottom w:w="0" w:type="dxa"/>
          </w:tblCellMar>
        </w:tblPrEx>
        <w:trPr>
          <w:cantSplit/>
        </w:trPr>
        <w:tc>
          <w:tcPr>
            <w:tcW w:w="850"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3119"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Tanulmányi átlageredmény</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Ösztöndíjas tanulói létszám</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Ösztöndíj </w:t>
            </w:r>
            <w:r>
              <w:rPr>
                <w:rFonts w:ascii="Times New Roman" w:hAnsi="Times New Roman" w:cs="Times New Roman"/>
                <w:sz w:val="18"/>
                <w:szCs w:val="18"/>
              </w:rPr>
              <w:br/>
              <w:t>mértéke</w:t>
            </w:r>
          </w:p>
        </w:tc>
        <w:tc>
          <w:tcPr>
            <w:tcW w:w="1417"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Hónapok száma</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Igényelt ösztöndíj összege</w:t>
            </w:r>
          </w:p>
        </w:tc>
      </w:tr>
      <w:tr w:rsidR="00DD676C">
        <w:tblPrEx>
          <w:tblCellMar>
            <w:top w:w="0" w:type="dxa"/>
            <w:bottom w:w="0" w:type="dxa"/>
          </w:tblCellMar>
        </w:tblPrEx>
        <w:trPr>
          <w:cantSplit/>
        </w:trPr>
        <w:tc>
          <w:tcPr>
            <w:tcW w:w="850"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3119"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fő</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Ft/hó</w:t>
            </w:r>
          </w:p>
        </w:tc>
        <w:tc>
          <w:tcPr>
            <w:tcW w:w="1417"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r>
      <w:tr w:rsidR="00DD676C">
        <w:tblPrEx>
          <w:tblCellMar>
            <w:top w:w="0" w:type="dxa"/>
            <w:bottom w:w="0" w:type="dxa"/>
          </w:tblCellMar>
        </w:tblPrEx>
        <w:tc>
          <w:tcPr>
            <w:tcW w:w="85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119"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f=c*d*e</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első szakképző évfolyam</w:t>
            </w:r>
            <w:r>
              <w:rPr>
                <w:rFonts w:ascii="Times New Roman" w:hAnsi="Times New Roman" w:cs="Times New Roman"/>
                <w:sz w:val="20"/>
                <w:szCs w:val="20"/>
              </w:rPr>
              <w:br/>
              <w:t>első félévében</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5,0 és 4,51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4,5 és 4,01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4,0 és 3,51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 és 3,01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 és 2,51 között</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tblPrEx>
          <w:tblCellMar>
            <w:top w:w="0" w:type="dxa"/>
            <w:bottom w:w="0" w:type="dxa"/>
          </w:tblCellMar>
        </w:tblPrEx>
        <w:tc>
          <w:tcPr>
            <w:tcW w:w="850"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3119"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2,51 alatt</w:t>
            </w:r>
          </w:p>
        </w:tc>
        <w:tc>
          <w:tcPr>
            <w:tcW w:w="1417"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1417"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3119"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Összesen:</w:t>
            </w:r>
          </w:p>
        </w:tc>
        <w:tc>
          <w:tcPr>
            <w:tcW w:w="1417"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7" w:type="dxa"/>
            <w:tcBorders>
              <w:bottom w:val="nil"/>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p>
        </w:tc>
      </w:tr>
      <w:tr w:rsidR="00DD676C" w:rsidTr="00DD676C">
        <w:tblPrEx>
          <w:tblCellMar>
            <w:top w:w="0" w:type="dxa"/>
            <w:bottom w:w="0" w:type="dxa"/>
          </w:tblCellMar>
        </w:tblPrEx>
        <w:tc>
          <w:tcPr>
            <w:tcW w:w="9639" w:type="dxa"/>
            <w:gridSpan w:val="6"/>
            <w:tcBorders>
              <w:top w:val="nil"/>
              <w:left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rsidTr="00DD676C">
        <w:tblPrEx>
          <w:tblCellMar>
            <w:top w:w="0" w:type="dxa"/>
            <w:bottom w:w="0" w:type="dxa"/>
          </w:tblCellMar>
        </w:tblPrEx>
        <w:tc>
          <w:tcPr>
            <w:tcW w:w="8221" w:type="dxa"/>
            <w:gridSpan w:val="5"/>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Igényelt tanulmányi ösztöndíj összesen: (A+B)</w:t>
            </w:r>
          </w:p>
        </w:tc>
        <w:tc>
          <w:tcPr>
            <w:tcW w:w="1418"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pageBreakBefore/>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II.</w:t>
      </w:r>
      <w:r>
        <w:rPr>
          <w:rFonts w:ascii="Times New Roman" w:hAnsi="Times New Roman" w:cs="Times New Roman"/>
          <w:sz w:val="20"/>
          <w:szCs w:val="20"/>
        </w:rPr>
        <w:tab/>
        <w:t>Szakmai kompetenciákat fejlesztő oktatást végző tanárok felzárkóztatási pótlékának és járulékainak igénylése:</w:t>
      </w:r>
    </w:p>
    <w:p w:rsidR="00DD676C" w:rsidRDefault="00DD676C" w:rsidP="00DD676C">
      <w:pPr>
        <w:autoSpaceDE w:val="0"/>
        <w:autoSpaceDN w:val="0"/>
        <w:adjustRightInd w:val="0"/>
        <w:spacing w:after="0" w:line="240" w:lineRule="auto"/>
        <w:ind w:left="426" w:hanging="426"/>
        <w:jc w:val="both"/>
        <w:rPr>
          <w:rFonts w:ascii="Times New Roman" w:hAnsi="Times New Roman" w:cs="Times New Roman"/>
          <w:sz w:val="20"/>
          <w:szCs w:val="20"/>
        </w:rPr>
      </w:pPr>
    </w:p>
    <w:tbl>
      <w:tblPr>
        <w:tblW w:w="0" w:type="auto"/>
        <w:tblInd w:w="46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81"/>
        <w:gridCol w:w="3119"/>
        <w:gridCol w:w="1409"/>
        <w:gridCol w:w="1410"/>
        <w:gridCol w:w="1410"/>
        <w:gridCol w:w="1410"/>
      </w:tblGrid>
      <w:tr w:rsidR="00DD676C">
        <w:tblPrEx>
          <w:tblCellMar>
            <w:top w:w="0" w:type="dxa"/>
            <w:bottom w:w="0" w:type="dxa"/>
          </w:tblCellMar>
        </w:tblPrEx>
        <w:trPr>
          <w:cantSplit/>
        </w:trPr>
        <w:tc>
          <w:tcPr>
            <w:tcW w:w="881" w:type="dxa"/>
            <w:vMerge w:val="restart"/>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3119" w:type="dxa"/>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Havi pótlékalap negyede</w:t>
            </w:r>
          </w:p>
        </w:tc>
        <w:tc>
          <w:tcPr>
            <w:tcW w:w="1409" w:type="dxa"/>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Fejlesztésben részesülő tanulói létszám</w:t>
            </w:r>
          </w:p>
        </w:tc>
        <w:tc>
          <w:tcPr>
            <w:tcW w:w="1410" w:type="dxa"/>
            <w:vMerge w:val="restart"/>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Hónapok száma</w:t>
            </w:r>
          </w:p>
        </w:tc>
        <w:tc>
          <w:tcPr>
            <w:tcW w:w="1410" w:type="dxa"/>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Munkáltatót terhelő bérjárulékok</w:t>
            </w:r>
          </w:p>
        </w:tc>
        <w:tc>
          <w:tcPr>
            <w:tcW w:w="1410" w:type="dxa"/>
            <w:tcBorders>
              <w:bottom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Igényelt összeg</w:t>
            </w:r>
          </w:p>
        </w:tc>
      </w:tr>
      <w:tr w:rsidR="00DD676C">
        <w:tblPrEx>
          <w:tblCellMar>
            <w:top w:w="0" w:type="dxa"/>
            <w:bottom w:w="0" w:type="dxa"/>
          </w:tblCellMar>
        </w:tblPrEx>
        <w:trPr>
          <w:cantSplit/>
        </w:trPr>
        <w:tc>
          <w:tcPr>
            <w:tcW w:w="881" w:type="dxa"/>
            <w:vMerge/>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3119" w:type="dxa"/>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c>
          <w:tcPr>
            <w:tcW w:w="1409" w:type="dxa"/>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fő</w:t>
            </w:r>
          </w:p>
        </w:tc>
        <w:tc>
          <w:tcPr>
            <w:tcW w:w="1410" w:type="dxa"/>
            <w:vMerge/>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0" w:type="dxa"/>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c>
          <w:tcPr>
            <w:tcW w:w="1410" w:type="dxa"/>
            <w:tcBorders>
              <w:top w:val="nil"/>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r>
      <w:tr w:rsidR="00DD676C">
        <w:tblPrEx>
          <w:tblCellMar>
            <w:top w:w="0" w:type="dxa"/>
            <w:bottom w:w="0" w:type="dxa"/>
          </w:tblCellMar>
        </w:tblPrEx>
        <w:tc>
          <w:tcPr>
            <w:tcW w:w="881"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119"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09"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1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1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c>
          <w:tcPr>
            <w:tcW w:w="141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f=(b*c*d)+e</w:t>
            </w:r>
          </w:p>
        </w:tc>
      </w:tr>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119"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09"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ind w:left="426" w:hanging="426"/>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III.</w:t>
      </w:r>
      <w:r>
        <w:rPr>
          <w:rFonts w:ascii="Times New Roman" w:hAnsi="Times New Roman" w:cs="Times New Roman"/>
          <w:sz w:val="20"/>
          <w:szCs w:val="20"/>
        </w:rPr>
        <w:tab/>
        <w:t>Lebonyolítási költségtérítés igénylése: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66" w:type="dxa"/>
        <w:tblLayout w:type="fixed"/>
        <w:tblCellMar>
          <w:left w:w="71" w:type="dxa"/>
          <w:right w:w="71" w:type="dxa"/>
        </w:tblCellMar>
        <w:tblLook w:val="0000" w:firstRow="0" w:lastRow="0" w:firstColumn="0" w:lastColumn="0" w:noHBand="0" w:noVBand="0"/>
      </w:tblPr>
      <w:tblGrid>
        <w:gridCol w:w="881"/>
        <w:gridCol w:w="3119"/>
        <w:gridCol w:w="1417"/>
      </w:tblGrid>
      <w:tr w:rsidR="00DD676C">
        <w:tblPrEx>
          <w:tblCellMar>
            <w:top w:w="0" w:type="dxa"/>
            <w:bottom w:w="0" w:type="dxa"/>
          </w:tblCellMar>
        </w:tblPrEx>
        <w:trPr>
          <w:cantSplit/>
        </w:trPr>
        <w:tc>
          <w:tcPr>
            <w:tcW w:w="881" w:type="dxa"/>
            <w:vMerge w:val="restart"/>
            <w:tcBorders>
              <w:top w:val="single" w:sz="2" w:space="0" w:color="auto"/>
              <w:left w:val="single" w:sz="2" w:space="0" w:color="auto"/>
              <w:bottom w:val="nil"/>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3119" w:type="dxa"/>
            <w:tcBorders>
              <w:top w:val="single" w:sz="2" w:space="0" w:color="auto"/>
              <w:left w:val="single" w:sz="2" w:space="0" w:color="auto"/>
              <w:bottom w:val="single" w:sz="2" w:space="0" w:color="auto"/>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Tanulmányi ösztöndíj igénylés összege</w:t>
            </w:r>
          </w:p>
        </w:tc>
        <w:tc>
          <w:tcPr>
            <w:tcW w:w="1417" w:type="dxa"/>
            <w:tcBorders>
              <w:top w:val="single" w:sz="2" w:space="0" w:color="auto"/>
              <w:left w:val="single" w:sz="2" w:space="0" w:color="auto"/>
              <w:bottom w:val="single" w:sz="2" w:space="0" w:color="auto"/>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Igényelhető lebonyolítási költségtérítés összege</w:t>
            </w:r>
          </w:p>
        </w:tc>
      </w:tr>
      <w:tr w:rsidR="00DD676C">
        <w:tblPrEx>
          <w:tblCellMar>
            <w:top w:w="0" w:type="dxa"/>
            <w:bottom w:w="0" w:type="dxa"/>
          </w:tblCellMar>
        </w:tblPrEx>
        <w:trPr>
          <w:cantSplit/>
        </w:trPr>
        <w:tc>
          <w:tcPr>
            <w:tcW w:w="881" w:type="dxa"/>
            <w:vMerge/>
            <w:tcBorders>
              <w:top w:val="nil"/>
              <w:left w:val="single" w:sz="2" w:space="0" w:color="auto"/>
              <w:bottom w:val="single" w:sz="2" w:space="0" w:color="auto"/>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3119" w:type="dxa"/>
            <w:tcBorders>
              <w:top w:val="single" w:sz="2" w:space="0" w:color="auto"/>
              <w:left w:val="single" w:sz="2" w:space="0" w:color="auto"/>
              <w:bottom w:val="single" w:sz="2" w:space="0" w:color="auto"/>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c>
          <w:tcPr>
            <w:tcW w:w="1417" w:type="dxa"/>
            <w:tcBorders>
              <w:top w:val="single" w:sz="2" w:space="0" w:color="auto"/>
              <w:left w:val="single" w:sz="2" w:space="0" w:color="auto"/>
              <w:bottom w:val="single" w:sz="2" w:space="0" w:color="auto"/>
              <w:right w:val="single" w:sz="2" w:space="0" w:color="auto"/>
            </w:tcBorders>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r>
      <w:tr w:rsidR="00DD676C">
        <w:tblPrEx>
          <w:tblCellMar>
            <w:top w:w="0" w:type="dxa"/>
            <w:bottom w:w="0" w:type="dxa"/>
          </w:tblCellMar>
        </w:tblPrEx>
        <w:tc>
          <w:tcPr>
            <w:tcW w:w="881"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119"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 I. tábla (A+B)</w:t>
            </w:r>
          </w:p>
        </w:tc>
        <w:tc>
          <w:tcPr>
            <w:tcW w:w="1417"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c=b*0,02</w:t>
            </w:r>
          </w:p>
        </w:tc>
      </w:tr>
      <w:tr w:rsidR="00DD676C">
        <w:tblPrEx>
          <w:tblCellMar>
            <w:top w:w="0" w:type="dxa"/>
            <w:bottom w:w="0" w:type="dxa"/>
          </w:tblCellMar>
        </w:tblPrEx>
        <w:tc>
          <w:tcPr>
            <w:tcW w:w="881"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119"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7" w:type="dxa"/>
            <w:tcBorders>
              <w:top w:val="single" w:sz="2" w:space="0" w:color="auto"/>
              <w:left w:val="single" w:sz="2" w:space="0" w:color="auto"/>
              <w:bottom w:val="single" w:sz="2" w:space="0" w:color="auto"/>
              <w:right w:val="single" w:sz="2" w:space="0" w:color="auto"/>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 xml:space="preserve">IV. </w:t>
      </w:r>
      <w:r>
        <w:rPr>
          <w:rFonts w:ascii="Times New Roman" w:hAnsi="Times New Roman" w:cs="Times New Roman"/>
          <w:sz w:val="20"/>
          <w:szCs w:val="20"/>
        </w:rPr>
        <w:tab/>
        <w:t>Kiutalási igény összesítője: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6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81"/>
        <w:gridCol w:w="7371"/>
        <w:gridCol w:w="1387"/>
      </w:tblGrid>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7371"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Megnevezés</w:t>
            </w:r>
          </w:p>
        </w:tc>
        <w:tc>
          <w:tcPr>
            <w:tcW w:w="1387"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Igényelt összeg</w:t>
            </w:r>
          </w:p>
        </w:tc>
      </w:tr>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371"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 Tanulmányi ösztöndíj (A+B)</w:t>
            </w:r>
          </w:p>
        </w:tc>
        <w:tc>
          <w:tcPr>
            <w:tcW w:w="1387"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371"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II. Felzárkóztatási pótlék és bérjárulékai</w:t>
            </w:r>
          </w:p>
        </w:tc>
        <w:tc>
          <w:tcPr>
            <w:tcW w:w="1387"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7371"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III. Lebonyolítási költségtérítés</w:t>
            </w:r>
          </w:p>
        </w:tc>
        <w:tc>
          <w:tcPr>
            <w:tcW w:w="1387"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81"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7371"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Kiutalási igény összesen:</w:t>
            </w:r>
          </w:p>
        </w:tc>
        <w:tc>
          <w:tcPr>
            <w:tcW w:w="1387"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Dátum:</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ind w:left="4962"/>
        <w:jc w:val="center"/>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br/>
        <w:t>aláírás</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328/2009. (XII. 29.) Korm. rendelethez</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6" w:type="dxa"/>
        <w:tblLayout w:type="fixed"/>
        <w:tblCellMar>
          <w:left w:w="70" w:type="dxa"/>
          <w:right w:w="70" w:type="dxa"/>
        </w:tblCellMar>
        <w:tblLook w:val="0000" w:firstRow="0" w:lastRow="0" w:firstColumn="0" w:lastColumn="0" w:noHBand="0" w:noVBand="0"/>
      </w:tblPr>
      <w:tblGrid>
        <w:gridCol w:w="9639"/>
      </w:tblGrid>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Szakképző iskola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Címe: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OM azonosítója: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Pénzforgalmi számlaszám:</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tabs>
                <w:tab w:val="left" w:pos="4395"/>
              </w:tabs>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Ügyintéző neve:</w:t>
            </w:r>
            <w:r>
              <w:rPr>
                <w:rFonts w:ascii="Times New Roman" w:hAnsi="Times New Roman" w:cs="Times New Roman"/>
                <w:sz w:val="20"/>
                <w:szCs w:val="20"/>
              </w:rPr>
              <w:tab/>
              <w:t>Telefonszáma:</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tabs>
                <w:tab w:val="left" w:pos="4395"/>
              </w:tabs>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b/>
              <w:t>E-mail címe:</w:t>
            </w:r>
          </w:p>
        </w:tc>
      </w:tr>
      <w:tr w:rsidR="00DD676C">
        <w:tblPrEx>
          <w:tblCellMar>
            <w:top w:w="0" w:type="dxa"/>
            <w:bottom w:w="0" w:type="dxa"/>
          </w:tblCellMar>
        </w:tblPrEx>
        <w:tc>
          <w:tcPr>
            <w:tcW w:w="9639" w:type="dxa"/>
            <w:tcBorders>
              <w:top w:val="nil"/>
              <w:left w:val="nil"/>
              <w:bottom w:val="nil"/>
              <w:right w:val="nil"/>
            </w:tcBorders>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elszámolás időszaka:</w:t>
            </w: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 xml:space="preserve">I. </w:t>
      </w:r>
      <w:r>
        <w:rPr>
          <w:rFonts w:ascii="Times New Roman" w:hAnsi="Times New Roman" w:cs="Times New Roman"/>
          <w:sz w:val="20"/>
          <w:szCs w:val="20"/>
        </w:rPr>
        <w:tab/>
        <w:t>Szakiskolai tanulmányi ösztöndíj elszámolása:</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2410"/>
        <w:gridCol w:w="1063"/>
        <w:gridCol w:w="1063"/>
        <w:gridCol w:w="1063"/>
        <w:gridCol w:w="1063"/>
        <w:gridCol w:w="1063"/>
        <w:gridCol w:w="1064"/>
      </w:tblGrid>
      <w:tr w:rsidR="00DD676C">
        <w:tblPrEx>
          <w:tblCellMar>
            <w:top w:w="0" w:type="dxa"/>
            <w:bottom w:w="0" w:type="dxa"/>
          </w:tblCellMar>
        </w:tblPrEx>
        <w:trPr>
          <w:cantSplit/>
        </w:trPr>
        <w:tc>
          <w:tcPr>
            <w:tcW w:w="850"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Sorszám</w:t>
            </w:r>
          </w:p>
        </w:tc>
        <w:tc>
          <w:tcPr>
            <w:tcW w:w="2410"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Tanulmányi átlageredmény</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Ösztöndíj mértéke</w:t>
            </w:r>
          </w:p>
        </w:tc>
        <w:tc>
          <w:tcPr>
            <w:tcW w:w="2126" w:type="dxa"/>
            <w:gridSpan w:val="2"/>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Kiutalt ösztöndíj</w:t>
            </w:r>
          </w:p>
        </w:tc>
        <w:tc>
          <w:tcPr>
            <w:tcW w:w="2126" w:type="dxa"/>
            <w:gridSpan w:val="2"/>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Kifizetett ösztöndíj</w:t>
            </w:r>
          </w:p>
        </w:tc>
        <w:tc>
          <w:tcPr>
            <w:tcW w:w="1064"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Különbözet</w:t>
            </w:r>
          </w:p>
        </w:tc>
      </w:tr>
      <w:tr w:rsidR="00DD676C">
        <w:tblPrEx>
          <w:tblCellMar>
            <w:top w:w="0" w:type="dxa"/>
            <w:bottom w:w="0" w:type="dxa"/>
          </w:tblCellMar>
        </w:tblPrEx>
        <w:trPr>
          <w:cantSplit/>
        </w:trPr>
        <w:tc>
          <w:tcPr>
            <w:tcW w:w="850"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2410"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Ft/hó</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fő</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fő</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c>
          <w:tcPr>
            <w:tcW w:w="1064"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Ft</w:t>
            </w:r>
          </w:p>
        </w:tc>
      </w:tr>
      <w:tr w:rsidR="00DD676C">
        <w:tblPrEx>
          <w:tblCellMar>
            <w:top w:w="0" w:type="dxa"/>
            <w:bottom w:w="0" w:type="dxa"/>
          </w:tblCellMar>
        </w:tblPrEx>
        <w:tc>
          <w:tcPr>
            <w:tcW w:w="85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241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w:t>
            </w:r>
          </w:p>
        </w:tc>
        <w:tc>
          <w:tcPr>
            <w:tcW w:w="106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g</w:t>
            </w:r>
          </w:p>
        </w:tc>
        <w:tc>
          <w:tcPr>
            <w:tcW w:w="1064"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h=e–g</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Első szakképző évfolyam első félévében</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5,0 és 4,51 között</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4,5 és 4,01 között</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4,0 és 3,51 között</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 és 3,01 között</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3,0 és 2,51 között</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10 000</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c>
          <w:tcPr>
            <w:tcW w:w="1063"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06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rsidT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8789" w:type="dxa"/>
            <w:gridSpan w:val="7"/>
          </w:tcPr>
          <w:p w:rsidR="00DD676C" w:rsidRDefault="00DD676C">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Visszafizetendő ösztöndíj összege (a különbözet összege):</w:t>
            </w: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II.</w:t>
      </w:r>
      <w:r>
        <w:rPr>
          <w:rFonts w:ascii="Times New Roman" w:hAnsi="Times New Roman" w:cs="Times New Roman"/>
          <w:sz w:val="20"/>
          <w:szCs w:val="20"/>
        </w:rPr>
        <w:tab/>
        <w:t>Szakmai kompetenciákat fejlesztő oktatást végző tanárok felzárkóztatási pótlékának és járulékainak elszámolása:</w:t>
      </w:r>
    </w:p>
    <w:p w:rsidR="00DD676C" w:rsidRDefault="00DD676C" w:rsidP="00DD676C">
      <w:pPr>
        <w:autoSpaceDE w:val="0"/>
        <w:autoSpaceDN w:val="0"/>
        <w:adjustRightInd w:val="0"/>
        <w:spacing w:after="60" w:line="240" w:lineRule="auto"/>
        <w:ind w:left="425"/>
        <w:jc w:val="both"/>
        <w:rPr>
          <w:rFonts w:ascii="Times New Roman" w:hAnsi="Times New Roman" w:cs="Times New Roman"/>
          <w:sz w:val="20"/>
          <w:szCs w:val="20"/>
        </w:rPr>
      </w:pPr>
      <w:r>
        <w:rPr>
          <w:rFonts w:ascii="Times New Roman" w:hAnsi="Times New Roman" w:cs="Times New Roman"/>
          <w:sz w:val="20"/>
          <w:szCs w:val="20"/>
        </w:rPr>
        <w:t>II. 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6379"/>
        <w:gridCol w:w="2410"/>
      </w:tblGrid>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6379"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Kompetenciafejlesztésben részesült tanulók száma</w:t>
            </w:r>
          </w:p>
        </w:tc>
        <w:tc>
          <w:tcPr>
            <w:tcW w:w="2410"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Hónapok száma</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379"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DD676C" w:rsidRDefault="00DD676C">
            <w:pPr>
              <w:autoSpaceDE w:val="0"/>
              <w:autoSpaceDN w:val="0"/>
              <w:adjustRightInd w:val="0"/>
              <w:spacing w:before="40" w:after="20" w:line="240" w:lineRule="auto"/>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60" w:line="240" w:lineRule="auto"/>
        <w:ind w:left="425"/>
        <w:jc w:val="both"/>
        <w:rPr>
          <w:rFonts w:ascii="Times New Roman" w:hAnsi="Times New Roman" w:cs="Times New Roman"/>
          <w:sz w:val="20"/>
          <w:szCs w:val="20"/>
        </w:rPr>
      </w:pPr>
      <w:r>
        <w:rPr>
          <w:rFonts w:ascii="Times New Roman" w:hAnsi="Times New Roman" w:cs="Times New Roman"/>
          <w:sz w:val="20"/>
          <w:szCs w:val="20"/>
        </w:rPr>
        <w:t>II. B.</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3402"/>
        <w:gridCol w:w="1417"/>
        <w:gridCol w:w="1418"/>
        <w:gridCol w:w="1418"/>
        <w:gridCol w:w="1134"/>
      </w:tblGrid>
      <w:tr w:rsidR="00DD676C">
        <w:tblPrEx>
          <w:tblCellMar>
            <w:top w:w="0" w:type="dxa"/>
            <w:bottom w:w="0" w:type="dxa"/>
          </w:tblCellMar>
        </w:tblPrEx>
        <w:trPr>
          <w:cantSplit/>
        </w:trPr>
        <w:tc>
          <w:tcPr>
            <w:tcW w:w="850"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3402"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Kiutalt pótlék bruttó összege</w:t>
            </w:r>
            <w:r>
              <w:rPr>
                <w:rFonts w:ascii="Times New Roman" w:hAnsi="Times New Roman" w:cs="Times New Roman"/>
                <w:sz w:val="18"/>
                <w:szCs w:val="18"/>
              </w:rPr>
              <w:br/>
              <w:t>Ft</w:t>
            </w:r>
          </w:p>
        </w:tc>
        <w:tc>
          <w:tcPr>
            <w:tcW w:w="4253" w:type="dxa"/>
            <w:gridSpan w:val="3"/>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Az elszámolási időszakban kifizetett</w:t>
            </w:r>
          </w:p>
        </w:tc>
        <w:tc>
          <w:tcPr>
            <w:tcW w:w="1134"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Különbözet</w:t>
            </w:r>
            <w:r>
              <w:rPr>
                <w:rFonts w:ascii="Times New Roman" w:hAnsi="Times New Roman" w:cs="Times New Roman"/>
                <w:sz w:val="18"/>
                <w:szCs w:val="18"/>
              </w:rPr>
              <w:br/>
              <w:t>Ft</w:t>
            </w:r>
          </w:p>
        </w:tc>
      </w:tr>
      <w:tr w:rsidR="00DD676C">
        <w:tblPrEx>
          <w:tblCellMar>
            <w:top w:w="0" w:type="dxa"/>
            <w:bottom w:w="0" w:type="dxa"/>
          </w:tblCellMar>
        </w:tblPrEx>
        <w:trPr>
          <w:cantSplit/>
        </w:trPr>
        <w:tc>
          <w:tcPr>
            <w:tcW w:w="850"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3402"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felzárkóztatási pótlék</w:t>
            </w:r>
            <w:r>
              <w:rPr>
                <w:rFonts w:ascii="Times New Roman" w:hAnsi="Times New Roman" w:cs="Times New Roman"/>
                <w:sz w:val="18"/>
                <w:szCs w:val="18"/>
              </w:rPr>
              <w:br/>
              <w:t>Ft</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bérjárulékok</w:t>
            </w:r>
            <w:r>
              <w:rPr>
                <w:rFonts w:ascii="Times New Roman" w:hAnsi="Times New Roman" w:cs="Times New Roman"/>
                <w:sz w:val="18"/>
                <w:szCs w:val="18"/>
              </w:rPr>
              <w:br/>
              <w:t>Ft</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összesen</w:t>
            </w:r>
            <w:r>
              <w:rPr>
                <w:rFonts w:ascii="Times New Roman" w:hAnsi="Times New Roman" w:cs="Times New Roman"/>
                <w:sz w:val="18"/>
                <w:szCs w:val="18"/>
              </w:rPr>
              <w:br/>
              <w:t>Ft</w:t>
            </w:r>
          </w:p>
        </w:tc>
        <w:tc>
          <w:tcPr>
            <w:tcW w:w="1134"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r>
      <w:tr w:rsidR="00DD676C">
        <w:tblPrEx>
          <w:tblCellMar>
            <w:top w:w="0" w:type="dxa"/>
            <w:bottom w:w="0" w:type="dxa"/>
          </w:tblCellMar>
        </w:tblPrEx>
        <w:tc>
          <w:tcPr>
            <w:tcW w:w="85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402"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17"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18"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e=c+d</w:t>
            </w:r>
          </w:p>
        </w:tc>
        <w:tc>
          <w:tcPr>
            <w:tcW w:w="1134"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f=b–e</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402"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7"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18"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13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rsidT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789" w:type="dxa"/>
            <w:gridSpan w:val="5"/>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Visszafizetendő felzárkóztatási pótlék összege (a különbözet összege):</w:t>
            </w: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III.</w:t>
      </w:r>
      <w:r>
        <w:rPr>
          <w:rFonts w:ascii="Times New Roman" w:hAnsi="Times New Roman" w:cs="Times New Roman"/>
          <w:sz w:val="20"/>
          <w:szCs w:val="20"/>
        </w:rPr>
        <w:tab/>
        <w:t>Lebonyolítási költségtérítés elszámolása:</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134"/>
        <w:gridCol w:w="1984"/>
        <w:gridCol w:w="1630"/>
        <w:gridCol w:w="1914"/>
        <w:gridCol w:w="1488"/>
        <w:gridCol w:w="1489"/>
      </w:tblGrid>
      <w:tr w:rsidR="00DD676C">
        <w:tblPrEx>
          <w:tblCellMar>
            <w:top w:w="0" w:type="dxa"/>
            <w:bottom w:w="0" w:type="dxa"/>
          </w:tblCellMar>
        </w:tblPrEx>
        <w:trPr>
          <w:cantSplit/>
        </w:trPr>
        <w:tc>
          <w:tcPr>
            <w:tcW w:w="1134"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1984"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Kiutalt lebonyolítási </w:t>
            </w:r>
            <w:r>
              <w:rPr>
                <w:rFonts w:ascii="Times New Roman" w:hAnsi="Times New Roman" w:cs="Times New Roman"/>
                <w:sz w:val="18"/>
                <w:szCs w:val="18"/>
              </w:rPr>
              <w:br/>
              <w:t xml:space="preserve">költségtérítés összege </w:t>
            </w:r>
            <w:r>
              <w:rPr>
                <w:rFonts w:ascii="Times New Roman" w:hAnsi="Times New Roman" w:cs="Times New Roman"/>
                <w:sz w:val="18"/>
                <w:szCs w:val="18"/>
              </w:rPr>
              <w:br/>
              <w:t>Ft</w:t>
            </w:r>
          </w:p>
        </w:tc>
        <w:tc>
          <w:tcPr>
            <w:tcW w:w="3544" w:type="dxa"/>
            <w:gridSpan w:val="2"/>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Az elszámolási időszakban kifizetett</w:t>
            </w:r>
          </w:p>
        </w:tc>
        <w:tc>
          <w:tcPr>
            <w:tcW w:w="1488"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Felhasznált </w:t>
            </w:r>
            <w:r>
              <w:rPr>
                <w:rFonts w:ascii="Times New Roman" w:hAnsi="Times New Roman" w:cs="Times New Roman"/>
                <w:sz w:val="18"/>
                <w:szCs w:val="18"/>
              </w:rPr>
              <w:br/>
              <w:t xml:space="preserve">lebonyolítási </w:t>
            </w:r>
            <w:r>
              <w:rPr>
                <w:rFonts w:ascii="Times New Roman" w:hAnsi="Times New Roman" w:cs="Times New Roman"/>
                <w:sz w:val="18"/>
                <w:szCs w:val="18"/>
              </w:rPr>
              <w:br/>
              <w:t>költségtérítés</w:t>
            </w:r>
            <w:r>
              <w:rPr>
                <w:rFonts w:ascii="Times New Roman" w:hAnsi="Times New Roman" w:cs="Times New Roman"/>
                <w:sz w:val="18"/>
                <w:szCs w:val="18"/>
              </w:rPr>
              <w:br/>
              <w:t>Ft</w:t>
            </w:r>
          </w:p>
        </w:tc>
        <w:tc>
          <w:tcPr>
            <w:tcW w:w="1489" w:type="dxa"/>
            <w:vMerge w:val="restart"/>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Különbözet</w:t>
            </w:r>
            <w:r>
              <w:rPr>
                <w:rFonts w:ascii="Times New Roman" w:hAnsi="Times New Roman" w:cs="Times New Roman"/>
                <w:sz w:val="18"/>
                <w:szCs w:val="18"/>
              </w:rPr>
              <w:br/>
              <w:t>Ft</w:t>
            </w:r>
          </w:p>
        </w:tc>
      </w:tr>
      <w:tr w:rsidR="00DD676C">
        <w:tblPrEx>
          <w:tblCellMar>
            <w:top w:w="0" w:type="dxa"/>
            <w:bottom w:w="0" w:type="dxa"/>
          </w:tblCellMar>
        </w:tblPrEx>
        <w:trPr>
          <w:cantSplit/>
        </w:trPr>
        <w:tc>
          <w:tcPr>
            <w:tcW w:w="1134"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984"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63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Tanulmányi </w:t>
            </w:r>
            <w:r>
              <w:rPr>
                <w:rFonts w:ascii="Times New Roman" w:hAnsi="Times New Roman" w:cs="Times New Roman"/>
                <w:sz w:val="18"/>
                <w:szCs w:val="18"/>
              </w:rPr>
              <w:br/>
              <w:t>ösztöndíj összege</w:t>
            </w:r>
            <w:r>
              <w:rPr>
                <w:rFonts w:ascii="Times New Roman" w:hAnsi="Times New Roman" w:cs="Times New Roman"/>
                <w:sz w:val="18"/>
                <w:szCs w:val="18"/>
              </w:rPr>
              <w:br/>
              <w:t>Ft</w:t>
            </w:r>
          </w:p>
        </w:tc>
        <w:tc>
          <w:tcPr>
            <w:tcW w:w="1914"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Tanulói ösztöndíj 2%-a </w:t>
            </w:r>
            <w:r>
              <w:rPr>
                <w:rFonts w:ascii="Times New Roman" w:hAnsi="Times New Roman" w:cs="Times New Roman"/>
                <w:sz w:val="18"/>
                <w:szCs w:val="18"/>
              </w:rPr>
              <w:br/>
              <w:t>Ft</w:t>
            </w:r>
          </w:p>
        </w:tc>
        <w:tc>
          <w:tcPr>
            <w:tcW w:w="1488"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c>
          <w:tcPr>
            <w:tcW w:w="1489" w:type="dxa"/>
            <w:vMerge/>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p>
        </w:tc>
      </w:tr>
      <w:tr w:rsidR="00DD676C">
        <w:tblPrEx>
          <w:tblCellMar>
            <w:top w:w="0" w:type="dxa"/>
            <w:bottom w:w="0" w:type="dxa"/>
          </w:tblCellMar>
        </w:tblPrEx>
        <w:tc>
          <w:tcPr>
            <w:tcW w:w="1134"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1984"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630"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914"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d=c*0,02</w:t>
            </w:r>
          </w:p>
        </w:tc>
        <w:tc>
          <w:tcPr>
            <w:tcW w:w="1488"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 maximum d</w:t>
            </w:r>
          </w:p>
        </w:tc>
        <w:tc>
          <w:tcPr>
            <w:tcW w:w="1489" w:type="dxa"/>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f=b–e</w:t>
            </w:r>
          </w:p>
        </w:tc>
      </w:tr>
      <w:tr w:rsidR="00DD676C">
        <w:tblPrEx>
          <w:tblCellMar>
            <w:top w:w="0" w:type="dxa"/>
            <w:bottom w:w="0" w:type="dxa"/>
          </w:tblCellMar>
        </w:tblPrEx>
        <w:tc>
          <w:tcPr>
            <w:tcW w:w="1134"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98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63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914"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88"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489"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rsidTr="00DD676C">
        <w:tblPrEx>
          <w:tblCellMar>
            <w:top w:w="0" w:type="dxa"/>
            <w:bottom w:w="0" w:type="dxa"/>
          </w:tblCellMar>
        </w:tblPrEx>
        <w:tc>
          <w:tcPr>
            <w:tcW w:w="1134"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05" w:type="dxa"/>
            <w:gridSpan w:val="5"/>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Visszafizetendő lebonyolítási költségtérítés összege (különbözet):</w:t>
            </w:r>
          </w:p>
        </w:tc>
      </w:tr>
    </w:tbl>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IV.</w:t>
      </w:r>
      <w:r>
        <w:rPr>
          <w:rFonts w:ascii="Times New Roman" w:hAnsi="Times New Roman" w:cs="Times New Roman"/>
          <w:sz w:val="20"/>
          <w:szCs w:val="20"/>
        </w:rPr>
        <w:tab/>
        <w:t>Kiutalt támogatások elszámolásának az összesítése:</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50"/>
        <w:gridCol w:w="4820"/>
        <w:gridCol w:w="1323"/>
        <w:gridCol w:w="1323"/>
        <w:gridCol w:w="1323"/>
      </w:tblGrid>
      <w:tr w:rsidR="00DD676C">
        <w:tblPrEx>
          <w:tblCellMar>
            <w:top w:w="0" w:type="dxa"/>
            <w:bottom w:w="0" w:type="dxa"/>
          </w:tblCellMar>
        </w:tblPrEx>
        <w:tc>
          <w:tcPr>
            <w:tcW w:w="85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4820"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Megnevezés</w:t>
            </w:r>
          </w:p>
        </w:tc>
        <w:tc>
          <w:tcPr>
            <w:tcW w:w="132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Kiutalt összeg</w:t>
            </w:r>
            <w:r>
              <w:rPr>
                <w:rFonts w:ascii="Times New Roman" w:hAnsi="Times New Roman" w:cs="Times New Roman"/>
                <w:sz w:val="18"/>
                <w:szCs w:val="18"/>
              </w:rPr>
              <w:br/>
              <w:t>Ft</w:t>
            </w:r>
          </w:p>
        </w:tc>
        <w:tc>
          <w:tcPr>
            <w:tcW w:w="132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Felhasznált összeg</w:t>
            </w:r>
            <w:r>
              <w:rPr>
                <w:rFonts w:ascii="Times New Roman" w:hAnsi="Times New Roman" w:cs="Times New Roman"/>
                <w:sz w:val="18"/>
                <w:szCs w:val="18"/>
              </w:rPr>
              <w:br/>
              <w:t>Ft</w:t>
            </w:r>
          </w:p>
        </w:tc>
        <w:tc>
          <w:tcPr>
            <w:tcW w:w="1323" w:type="dxa"/>
            <w:vAlign w:val="center"/>
          </w:tcPr>
          <w:p w:rsidR="00DD676C" w:rsidRDefault="00DD676C">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Visszafizetendő különbözet</w:t>
            </w:r>
            <w:r>
              <w:rPr>
                <w:rFonts w:ascii="Times New Roman" w:hAnsi="Times New Roman" w:cs="Times New Roman"/>
                <w:sz w:val="18"/>
                <w:szCs w:val="18"/>
              </w:rPr>
              <w:br/>
              <w:t>Ft</w:t>
            </w: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82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 Szakiskolai tanulmányi ösztöndíj</w:t>
            </w: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82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II. Felzárkóztatási pótlék és járulékai</w:t>
            </w: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82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III. Lebonyolítási költségtérítés</w:t>
            </w: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r w:rsidR="00DD676C">
        <w:tblPrEx>
          <w:tblCellMar>
            <w:top w:w="0" w:type="dxa"/>
            <w:bottom w:w="0" w:type="dxa"/>
          </w:tblCellMar>
        </w:tblPrEx>
        <w:tc>
          <w:tcPr>
            <w:tcW w:w="850" w:type="dxa"/>
          </w:tcPr>
          <w:p w:rsidR="00DD676C" w:rsidRDefault="00DD676C">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820"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Összesen (1+2+3):</w:t>
            </w: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c>
          <w:tcPr>
            <w:tcW w:w="1323" w:type="dxa"/>
          </w:tcPr>
          <w:p w:rsidR="00DD676C" w:rsidRDefault="00DD676C">
            <w:pPr>
              <w:autoSpaceDE w:val="0"/>
              <w:autoSpaceDN w:val="0"/>
              <w:adjustRightInd w:val="0"/>
              <w:spacing w:before="40" w:after="20" w:line="240" w:lineRule="auto"/>
              <w:jc w:val="both"/>
              <w:rPr>
                <w:rFonts w:ascii="Times New Roman" w:hAnsi="Times New Roman" w:cs="Times New Roman"/>
                <w:sz w:val="20"/>
                <w:szCs w:val="20"/>
              </w:rPr>
            </w:pPr>
          </w:p>
        </w:tc>
      </w:tr>
    </w:tbl>
    <w:p w:rsidR="00DD676C" w:rsidRDefault="00DD676C" w:rsidP="00DD676C">
      <w:pPr>
        <w:autoSpaceDE w:val="0"/>
        <w:autoSpaceDN w:val="0"/>
        <w:adjustRightInd w:val="0"/>
        <w:spacing w:after="0" w:line="240" w:lineRule="auto"/>
        <w:ind w:left="426"/>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Dátum:</w:t>
      </w:r>
    </w:p>
    <w:p w:rsidR="00DD676C" w:rsidRDefault="00DD676C" w:rsidP="00DD676C">
      <w:pPr>
        <w:autoSpaceDE w:val="0"/>
        <w:autoSpaceDN w:val="0"/>
        <w:adjustRightInd w:val="0"/>
        <w:spacing w:after="0" w:line="240" w:lineRule="auto"/>
        <w:ind w:left="426"/>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DD676C" w:rsidRDefault="00DD676C" w:rsidP="00DD676C">
      <w:pPr>
        <w:autoSpaceDE w:val="0"/>
        <w:autoSpaceDN w:val="0"/>
        <w:adjustRightInd w:val="0"/>
        <w:spacing w:after="0" w:line="240" w:lineRule="auto"/>
        <w:jc w:val="both"/>
        <w:rPr>
          <w:rFonts w:ascii="Times New Roman" w:hAnsi="Times New Roman" w:cs="Times New Roman"/>
          <w:sz w:val="20"/>
          <w:szCs w:val="20"/>
        </w:rPr>
      </w:pPr>
    </w:p>
    <w:p w:rsidR="00DD676C" w:rsidRDefault="00DD676C" w:rsidP="00DD676C">
      <w:pPr>
        <w:autoSpaceDE w:val="0"/>
        <w:autoSpaceDN w:val="0"/>
        <w:adjustRightInd w:val="0"/>
        <w:spacing w:after="0" w:line="240" w:lineRule="auto"/>
        <w:ind w:left="4962"/>
        <w:jc w:val="center"/>
        <w:rPr>
          <w:rFonts w:ascii="Times New Roman" w:hAnsi="Times New Roman" w:cs="Times New Roman"/>
          <w:sz w:val="20"/>
          <w:szCs w:val="20"/>
        </w:rPr>
      </w:pPr>
      <w:r>
        <w:rPr>
          <w:rFonts w:ascii="Times New Roman" w:hAnsi="Times New Roman" w:cs="Times New Roman"/>
          <w:sz w:val="20"/>
          <w:szCs w:val="20"/>
        </w:rPr>
        <w:lastRenderedPageBreak/>
        <w:t>.....................................................</w:t>
      </w:r>
      <w:r>
        <w:rPr>
          <w:rFonts w:ascii="Times New Roman" w:hAnsi="Times New Roman" w:cs="Times New Roman"/>
          <w:sz w:val="20"/>
          <w:szCs w:val="20"/>
        </w:rPr>
        <w:br/>
        <w:t>aláírás</w:t>
      </w: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DD676C" w:rsidRDefault="00DD676C" w:rsidP="00DD676C">
      <w:pPr>
        <w:autoSpaceDE w:val="0"/>
        <w:autoSpaceDN w:val="0"/>
        <w:adjustRightInd w:val="0"/>
        <w:spacing w:after="20" w:line="240" w:lineRule="auto"/>
        <w:ind w:firstLine="142"/>
        <w:jc w:val="both"/>
        <w:rPr>
          <w:rFonts w:ascii="Times New Roman" w:hAnsi="Times New Roman" w:cs="Times New Roman"/>
          <w:sz w:val="20"/>
          <w:szCs w:val="20"/>
        </w:rPr>
      </w:pPr>
    </w:p>
    <w:p w:rsidR="00904A2F" w:rsidRDefault="00904A2F">
      <w:bookmarkStart w:id="0" w:name="_GoBack"/>
      <w:bookmarkEnd w:id="0"/>
    </w:p>
    <w:sectPr w:rsidR="00904A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76C"/>
    <w:rsid w:val="00904A2F"/>
    <w:rsid w:val="00DD676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2058</Words>
  <Characters>14203</Characters>
  <Application>Microsoft Office Word</Application>
  <DocSecurity>0</DocSecurity>
  <Lines>118</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2015-10-22T08:51:00Z</dcterms:created>
  <dcterms:modified xsi:type="dcterms:W3CDTF">2015-10-22T08:52:00Z</dcterms:modified>
</cp:coreProperties>
</file>