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A7E08" w:rsidRDefault="005A7E08" w:rsidP="005A7E08">
      <w:pPr>
        <w:autoSpaceDE w:val="0"/>
        <w:autoSpaceDN w:val="0"/>
        <w:adjustRightInd w:val="0"/>
        <w:spacing w:before="120" w:after="60" w:line="240" w:lineRule="auto"/>
        <w:jc w:val="center"/>
        <w:rPr>
          <w:rFonts w:ascii="Times New Roman" w:hAnsi="Times New Roman" w:cs="Times New Roman"/>
          <w:b/>
          <w:bCs/>
          <w:sz w:val="20"/>
          <w:szCs w:val="20"/>
        </w:rPr>
      </w:pPr>
      <w:r>
        <w:rPr>
          <w:rFonts w:ascii="Times New Roman" w:hAnsi="Times New Roman" w:cs="Times New Roman"/>
          <w:b/>
          <w:bCs/>
          <w:sz w:val="20"/>
          <w:szCs w:val="20"/>
        </w:rPr>
        <w:t>266/2013. (VII. 11.) Korm. rendelet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az építésügyi és az építésüggyel összefüggő szakmagyakorlási tevékenységekről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 Kormány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épített környezet alakításáról és védelméről szóló 1997. évi LXXVIII. törvény 62. § (1) bekezdés 3., 4., 7., 9., 19. és 32. pontjában, 62. § (1b) bekezdésében,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48. § és az 55. § </w:t>
      </w:r>
      <w:r>
        <w:rPr>
          <w:rFonts w:ascii="Times New Roman" w:hAnsi="Times New Roman" w:cs="Times New Roman"/>
          <w:i/>
          <w:iCs/>
          <w:sz w:val="20"/>
          <w:szCs w:val="20"/>
        </w:rPr>
        <w:t>a)</w:t>
      </w:r>
      <w:r>
        <w:rPr>
          <w:rFonts w:ascii="Times New Roman" w:hAnsi="Times New Roman" w:cs="Times New Roman"/>
          <w:sz w:val="20"/>
          <w:szCs w:val="20"/>
        </w:rPr>
        <w:t xml:space="preserve"> pontja tekintetében az épített környezet alakításáról és védelméről szóló 1997. évi LXXVIII. törvény 62. § (1) bekezdés 5.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 49. § és az 55. § </w:t>
      </w:r>
      <w:r>
        <w:rPr>
          <w:rFonts w:ascii="Times New Roman" w:hAnsi="Times New Roman" w:cs="Times New Roman"/>
          <w:i/>
          <w:iCs/>
          <w:sz w:val="20"/>
          <w:szCs w:val="20"/>
        </w:rPr>
        <w:t>b)</w:t>
      </w:r>
      <w:r>
        <w:rPr>
          <w:rFonts w:ascii="Times New Roman" w:hAnsi="Times New Roman" w:cs="Times New Roman"/>
          <w:sz w:val="20"/>
          <w:szCs w:val="20"/>
        </w:rPr>
        <w:t xml:space="preserve"> pontja tekintetében az épített környezet alakításáról és védelméről szóló 1997. évi LXXVIII. törvény 62. § (1) bekezdés 3.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50. § és az 55. § </w:t>
      </w:r>
      <w:r>
        <w:rPr>
          <w:rFonts w:ascii="Times New Roman" w:hAnsi="Times New Roman" w:cs="Times New Roman"/>
          <w:i/>
          <w:iCs/>
          <w:sz w:val="20"/>
          <w:szCs w:val="20"/>
        </w:rPr>
        <w:t>f)</w:t>
      </w:r>
      <w:r>
        <w:rPr>
          <w:rFonts w:ascii="Times New Roman" w:hAnsi="Times New Roman" w:cs="Times New Roman"/>
          <w:sz w:val="20"/>
          <w:szCs w:val="20"/>
        </w:rPr>
        <w:t xml:space="preserve"> pontja tekintetében az épített környezet alakításáról és védelméről szóló 1997. évi LXXVIII. törvény 62. § (1) bekezdés 11.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51. § és az 55. § </w:t>
      </w:r>
      <w:r>
        <w:rPr>
          <w:rFonts w:ascii="Times New Roman" w:hAnsi="Times New Roman" w:cs="Times New Roman"/>
          <w:i/>
          <w:iCs/>
          <w:sz w:val="20"/>
          <w:szCs w:val="20"/>
        </w:rPr>
        <w:t>c), g)</w:t>
      </w:r>
      <w:r>
        <w:rPr>
          <w:rFonts w:ascii="Times New Roman" w:hAnsi="Times New Roman" w:cs="Times New Roman"/>
          <w:sz w:val="20"/>
          <w:szCs w:val="20"/>
        </w:rPr>
        <w:t xml:space="preserve"> és </w:t>
      </w:r>
      <w:r>
        <w:rPr>
          <w:rFonts w:ascii="Times New Roman" w:hAnsi="Times New Roman" w:cs="Times New Roman"/>
          <w:i/>
          <w:iCs/>
          <w:sz w:val="20"/>
          <w:szCs w:val="20"/>
        </w:rPr>
        <w:t>h)</w:t>
      </w:r>
      <w:r>
        <w:rPr>
          <w:rFonts w:ascii="Times New Roman" w:hAnsi="Times New Roman" w:cs="Times New Roman"/>
          <w:sz w:val="20"/>
          <w:szCs w:val="20"/>
        </w:rPr>
        <w:t xml:space="preserve"> pontja tekintetében az épített környezet alakításáról és védelméről szóló 1997. évi LXXVIII. törvény 62. § (1) bekezdés 4. és 7.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az 52. § tekintetében az épített környezet alakításáról és védelméről szóló 1997. évi LXXVIII. törvény 62. § (1) bekezdés 17.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53. § és az 55. § </w:t>
      </w:r>
      <w:r>
        <w:rPr>
          <w:rFonts w:ascii="Times New Roman" w:hAnsi="Times New Roman" w:cs="Times New Roman"/>
          <w:i/>
          <w:iCs/>
          <w:sz w:val="20"/>
          <w:szCs w:val="20"/>
        </w:rPr>
        <w:t>k)</w:t>
      </w:r>
      <w:r>
        <w:rPr>
          <w:rFonts w:ascii="Times New Roman" w:hAnsi="Times New Roman" w:cs="Times New Roman"/>
          <w:sz w:val="20"/>
          <w:szCs w:val="20"/>
        </w:rPr>
        <w:t xml:space="preserve"> pontja tekintetében az épített környezet alakításáról és védelméről szóló 1997. évi LXXVIII. törvény 62. § (1) bekezdés 3., 12.4. és 17.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54. § és az 55. § </w:t>
      </w:r>
      <w:r>
        <w:rPr>
          <w:rFonts w:ascii="Times New Roman" w:hAnsi="Times New Roman" w:cs="Times New Roman"/>
          <w:i/>
          <w:iCs/>
          <w:sz w:val="20"/>
          <w:szCs w:val="20"/>
        </w:rPr>
        <w:t>l)</w:t>
      </w:r>
      <w:r>
        <w:rPr>
          <w:rFonts w:ascii="Times New Roman" w:hAnsi="Times New Roman" w:cs="Times New Roman"/>
          <w:sz w:val="20"/>
          <w:szCs w:val="20"/>
        </w:rPr>
        <w:t xml:space="preserve"> pontja tekintetében az épített környezet alakításáról és védelméről szóló 1997. évi LXXVIII. törvény 62. § (1) bekezdés 22., 23. és 24.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55. § </w:t>
      </w:r>
      <w:r>
        <w:rPr>
          <w:rFonts w:ascii="Times New Roman" w:hAnsi="Times New Roman" w:cs="Times New Roman"/>
          <w:i/>
          <w:iCs/>
          <w:sz w:val="20"/>
          <w:szCs w:val="20"/>
        </w:rPr>
        <w:t>d)</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pontja tekintetében az épített környezet alakításáról és védelméről szóló 1997. évi LXXVIII. törvény 62. § (1) bekezdés 4.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55. § </w:t>
      </w:r>
      <w:r>
        <w:rPr>
          <w:rFonts w:ascii="Times New Roman" w:hAnsi="Times New Roman" w:cs="Times New Roman"/>
          <w:i/>
          <w:iCs/>
          <w:sz w:val="20"/>
          <w:szCs w:val="20"/>
        </w:rPr>
        <w:t>i)</w:t>
      </w:r>
      <w:r>
        <w:rPr>
          <w:rFonts w:ascii="Times New Roman" w:hAnsi="Times New Roman" w:cs="Times New Roman"/>
          <w:sz w:val="20"/>
          <w:szCs w:val="20"/>
        </w:rPr>
        <w:t xml:space="preserve"> pontja tekintetében a szakképzésről szóló 2011. évi CLXXXVII. törvény 88.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az 55. § </w:t>
      </w:r>
      <w:r>
        <w:rPr>
          <w:rFonts w:ascii="Times New Roman" w:hAnsi="Times New Roman" w:cs="Times New Roman"/>
          <w:i/>
          <w:iCs/>
          <w:sz w:val="20"/>
          <w:szCs w:val="20"/>
        </w:rPr>
        <w:t>j)</w:t>
      </w:r>
      <w:r>
        <w:rPr>
          <w:rFonts w:ascii="Times New Roman" w:hAnsi="Times New Roman" w:cs="Times New Roman"/>
          <w:sz w:val="20"/>
          <w:szCs w:val="20"/>
        </w:rPr>
        <w:t xml:space="preserve"> pontja tekintetében a szakképzésről szóló 2011. évi CLXXXVII. törvény 88. § (3)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kapott felhatalmazás alapján, az Alaptörvény 15. cikk (1) bekezdésében meghatározott feladatkörében eljárva a következőket rendeli 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ÁLTALÁNOS RENDELKEZÉSEK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 §</w:t>
      </w:r>
      <w:r>
        <w:rPr>
          <w:rFonts w:ascii="Times New Roman" w:hAnsi="Times New Roman" w:cs="Times New Roman"/>
          <w:sz w:val="20"/>
          <w:szCs w:val="20"/>
        </w:rPr>
        <w:t xml:space="preserve"> E rendelet hatálya kiterjed</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településrendezési tervezési, az építészeti-műszaki tervezési, a településrendezési szakértői, az építésügyi műszaki szakértői, az építési műszaki ellenőri, a felelős műszaki vezetői és az energetikai tanúsítói tevékenységre (a továbbiakban együtt: szakmagyakorlási tevékenység), a szakmagyakorlási tevékenységet folytatók körére, a tevékenységük folytatásának részletes feltételeire, az eljáró hatóság kijelölésére, a jogosultság megállapítására és a névjegyzék vezetésére vonatkozó előírásokra,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szakmagyakorlási tevékenységre vonatkozó szerződések tartalmi követelményeire, a szerződést biztosító mellékkötelezettségre és a szerződés teljesítésére vonatkozó szabályokra,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szakmagyakorlási tevékenységet folytatókra vonatkozó összeférhetetlenségi szabályokra,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építmények építészeti-műszaki tervezése során végezhető feladatok körére, valamint az építészeti-műszaki tervezési tevékenység ellátásáért felszámítható tervezési díj tartalmára,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építészeti-műszaki tervezés során a tervezési díjfizetési kötelezettség nem teljesítése tárgyában hozott, az építészeti-műszaki tervezőt marasztaló jogerős bírósági ítéletről szóló értesítést vagy a nemfizetési jelzést követően lefolytatandó vizsgálat és az ennek alapján megállapítható jogkövetkezmények részletes szabályaira,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szakmai kamarák által a szakmagyakorló tevékenységére vonatkozó szabályok be nem tartása esetén kiszabható bírság mértékére és a szabálytalan tevékenység jogkövetkezménye megállapítására.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 §</w:t>
      </w:r>
      <w:r>
        <w:rPr>
          <w:rFonts w:ascii="Times New Roman" w:hAnsi="Times New Roman" w:cs="Times New Roman"/>
          <w:sz w:val="20"/>
          <w:szCs w:val="20"/>
        </w:rPr>
        <w:t xml:space="preserve"> E rendelet alkalmazásában: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 </w:t>
      </w:r>
      <w:r>
        <w:rPr>
          <w:rFonts w:ascii="Times New Roman" w:hAnsi="Times New Roman" w:cs="Times New Roman"/>
          <w:i/>
          <w:iCs/>
          <w:sz w:val="20"/>
          <w:szCs w:val="20"/>
        </w:rPr>
        <w:t>bejelentés:</w:t>
      </w:r>
      <w:r>
        <w:rPr>
          <w:rFonts w:ascii="Times New Roman" w:hAnsi="Times New Roman" w:cs="Times New Roman"/>
          <w:sz w:val="20"/>
          <w:szCs w:val="20"/>
        </w:rPr>
        <w:t xml:space="preserve"> a szolgáltatási tevékenység megkezdésének és folytatásának általános szabályairól szóló 2009. évi LXXVI. törvény (a továbbiakban: Szolgtv.) szerinti bejelentés;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w:t>
      </w:r>
      <w:r>
        <w:rPr>
          <w:rFonts w:ascii="Times New Roman" w:hAnsi="Times New Roman" w:cs="Times New Roman"/>
          <w:i/>
          <w:iCs/>
          <w:sz w:val="20"/>
          <w:szCs w:val="20"/>
        </w:rPr>
        <w:t>cég:</w:t>
      </w:r>
      <w:r>
        <w:rPr>
          <w:rFonts w:ascii="Times New Roman" w:hAnsi="Times New Roman" w:cs="Times New Roman"/>
          <w:sz w:val="20"/>
          <w:szCs w:val="20"/>
        </w:rPr>
        <w:t xml:space="preserve"> gazdasági társaság, költségvetési szerv, egyéni vállalkozó, egyéni cég;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w:t>
      </w:r>
      <w:r>
        <w:rPr>
          <w:rFonts w:ascii="Times New Roman" w:hAnsi="Times New Roman" w:cs="Times New Roman"/>
          <w:i/>
          <w:iCs/>
          <w:sz w:val="20"/>
          <w:szCs w:val="20"/>
        </w:rPr>
        <w:t>EGT-állam:</w:t>
      </w:r>
      <w:r>
        <w:rPr>
          <w:rFonts w:ascii="Times New Roman" w:hAnsi="Times New Roman" w:cs="Times New Roman"/>
          <w:sz w:val="20"/>
          <w:szCs w:val="20"/>
        </w:rPr>
        <w:t xml:space="preserve"> a Szolgtv. szerinti állam;</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w:t>
      </w:r>
      <w:r>
        <w:rPr>
          <w:rFonts w:ascii="Times New Roman" w:hAnsi="Times New Roman" w:cs="Times New Roman"/>
          <w:i/>
          <w:iCs/>
          <w:sz w:val="20"/>
          <w:szCs w:val="20"/>
        </w:rPr>
        <w:t>engedélyezés:</w:t>
      </w:r>
      <w:r>
        <w:rPr>
          <w:rFonts w:ascii="Times New Roman" w:hAnsi="Times New Roman" w:cs="Times New Roman"/>
          <w:sz w:val="20"/>
          <w:szCs w:val="20"/>
        </w:rPr>
        <w:t xml:space="preserve"> a Szolgtv. szerinti engedélyezés;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5. </w:t>
      </w:r>
      <w:r>
        <w:rPr>
          <w:rFonts w:ascii="Times New Roman" w:hAnsi="Times New Roman" w:cs="Times New Roman"/>
          <w:i/>
          <w:iCs/>
          <w:sz w:val="20"/>
          <w:szCs w:val="20"/>
        </w:rPr>
        <w:t>határon átnyúló szolgáltatásnyújtás:</w:t>
      </w:r>
      <w:r>
        <w:rPr>
          <w:rFonts w:ascii="Times New Roman" w:hAnsi="Times New Roman" w:cs="Times New Roman"/>
          <w:sz w:val="20"/>
          <w:szCs w:val="20"/>
        </w:rPr>
        <w:t xml:space="preserve"> a Szolgtv. szerinti határon átnyúló szolgáltatásnyújtás;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w:t>
      </w:r>
      <w:r>
        <w:rPr>
          <w:rFonts w:ascii="Times New Roman" w:hAnsi="Times New Roman" w:cs="Times New Roman"/>
          <w:i/>
          <w:iCs/>
          <w:sz w:val="20"/>
          <w:szCs w:val="20"/>
        </w:rPr>
        <w:t>jogosultság:</w:t>
      </w:r>
      <w:r>
        <w:rPr>
          <w:rFonts w:ascii="Times New Roman" w:hAnsi="Times New Roman" w:cs="Times New Roman"/>
          <w:sz w:val="20"/>
          <w:szCs w:val="20"/>
        </w:rPr>
        <w:t xml:space="preserve"> a névjegyzéket vezető szerv által engedélyezett és névjegyzékbe vett szakmagyakorlási tevékenység végzésének igazolt lehetősége, vagy a bejelentéshez előírt feltételeknek való megfelelés;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w:t>
      </w:r>
      <w:r>
        <w:rPr>
          <w:rFonts w:ascii="Times New Roman" w:hAnsi="Times New Roman" w:cs="Times New Roman"/>
          <w:i/>
          <w:iCs/>
          <w:sz w:val="20"/>
          <w:szCs w:val="20"/>
        </w:rPr>
        <w:t>letelepedés:</w:t>
      </w:r>
      <w:r>
        <w:rPr>
          <w:rFonts w:ascii="Times New Roman" w:hAnsi="Times New Roman" w:cs="Times New Roman"/>
          <w:sz w:val="20"/>
          <w:szCs w:val="20"/>
        </w:rPr>
        <w:t xml:space="preserve"> a Szolgtv. szerinti letelepedés;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w:t>
      </w:r>
      <w:r>
        <w:rPr>
          <w:rFonts w:ascii="Times New Roman" w:hAnsi="Times New Roman" w:cs="Times New Roman"/>
          <w:i/>
          <w:iCs/>
          <w:sz w:val="20"/>
          <w:szCs w:val="20"/>
        </w:rPr>
        <w:t>szakmagyakorló:</w:t>
      </w:r>
      <w:r>
        <w:rPr>
          <w:rFonts w:ascii="Times New Roman" w:hAnsi="Times New Roman" w:cs="Times New Roman"/>
          <w:sz w:val="20"/>
          <w:szCs w:val="20"/>
        </w:rPr>
        <w:t xml:space="preserve"> szakmagyakorlási tevékenységet folytató, jogosultsággal rendelkező személy;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w:t>
      </w:r>
      <w:r>
        <w:rPr>
          <w:rFonts w:ascii="Times New Roman" w:hAnsi="Times New Roman" w:cs="Times New Roman"/>
          <w:i/>
          <w:iCs/>
          <w:sz w:val="20"/>
          <w:szCs w:val="20"/>
        </w:rPr>
        <w:t>szakmai biztosíték:</w:t>
      </w:r>
      <w:r>
        <w:rPr>
          <w:rFonts w:ascii="Times New Roman" w:hAnsi="Times New Roman" w:cs="Times New Roman"/>
          <w:sz w:val="20"/>
          <w:szCs w:val="20"/>
        </w:rPr>
        <w:t xml:space="preserve"> olyan felelősségbiztosítás, egyéb garancia vagy biztosíték, amely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valamely biztosítóval,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hitelintézettel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egyéb szakmai biztosítást nyújtó szervezettel</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kötött szerződés vagy más jogviszony alapján a szolgáltatónak a szolgáltatási tevékenységével összefüggően a szolgáltatás igénybe vevőjének vagy adott esetben más személynek okozott károkért való felelősségéből eredő követelések fedezetére szolgál;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w:t>
      </w:r>
      <w:r>
        <w:rPr>
          <w:rFonts w:ascii="Times New Roman" w:hAnsi="Times New Roman" w:cs="Times New Roman"/>
          <w:i/>
          <w:iCs/>
          <w:sz w:val="20"/>
          <w:szCs w:val="20"/>
        </w:rPr>
        <w:t>tagállam:</w:t>
      </w:r>
      <w:r>
        <w:rPr>
          <w:rFonts w:ascii="Times New Roman" w:hAnsi="Times New Roman" w:cs="Times New Roman"/>
          <w:sz w:val="20"/>
          <w:szCs w:val="20"/>
        </w:rPr>
        <w:t xml:space="preserve"> a külföldi bizonyítványok és oklevelek elismeréséről szóló törvényben tagállamként meghatározott állam;</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w:t>
      </w:r>
      <w:r>
        <w:rPr>
          <w:rFonts w:ascii="Times New Roman" w:hAnsi="Times New Roman" w:cs="Times New Roman"/>
          <w:i/>
          <w:iCs/>
          <w:sz w:val="20"/>
          <w:szCs w:val="20"/>
        </w:rPr>
        <w:t>tagállami állampolgár:</w:t>
      </w:r>
      <w:r>
        <w:rPr>
          <w:rFonts w:ascii="Times New Roman" w:hAnsi="Times New Roman" w:cs="Times New Roman"/>
          <w:sz w:val="20"/>
          <w:szCs w:val="20"/>
        </w:rPr>
        <w:t xml:space="preserve"> a külföldi bizonyítványok és oklevelek elismeréséről szóló törvényben tagállami állampolgárként és tagállam állampolgárával azonos megítélés alá eső személyként meghatározott személy;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w:t>
      </w:r>
      <w:r>
        <w:rPr>
          <w:rFonts w:ascii="Times New Roman" w:hAnsi="Times New Roman" w:cs="Times New Roman"/>
          <w:i/>
          <w:iCs/>
          <w:sz w:val="20"/>
          <w:szCs w:val="20"/>
        </w:rPr>
        <w:t>területi kamara:</w:t>
      </w:r>
      <w:r>
        <w:rPr>
          <w:rFonts w:ascii="Times New Roman" w:hAnsi="Times New Roman" w:cs="Times New Roman"/>
          <w:sz w:val="20"/>
          <w:szCs w:val="20"/>
        </w:rPr>
        <w:t xml:space="preserve"> a tervező- és szakértő mérnökök, valamint építészek szakmai kamaráiról szóló 1996. évi LVIII. törvényben (a továbbiakban: Kamtv.) meghatározott területi mérnöki vagy területi építész kamara.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KÖZÖS SZABÁLYOK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 Engedélyhez kötött szakmagyakorlási tevékenységek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 §</w:t>
      </w:r>
      <w:r>
        <w:rPr>
          <w:rFonts w:ascii="Times New Roman" w:hAnsi="Times New Roman" w:cs="Times New Roman"/>
          <w:sz w:val="20"/>
          <w:szCs w:val="20"/>
        </w:rPr>
        <w:t xml:space="preserve"> (1) A (2)–(7) bekezdésben meghatározott településrendezési tervezési, építészeti-műszaki tervezési, településrendezési szakértői, építésügyi műszaki szakértői, építési műszaki ellenőri és felelős műszaki vezetői tevékenység a névjegyzéket vezető szerv engedélyével folytatható.</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Településrendezési tervezési tevékenységek: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településtervezési területen településtervezési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településtervezési szakági területen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településtervezési zöldfelületi és tájrendezési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településtervezési közlekedési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településtervezési víziközmű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településtervezési energia-közmű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r>
        <w:rPr>
          <w:rFonts w:ascii="Times New Roman" w:hAnsi="Times New Roman" w:cs="Times New Roman"/>
          <w:sz w:val="20"/>
          <w:szCs w:val="20"/>
        </w:rPr>
        <w:t xml:space="preserve"> településtervezési hírközlési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Építészeti-műszaki tervezési tevékenységek: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építészeti tervezési 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belsőépítészeti tervezési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kertépítészeti műtárgy tervezési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táj- és kertépítészeti tervezési 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sajátos építmények műszaki tervezési 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ca)</w:t>
      </w:r>
      <w:r>
        <w:rPr>
          <w:rFonts w:ascii="Times New Roman" w:hAnsi="Times New Roman" w:cs="Times New Roman"/>
          <w:sz w:val="20"/>
          <w:szCs w:val="20"/>
        </w:rPr>
        <w:t xml:space="preserve"> közlekedési építmények tervezési szakterületen vasúti építmények tervezési részszakterület, vasúti építmények közlekedésmérnöki tervezési részszakterület, vasúti villamos berendezések, áramellátás részszakterület, közúti építmények tervezési részszakterület, közúti építmények közlekedésmérnöki tervezési részszakterület légiközlekedési építmények tervezési részszakterület, légiközlekedési építmények közlekedésmérnöki tervezési részszakterület, hajózási építmények tervezési részszakterület, hajózási építmények közlekedésmérnöki tervezési részszakterület,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cb)</w:t>
      </w:r>
      <w:r>
        <w:rPr>
          <w:rFonts w:ascii="Times New Roman" w:hAnsi="Times New Roman" w:cs="Times New Roman"/>
          <w:sz w:val="20"/>
          <w:szCs w:val="20"/>
        </w:rPr>
        <w:t xml:space="preserve"> hírközlési építmények tervezési szakterületen vezetékes hírközlési építmények tervezési részszakterület, vezeték nélküli hírközlési építmények tervezési részszakterület,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cc)</w:t>
      </w:r>
      <w:r>
        <w:rPr>
          <w:rFonts w:ascii="Times New Roman" w:hAnsi="Times New Roman" w:cs="Times New Roman"/>
          <w:sz w:val="20"/>
          <w:szCs w:val="20"/>
        </w:rPr>
        <w:t xml:space="preserve"> vízgazdálkodási építmények tervezési szakterületen települési víziközmű tervezési részszakterület, területi vízgazdálkodás tervezési részszakterület és vízkészlet gazdálkodás tervezési részszakterület,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cd)</w:t>
      </w:r>
      <w:r>
        <w:rPr>
          <w:rFonts w:ascii="Times New Roman" w:hAnsi="Times New Roman" w:cs="Times New Roman"/>
          <w:sz w:val="20"/>
          <w:szCs w:val="20"/>
        </w:rPr>
        <w:t xml:space="preserve"> bányászati építmények tervezési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ce)</w:t>
      </w:r>
      <w:r>
        <w:rPr>
          <w:rFonts w:ascii="Times New Roman" w:hAnsi="Times New Roman" w:cs="Times New Roman"/>
          <w:sz w:val="20"/>
          <w:szCs w:val="20"/>
        </w:rPr>
        <w:t xml:space="preserve"> gáz- és olajipari építmények tervezési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cf)</w:t>
      </w:r>
      <w:r>
        <w:rPr>
          <w:rFonts w:ascii="Times New Roman" w:hAnsi="Times New Roman" w:cs="Times New Roman"/>
          <w:sz w:val="20"/>
          <w:szCs w:val="20"/>
        </w:rPr>
        <w:t xml:space="preserve"> energiaellátási építmények tervezési szakterületen hőenergetikai építmények tervezési részszakterület, villamosenergetikai építmények tervezési részszakterület, megújuló energia építmények tervezési részszakterület, atomenergia építmények tervezési részszakterület,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szakági műszaki tervezési 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da)</w:t>
      </w:r>
      <w:r>
        <w:rPr>
          <w:rFonts w:ascii="Times New Roman" w:hAnsi="Times New Roman" w:cs="Times New Roman"/>
          <w:sz w:val="20"/>
          <w:szCs w:val="20"/>
        </w:rPr>
        <w:t xml:space="preserve"> hídszerkezeti tervezési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db)</w:t>
      </w:r>
      <w:r>
        <w:rPr>
          <w:rFonts w:ascii="Times New Roman" w:hAnsi="Times New Roman" w:cs="Times New Roman"/>
          <w:sz w:val="20"/>
          <w:szCs w:val="20"/>
        </w:rPr>
        <w:t xml:space="preserve"> tartószerkezeti tervezési szakterület, a szakterületen épületek tartószerkezeti tervezési részszakterület,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dc)</w:t>
      </w:r>
      <w:r>
        <w:rPr>
          <w:rFonts w:ascii="Times New Roman" w:hAnsi="Times New Roman" w:cs="Times New Roman"/>
          <w:sz w:val="20"/>
          <w:szCs w:val="20"/>
        </w:rPr>
        <w:t xml:space="preserve"> építmények gépészeti tervezési szakterület, a szakterületen épületfizikai tervezési részszakterület,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dd)</w:t>
      </w:r>
      <w:r>
        <w:rPr>
          <w:rFonts w:ascii="Times New Roman" w:hAnsi="Times New Roman" w:cs="Times New Roman"/>
          <w:sz w:val="20"/>
          <w:szCs w:val="20"/>
        </w:rPr>
        <w:t xml:space="preserve"> építményvillamossági tervezési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de)</w:t>
      </w:r>
      <w:r>
        <w:rPr>
          <w:rFonts w:ascii="Times New Roman" w:hAnsi="Times New Roman" w:cs="Times New Roman"/>
          <w:sz w:val="20"/>
          <w:szCs w:val="20"/>
        </w:rPr>
        <w:t xml:space="preserve"> geotechnikai tervezési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Településrendezési szakértői tevékenységek: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településtervezési szakértői tevékenység,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településtervezési szakági szakértői tevékenység,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zöldfelületi és tájrendezési szakági szakértői tevékenység,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közlekedési, víziközmű, energia-közmű és hírközlési szakági szakértői tevékenységek.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Építésügyi műszaki szakértői tevékenységek: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általános építmények építésügyi műszaki szakértői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sajátos építményfajták építésügyi műszaki szakértői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építésügyi műszaki szakági szakértői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építési beruházási építésügyi műszaki szakértői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Építési műszaki ellenőri tevékenységek: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általános építmények építési műszaki ellenőri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sajátos építményfajták építési műszaki ellenőri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szakági építési műszaki ellenőri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Felelős műszaki vezetői tevékenységek: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általános építmények felelős műszaki vezetői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sajátos építményfajták felelős műszaki vezetői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szakági felelős műszaki vezetői szakterület.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(5)–(7) bekezdésben meghatározott szakterületekhez tartozó részszakterületeket az 1. melléklet tartalmazza.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 Bejelentéshez kötött szakmagyakorlási tevékenység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 §</w:t>
      </w:r>
      <w:r>
        <w:rPr>
          <w:rFonts w:ascii="Times New Roman" w:hAnsi="Times New Roman" w:cs="Times New Roman"/>
          <w:sz w:val="20"/>
          <w:szCs w:val="20"/>
        </w:rPr>
        <w:t xml:space="preserve"> Aki energetikai tanúsítói tevékenységet kíván folytatni, köteles az erre irányuló szándékát a névjegyzéket vezető szervnek bejelenteni.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 Jogosultságot megállapító és a névjegyzéket vezető szerv kijelölése és illetékessége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 §</w:t>
      </w:r>
      <w:r>
        <w:rPr>
          <w:rFonts w:ascii="Times New Roman" w:hAnsi="Times New Roman" w:cs="Times New Roman"/>
          <w:sz w:val="20"/>
          <w:szCs w:val="20"/>
        </w:rPr>
        <w:t xml:space="preserve"> (1) Első fokon a kérelmező lakóhelye szerinti területi építész kamara titkára, másodfokon a Magyar Építész Kamara főtitkára folytatja le a 3. §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és a 3. § (2)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alpontjában, továbbá a 3. § (3) bekezdés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pontjában, a 3. § (4)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a 3. § (4)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ba)</w:t>
      </w:r>
      <w:r>
        <w:rPr>
          <w:rFonts w:ascii="Times New Roman" w:hAnsi="Times New Roman" w:cs="Times New Roman"/>
          <w:sz w:val="20"/>
          <w:szCs w:val="20"/>
        </w:rPr>
        <w:t xml:space="preserve"> alpontjában és a 3. § (5)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szakterületekhez kapcsolódó szakmagyakorlási tevékenységek engedélyezését.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Első fokon – a (8) bekezdésben foglaltak kivételével – a kérelmező lakóhelye szerinti területi mérnöki kamara titkára, másodfokon a Magyar Mérnöki Kamara főtitkára folytatja le a 3. § (2)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bb)–be)</w:t>
      </w:r>
      <w:r>
        <w:rPr>
          <w:rFonts w:ascii="Times New Roman" w:hAnsi="Times New Roman" w:cs="Times New Roman"/>
          <w:sz w:val="20"/>
          <w:szCs w:val="20"/>
        </w:rPr>
        <w:t xml:space="preserve"> alpontjában, a 3. § (3) bekezdés </w:t>
      </w:r>
      <w:r>
        <w:rPr>
          <w:rFonts w:ascii="Times New Roman" w:hAnsi="Times New Roman" w:cs="Times New Roman"/>
          <w:i/>
          <w:iCs/>
          <w:sz w:val="20"/>
          <w:szCs w:val="20"/>
        </w:rPr>
        <w:t>c)</w:t>
      </w:r>
      <w:r>
        <w:rPr>
          <w:rFonts w:ascii="Times New Roman" w:hAnsi="Times New Roman" w:cs="Times New Roman"/>
          <w:sz w:val="20"/>
          <w:szCs w:val="20"/>
        </w:rPr>
        <w:t xml:space="preserve"> és </w:t>
      </w:r>
      <w:r>
        <w:rPr>
          <w:rFonts w:ascii="Times New Roman" w:hAnsi="Times New Roman" w:cs="Times New Roman"/>
          <w:i/>
          <w:iCs/>
          <w:sz w:val="20"/>
          <w:szCs w:val="20"/>
        </w:rPr>
        <w:t>d)</w:t>
      </w:r>
      <w:r>
        <w:rPr>
          <w:rFonts w:ascii="Times New Roman" w:hAnsi="Times New Roman" w:cs="Times New Roman"/>
          <w:sz w:val="20"/>
          <w:szCs w:val="20"/>
        </w:rPr>
        <w:t xml:space="preserve"> pontjában, a 3. § (4) bekezdés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w:t>
      </w:r>
      <w:r>
        <w:rPr>
          <w:rFonts w:ascii="Times New Roman" w:hAnsi="Times New Roman" w:cs="Times New Roman"/>
          <w:sz w:val="20"/>
          <w:szCs w:val="20"/>
        </w:rPr>
        <w:t xml:space="preserve"> alpontjában, a 3. § (5) bekezdés </w:t>
      </w:r>
      <w:r>
        <w:rPr>
          <w:rFonts w:ascii="Times New Roman" w:hAnsi="Times New Roman" w:cs="Times New Roman"/>
          <w:i/>
          <w:iCs/>
          <w:sz w:val="20"/>
          <w:szCs w:val="20"/>
        </w:rPr>
        <w:t>b)–d)</w:t>
      </w:r>
      <w:r>
        <w:rPr>
          <w:rFonts w:ascii="Times New Roman" w:hAnsi="Times New Roman" w:cs="Times New Roman"/>
          <w:sz w:val="20"/>
          <w:szCs w:val="20"/>
        </w:rPr>
        <w:t xml:space="preserve"> pontjában meghatározott szakterületekhez kapcsolódó szakmagyakorlási tevékenységek engedélyezését.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Első fokon a kérelmező lakóhelye szerinti területi építész kamara titkára, másodfokon a Magyar Építész Kamara főtitkára folytatja le a 3. § (5) bekezdés </w:t>
      </w:r>
      <w:r>
        <w:rPr>
          <w:rFonts w:ascii="Times New Roman" w:hAnsi="Times New Roman" w:cs="Times New Roman"/>
          <w:i/>
          <w:iCs/>
          <w:sz w:val="20"/>
          <w:szCs w:val="20"/>
        </w:rPr>
        <w:t>c)–d)</w:t>
      </w:r>
      <w:r>
        <w:rPr>
          <w:rFonts w:ascii="Times New Roman" w:hAnsi="Times New Roman" w:cs="Times New Roman"/>
          <w:sz w:val="20"/>
          <w:szCs w:val="20"/>
        </w:rPr>
        <w:t xml:space="preserve"> pontja és a 3. § (6)–(7) bekezdése szerinti szakmagyakorlási tevékenység engedélyezését, ha a kérelmező az építész kamara tagja vagy építész szakképzettséggel rendelkezik.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Első fokon a kérelmező lakóhelye vagy székhelye szerinti területi mérnöki kamara titkára, másodfokon a Magyar Mérnöki Kamara főtitkára folytatja le a 3. § (6)–(7) bekezdése szerinti szakmagyakorlási tevékenység engedélyezését, ha a kérelmező a mérnöki kamara tagja vagy mérnöki szakképzettséggel rendelkezik.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4. §-ban meghatározott tevékenység bejelentése során a (3) és (4) bekezdés szerinti hatásköri szabályokat kell alkalmazni.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Cég által folytatott szakmagyakorlási tevékenység esetén a hatáskör tekintetében az (1)–(4) bekezdést kell alkalmazni azzal, hogy lakóhelyen a cég székhelyét kell érteni.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szakmai címek megállapítása során a (3) és (4) bekezdés szerinti hatásköri szabályokat kell alkalmazni.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(8) Első fokon a kérelmező lakóhelye szerinti területi építész kamara titkára, másodfokon a Magyar Építész Kamara főtitkára folytatja le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a szakági építésügyi műszaki szakértői szakterület műemléki,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 felelős műszaki vezetői építési szakterület műemléki</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részszakterülethez kapcsolódó szakmagyakorlási tevékenységek engedélyezését.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4. A szakmagyakorlási tevékenység megkezdésének és folytatásának feltételei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6. §</w:t>
      </w:r>
      <w:r>
        <w:rPr>
          <w:rFonts w:ascii="Times New Roman" w:hAnsi="Times New Roman" w:cs="Times New Roman"/>
          <w:sz w:val="20"/>
          <w:szCs w:val="20"/>
        </w:rPr>
        <w:t xml:space="preserve"> (1) Természetes személy a 3. § szerinti tevékenységeket akkor folytathatja, ha rendelkezik a névjegyzéket vezető szerv engedélyével. Természetes személy a 4. § szerinti esetekben köteles a tevékenység végzésére irányuló szándékát a névjegyzéket vezető szervnek bejelenteni.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Cég akkor kezdheti meg és folytathatja a (4) és (5) bekezdés figyelembevételével az épített környezet alakításáról és védelméről szóló 1997. évi LXXVIII. törvény (a továbbiakban: Étv.)</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16. §-a szerinti településtervezési tevékenységet, ha személyesen közreműködő tagja, vezető tisztségviselője vagy munkavállalója rendelkezik településtervezési szakterületi jogosultsággal, településtervezési szakági tevékenységet akkor, ha személyesen közreműködő tagja, vezető tisztségviselője vagy munkavállalója rendelkezik településtervezési szakági szakterületi jogosultsággal,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16. §-a szerinti településrendezési szakértői tevékenységet, ha személyesen közreműködő tagja, vezető tisztségviselője vagy munkavállalója rendelkezik településrendezési szakértői szakterületi jogosultsággal,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32. §-a szerinti építészeti-műszaki tervezési tevékenységet, ha a vezető tisztségviselője, személyesen közreműködő tagja vagy munkavállalója rendelkezik az adott területen építészeti-műszaki tervezési szak vagy részszakterületi jogosultsággal,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32. §-a szerinti építésügyi műszaki szakértői tevékenységet, ha személyesen közreműködő tagja vagy munkavállalója rendelkezik építésügyi műszaki szakértői szakterületi jogosultsággal,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38/A. §-a szerinti felelős műszaki vezetői tevékenységet, ha személyesen közreműködő tagja vagy munkavállalója rendelkezik általános vagy sajátos építmények szakterületen felelős műszaki vezetői jogosultsággal,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38/A. §-a szerinti építési műszaki ellenőri tevékenységet, ha személyesen közreműködő tagja vagy munkavállalója rendelkezik általános vagy sajátos építmények szakterületen építési műszaki ellenőri jogosultsággal,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38/C. §-a szerinti energetikai tanúsítói tevékenységet, ha tagja vagy munkavállalója rendelkezik energetikai tanúsítói jogosultsággal,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és a tevékenységet a jogosultsággal rendelkező személy végzi.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cég a Szolgtv., az Étv. 58. § (10) bekezdése és a Kamtv. 43. § (3) bekezdése szerinti tartalmú bejelentése alapján az 5. § (6) bekezdése szerinti területi kamara titkára által nyilvántartási jelölést (C-területi kamara kódja és nyilvántartási szám) ad ki. A cég által folytatható tevékenység terjedelme azonos a (2) bekezdésben meghatározott természetes személy jogosultságának terjedelmével. Egyéni vállalkozó esetében a cég nyilvántartási száma azonos lehet a természetes személy nyilvántartási számával.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Cég az általa vállalt szakmagyakorlási tevékenységek közül, az (5) bekezdés figyelembevételével olyan tevékenységet végezhet,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amelyhez rendelkezik a (2)–(3) bekezdés szerinti feltételekkel,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amelynek végzésére a megrendelővel írásban szerződést kötött, 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amelynek végzését a területi kamara nem tiltotta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cégnek az általa vállalt munkához kapcsolódó szakmagyakorlási tevékenységek közül legalább az egyikhez a (2) bekezdés szerinti feltétellel kell rendelkeznie és azt a tevékenységet a cégnek kell végeznie. A vállalt munkához kapcsolódó egyéb szakmagyakorlási tevékenységet – amelynek végzéséhez jogosultsággal nem rendelkezik – alvállalkozó bevonásával végezheti.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szakmagyakorlási tevékenység folytatásának feltételei: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kamarai tagsághoz kötött jogosultság esetén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kamarai tagság folytonossága,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továbbképzési időszakonként a kötelező és szakmai továbbképzés teljesítése,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 jogosultság megállapítását követő egy éven belül – a kötelező továbbképzés keretében – beszámoló teljesítése,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adategyeztetési kötelezettség teljesítése,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kamarai tagsághoz nem kötött jogosultság esetén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továbbképzési időszakonként kötelező továbbképzési kötelezettség teljesítése,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jogosultság megállapítását követő egy éven belül – a kötelező továbbképzés keretében – beszámoló teljesítése, az energetikai tanúsítás kivételével,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adategyeztetési kötelezettség teljesítése és az éves nyilvántartási díj befizetése.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(2) bekezdés vonatkozásában a cég a munkavállalót legalább heti 20 órában foglalkoztatja.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5. A szakmagyakorlási tevékenység engedélyezésének feltételei és a bejelentés tartalma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7. §</w:t>
      </w:r>
      <w:r>
        <w:rPr>
          <w:rFonts w:ascii="Times New Roman" w:hAnsi="Times New Roman" w:cs="Times New Roman"/>
          <w:sz w:val="20"/>
          <w:szCs w:val="20"/>
        </w:rPr>
        <w:t xml:space="preserve"> (1) A szakmagyakorlási tevékenység engedélyezésének feltételei: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képesítési követelmény az 1. mellékletben részletezett, a szakterületeknek megfelelő szakirányú</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mesterfokozatú képzésben szerzett szakképzettség MSc, MA (tervezés, szakértés),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mesterfokozatú képzésben szerzett szakképzettség MSc vagy alapképzésben szerzett szakképzettség BSc (tervezés, építési műszaki ellenőrzés),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mesterfokozatú képzésben szerzett szakképzettség MSc vagy alapképzésben szerzett szakképzettség BSc vagy középfokú szakirányú végzettség (felelős műszaki vezetés),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szakmai gyakorlat a 9. § szerint,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kérelmező személy nem áll foglalkozástól eltiltás hatálya alatt és büntetlen előéletű.</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Szolgtv.-ben meghatározottakon túlmenően az energetikai tanúsítói szakmagyakorlási tevékenység bejelentésének tartalmaznia kell: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1. mellékletben meghatározott szakképzettséget igazoló oklevél hiteles másolatát, ha ez a területi kamarai nyilvántartásban nem áll rendelkezésre,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szakirány elbírálásához a leckekönyv másolatát vagy az oklevélmelléklet másolatát, ha a kérelmező kreditrendszerben szerezte meg az oklevelét, vagy a területi kamara azt a szakirány megállapítása érdekében kéri,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gyakorlat igazolását a 12. § szerint,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jogosultsági vizsga eredményes letételének az igazolását,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bejelentésben közölteket igazoló iratok másolatát a hatósági erkölcsi bizonyítvány kivételével, a bejelentést tevő nyilatkozatát a bejelentés tartalmának hitelességéről, ezzel a jogszabályban előírt feltételek és az iratmásolatok hitelességét is igazolja.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foglaltakon túlmenően további hitelesítés nem követelhető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3. § szerinti szakmagyakorlási tevékenységekhez kapcsolódóan az 1. melléklet tartalmazza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jogosultsághoz kötött tevékenységek részletes meghatározását,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jogosultság névjegyzéki jelölését,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minimális képesítési követelményt szakterületi bontásban,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előírt szakmai gyakorlati időt.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8. §</w:t>
      </w:r>
      <w:r>
        <w:rPr>
          <w:rFonts w:ascii="Times New Roman" w:hAnsi="Times New Roman" w:cs="Times New Roman"/>
          <w:sz w:val="20"/>
          <w:szCs w:val="20"/>
        </w:rPr>
        <w:t xml:space="preserve"> (1) A képesítési követelmény teljesítésének vizsgálata során, ha a szakképzettséget igazoló oklevélből a szakirány, illetve annak a szakmagyakorlási tevékenységet megalapozó szintje nem állapítható meg, akkor az oklevél szakirányáról az engedélyezési eljárás során a Magyar Mérnöki Kamara vagy a Magyar Építész Kamara (a továbbiakban együtt: országos kamara) által működtetett szakértői testület jogosult szakértőként véleményt nyilvánítani, amelyet a jogosultság megállapításakor a területi kamara figyelembe vesz.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szakértői testület elnökét és két tagját a feladatkörében érintett országos kamara jelöli. A szakértői testület tagja továbbá az építésügyért felelős miniszter (a továbbiakban: miniszter) által megbízott személy, valamint tagja az adott szak szerint érintett, az országos kamarák által felkért felsőoktatási intézmény képviselője. A szakértői testület működési rendjét ügyrendjében állapítja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besorolásra nem alkalmas szakképzettségek tekintetében a szakirányú szakképzettség egyenértékűségének vizsgálatára kerül sor, melynek alapját az országos kamarai szabályzatok által tudományterület szerinti bontás alapján meghatározott, a 4. mellékletben előírt minimum kreditszámok összege képezi. A tantárgycsoportok és azon belül a kreditértékekben meghatározott ismeretkörök vagy tantárgyak nevesítése kamarai hatáskörben, szabályzat formájában kerül meghatározásra a szükséges minimum kompetencia tartalmakkal együtt.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szakirányú szakképzettség egyenértékűségének vizsgálatához figyelembe lehet venni az alap- vagy mesterképzésben szerzett fokozattal és szakképzettséggel rendelkezők részére, felsőoktatás keretében megvalósuló (felsőfokú szakképzettségi szintet nem biztosító) szakirányú továbbképzést is. A szakirányú továbbképzésben legalább 60 kreditet kell és legfeljebb 120 kreditet lehet megszerezni. Ez esetben a képzési idő legalább két, legfeljebb négy félév. A szakirányú továbbképzés szakmai tartalma szerint ugyancsak alkalmassá válik a hiányzó kredittartalmak megszerzéséhez, egyéb ismeretek kiegészítésére, ezáltal a szakirányú végzettség egyenértékűségének vizsgálatánál beszámítható. A szakmagyakorláshoz szükséges kredit-kiegészítő képzés akkreditált, szakirányú felsőoktatási intézmény előírt szintű (BSc, MSc) képzésében megszerezhető.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miniszter – az országos kamarák adatközlése alapján – évente közzéteszi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szakképzettségek szakirányúsága szempontjából már megvizsgált és elfogadásra került oklevelek megnevezését, kibocsátásának dátumát, a képzést folytató felsőoktatási intézmény megnevezését,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szakirányú továbbképzés körében kibocsátott szakirányú szakképzettségek megnevezését, a beszámítható kreditérték meghatározását.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9. §</w:t>
      </w:r>
      <w:r>
        <w:rPr>
          <w:rFonts w:ascii="Times New Roman" w:hAnsi="Times New Roman" w:cs="Times New Roman"/>
          <w:sz w:val="20"/>
          <w:szCs w:val="20"/>
        </w:rPr>
        <w:t xml:space="preserve"> (1) Szakmai gyakorlati időként a jogosultság megszerzéséhez szükséges végzettségi szintet és szakirányú felsőfokú szakképzettséget igazoló okirat megszerzését követően, a kérelmezett szakmagyakorlási tevékenységi területnek, szakterületnek, részszakterületnek megfelelő szakmai gyakorlat folytatásának időtartamát kell figyelembe venni.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településrendezési tervezési jogosultság megállapításához az 1. melléklet szerinti szakmai gyakorlati idő tartalmát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településtervezési,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legalább három év településtervezési és kettő év</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területrendezési tervezési,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közigazgatásban végzett területrendezési, településrendezési,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felsőoktatási intézményben településtervezési szaktárgy-oktatói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gyakorlattal kell igazolni.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kettő év gyakorlati időbe beleszámít a mesterfokozatú képzésben szerzett szakképzettséget követően a településmérnöki mesterképzési szak elvégzésének ideje. Ebben az esetben a gyakorlati idő a mesterfokozatú képzésben szerzett szakképzettség megszerzését követően megkezdhető.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építészeti-műszaki tervezési jogosultság megállapításához az 1. melléklet szerinti szakmai gyakorlati időt a tervezési területnek, szakterületnek, részszakterületnek megfelelő tervezési gyakorlattal kell igazolni, a 12. §-ban foglaltak figyelembevételével.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tervezési feladat elvégzésére megfelelő időtartamú tervezési gyakorlat hiánya miatt még nem jogosult szakirányú egyetemi végzettségű személy csak jogosultsággal rendelkező tervező mellett folytathat tervezési tevékenységet és szerezhet tervezési szakmai gyakorlatot.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településrendezési szakértői tevékenység engedélyezéséhez a nyolc év szakmai gyakorlati időbe a (2)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bb)–bc)</w:t>
      </w:r>
      <w:r>
        <w:rPr>
          <w:rFonts w:ascii="Times New Roman" w:hAnsi="Times New Roman" w:cs="Times New Roman"/>
          <w:sz w:val="20"/>
          <w:szCs w:val="20"/>
        </w:rPr>
        <w:t xml:space="preserve"> alpontjában meghatározott, a kérelmezett szakterületnek megfelelő tevékenység vehető figyelembe.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építésügyi műszaki szakértői jogosultsághoz a nyolc év szakmai gyakorlati időbe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építészeti-műszaki tervezési,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felsőoktatási intézményben építészeti-műszaki szaktárgy-oktatói,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építési műszaki ellenőri,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felelős műszaki vezetői,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beruházáslebonyolítói,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építésügyi igazgatási,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építésüggyel kapcsolatos kutatási, fejlesztési</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tevékenység folytatásának időtartamát kell figyelembe venni oly módon, hogy az előírt gyakorlati idő felének az </w:t>
      </w:r>
      <w:r>
        <w:rPr>
          <w:rFonts w:ascii="Times New Roman" w:hAnsi="Times New Roman" w:cs="Times New Roman"/>
          <w:i/>
          <w:iCs/>
          <w:sz w:val="20"/>
          <w:szCs w:val="20"/>
        </w:rPr>
        <w:t>a), c)–d)</w:t>
      </w:r>
      <w:r>
        <w:rPr>
          <w:rFonts w:ascii="Times New Roman" w:hAnsi="Times New Roman" w:cs="Times New Roman"/>
          <w:sz w:val="20"/>
          <w:szCs w:val="20"/>
        </w:rPr>
        <w:t xml:space="preserve"> pontja szerinti tartalmúnak kell lennie.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10. §</w:t>
      </w:r>
      <w:r>
        <w:rPr>
          <w:rFonts w:ascii="Times New Roman" w:hAnsi="Times New Roman" w:cs="Times New Roman"/>
          <w:sz w:val="20"/>
          <w:szCs w:val="20"/>
        </w:rPr>
        <w:t xml:space="preserve"> (1) A szakirányú felsőfokú szakképzettség megszerzését követő szakmai gyakorlati idő az energetikai tanúsítói tevékenység folytatásához egy év.</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Szakmai gyakorlati időként az energetikai tanúsítói jogosultsághoz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építészeti-műszaki tervezési,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felsőoktatási intézményben építészeti-műszaki szaktárgy-oktatói,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építésügyi műszaki szakértői,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építési műszaki ellenőri,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felelős műszaki vezetői,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beruházáslebonyolítói,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építésügyi és építésfelügyeleti hatósági,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építésüggyel kapcsolatos kutatási, fejlesztési,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építésügyi igazgatási</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tevékenység folytatásának időtartamát kell figyelembe venni.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11. §</w:t>
      </w:r>
      <w:r>
        <w:rPr>
          <w:rFonts w:ascii="Times New Roman" w:hAnsi="Times New Roman" w:cs="Times New Roman"/>
          <w:sz w:val="20"/>
          <w:szCs w:val="20"/>
        </w:rPr>
        <w:t xml:space="preserve"> (1) Szakmai gyakorlati időként az építési műszaki ellenőri és a felelős műszaki vezetői jogosultsághoz a szakirányú végzettség megszerzését követően a kérelmezett szakmagyakorlási tevékenységi szakterületnek megfelelő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építési műszaki ellenőri,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felelős műszaki vezetői,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építőipari kivitelezési,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építésfelügyeleti,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építésügyi hatósági,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beruházói-műszaki,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felsőoktatási intézményben építészeti-műszaki szaktárgy oktatói,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építészeti-műszaki tervezési,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építésügyi műszaki szakértői</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tevékenység folytatásának időtartamát kell figyelembe venni.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 bekezdés szerinti tevékenység engedélyezése során szakmai gyakorlati időként az 1. melléklet szerinti gyakorlati időt kell igazolni oly módon, hogy az előírt gyakorlati idő felének az (1) bekezdés </w:t>
      </w:r>
      <w:r>
        <w:rPr>
          <w:rFonts w:ascii="Times New Roman" w:hAnsi="Times New Roman" w:cs="Times New Roman"/>
          <w:i/>
          <w:iCs/>
          <w:sz w:val="20"/>
          <w:szCs w:val="20"/>
        </w:rPr>
        <w:t>a)–d)</w:t>
      </w:r>
      <w:r>
        <w:rPr>
          <w:rFonts w:ascii="Times New Roman" w:hAnsi="Times New Roman" w:cs="Times New Roman"/>
          <w:sz w:val="20"/>
          <w:szCs w:val="20"/>
        </w:rPr>
        <w:t xml:space="preserve"> pontja szerinti tartalmúnak kell lennie.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felelős műszaki vezetői szakterület műemléki részszakterületén 5 év szakmai gyakorlati időként a műemléken teljesített vagy azzal összefüggő és az (1) bekezdés </w:t>
      </w:r>
      <w:r>
        <w:rPr>
          <w:rFonts w:ascii="Times New Roman" w:hAnsi="Times New Roman" w:cs="Times New Roman"/>
          <w:i/>
          <w:iCs/>
          <w:sz w:val="20"/>
          <w:szCs w:val="20"/>
        </w:rPr>
        <w:t>b)–c), f)–i)</w:t>
      </w:r>
      <w:r>
        <w:rPr>
          <w:rFonts w:ascii="Times New Roman" w:hAnsi="Times New Roman" w:cs="Times New Roman"/>
          <w:sz w:val="20"/>
          <w:szCs w:val="20"/>
        </w:rPr>
        <w:t xml:space="preserve"> pontjának megfelelő tartalmú tevékenység idejét kell igazolni azzal, hogy a gyakorlati időbe beleszámítható a műemlékvédelmi szakmérnöki képzés ideje, valamint a műemléki hatósági engedélyezéssel kapcsolatos építésügyi hatósági tevékenység ideje részben, amelyek együttesen legfeljebb 3 évet tehetnek ki.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12. §</w:t>
      </w:r>
      <w:r>
        <w:rPr>
          <w:rFonts w:ascii="Times New Roman" w:hAnsi="Times New Roman" w:cs="Times New Roman"/>
          <w:sz w:val="20"/>
          <w:szCs w:val="20"/>
        </w:rPr>
        <w:t xml:space="preserve"> (1) A szakmai gyakorlat igazolásaként csak közokirat vagy teljes bizonyító erejű magánokirat fogadható el (munkáltatói, vagy az építési szakmai érdekképviseleti szerv által kiadott igazolás, továbbá munkavégzésre irányuló szerződés, szakmagyakorlási tevékenységet végző személy vagy cég, vagy mentori címmel rendelkező szakmagyakorló által kiállított igazolás), amely tartalmazza a gyakorlat időtartamát, a végzett munkák megnevezését, a folytatott tevékenység leírását.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területi kamara titkára a kamarai tagsághoz kötött szakmagyakorlási tevékenységek esetében a gyakorlati idő, a képesítés és az igazolás alapján az 1. melléklet szerinti részszakterületi jogosultságot is megállapíthat, amelyet a szakmagyakorló jogosultságát tartalmazó névjegyzékben is meg kell jeleníteni.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6. Szakmai címek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13. §</w:t>
      </w:r>
      <w:r>
        <w:rPr>
          <w:rFonts w:ascii="Times New Roman" w:hAnsi="Times New Roman" w:cs="Times New Roman"/>
          <w:sz w:val="20"/>
          <w:szCs w:val="20"/>
        </w:rPr>
        <w:t xml:space="preserve"> (1) A területi kamara az országos kamarai szabályzatában meghatározott eljárásrend szerint szakmai címet adhat a kamarai tagsággal rendelkező kérelmezőnek. A szakmai cím nem eredményeztet újabb jogosultságot. A címet a területi kamara titkára által vezetett építésügyi szakmagyakorlók névjegyzékében (a továbbiakban: névjegyzék) fel kell tüntetni.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vezető tervezői címhez a tervezőnek magas színvonalú tudományos-műszaki felkészültséggel és referenciákkal kell rendelkeznie. A cím megszerzésére irányuló kérelmet a területi kamara az erre vonatkozó országos kamarai szabályzat alapján bírálja el. A cím birtokosának a jogosult tervezési szakterületen legalább 10 éves kiemelkedő színvonalú tervezési tevékenységgel kell rendelkeznie. Vezető tervező címmel rendelkező személy végezheti – erre irányuló megbízás alapján – az építészeti-műszaki dokumentáció szakmai ellenőrzését (tervellenőrzés).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tervező gyakornoki cím kérelmezéséhez a szakképzettség megszerzését követően a megszerezni kívánt jogosultsághoz a kérelmező természetes személy előminősítést kérhet a területi kamarától. A területi kamara ellenőrzi a kérelmezni kívánt jogosultsághoz tartozó szakképzettség kreditkövetelmény rendszerének teljesülését. A feltételek teljesítése esetén a kérelmező a tervező gyakornok címről igazolást kap, a címet használhatja, a tervlapokon feltüntetheti a címet, önálló tervezésre azonban nem jogosít.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tervező műszaki ellenőri címet az a szakmagyakorló személy kérheti, aki rendelkezik építészeti-műszaki tervezői és építési műszaki ellenőri jogosultsággal.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beruházási tanácsadói címet az az építészeti-műszaki tervezői, azzal azonos szakterületen építési műszaki ellenőri jogosultsággal rendelkező kérheti, aki építési beruházások bonyolításában igazolt referenciákkal rendelkezik.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mentori címet az a szakmagyakorló személy kérheti, aki vállalja a tervező gyakornoki címmel rendelkező személy szakmai felügyeletét, és segíti szakmai fejlődését.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különösen gyakorlott címet az a szakmagyakorló személy kérheti, aki kiemelkedően magas színvonalú teljesítményt igazoló referenciákkal rendelkezik.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„Műemlékek területén gyakorlott” címet az a szakmagyakorlási jogosultsággal rendelkező építész tervező, belsőépítész tervező, építési műszaki ellenőr és energetikai tanúsító kérheti, aki a saját szakterületén műemléki védelem alatt álló építmény vonatkozásában három év gyakorlatot igazol.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III.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lastRenderedPageBreak/>
        <w:t>TERVEZÉS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7. Településtervezés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14. §</w:t>
      </w:r>
      <w:r>
        <w:rPr>
          <w:rFonts w:ascii="Times New Roman" w:hAnsi="Times New Roman" w:cs="Times New Roman"/>
          <w:sz w:val="20"/>
          <w:szCs w:val="20"/>
        </w:rPr>
        <w:t xml:space="preserve"> (1) A településrendezési tervezési tevékenység 1. melléklet szerinti dokumentációinak elkészítése jogosultsághoz kötött.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településtervező feladata az önkormányzat döntései, megbízása és a jogszabályok, szabványok és szakmai szabályok figyelembevételével az 1. melléklet szerinti dokumentáció – a feladat elvégzéséhez szükséges településtervezési szakági tervezők bevonásával történő – elkészítése.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szakági településtervező feladata a szakterületének megfelelő településtervezési szakági munkarészek és javaslatok elkészítése a jogszabályok, szabványok és szakmai szabályok alapján.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településfejlesztési koncepció megalapozó vizsgálata csak akkor használható fel a településrendezési eszköz kidolgozásához, ha azt jogosultsággal rendelkező településtervező és szakági településtervező készítette.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településrendezési tervezési tevékenység során létrejött dokumentáció aláíró lapja tartalmazza a feladat elvégzésében részt vett összes tervező nevét, szakképzettségét, szakmai címét, névjegyzéki jelölését és – legalább egy eredeti példányon – a tervező saját kezű aláírását. A településrendezési eszköz tervlapja tartalmazza a településtervező és a szakági településtervezők nevét és névjegyzéki jelölését.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tervezőnek az általa készített településrendezési eszközt a megrendelő részére történő átadástól számított legalább 10 évig meg kell őriznie.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településtervezési szerződésre a Polgári Törvénykönyvről szóló törvényben (a továbbiakban: Ptk.) szabályozott tervezési szerződés és az Étv.-ben szabályozott településtervezési szerződés szabályait kell alkalmazni.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Nem folytathat településrendezési tervezési tevékenységet illetékességi területén a településrendezési eszközök előkészítésében, véleményezésében, döntéshozatalában közreműködő személy, kivéve, ha az önkormányzat a 6. § (2) bekezdés </w:t>
      </w:r>
      <w:r>
        <w:rPr>
          <w:rFonts w:ascii="Times New Roman" w:hAnsi="Times New Roman" w:cs="Times New Roman"/>
          <w:i/>
          <w:iCs/>
          <w:sz w:val="20"/>
          <w:szCs w:val="20"/>
        </w:rPr>
        <w:t>a)</w:t>
      </w:r>
      <w:r>
        <w:rPr>
          <w:rFonts w:ascii="Times New Roman" w:hAnsi="Times New Roman" w:cs="Times New Roman"/>
          <w:sz w:val="20"/>
          <w:szCs w:val="20"/>
        </w:rPr>
        <w:t xml:space="preserve"> pontja alapján településrendezési tervezési tevékenységet is folytat.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8. Építészeti-műszaki tervezés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15. §</w:t>
      </w:r>
      <w:r>
        <w:rPr>
          <w:rFonts w:ascii="Times New Roman" w:hAnsi="Times New Roman" w:cs="Times New Roman"/>
          <w:sz w:val="20"/>
          <w:szCs w:val="20"/>
        </w:rPr>
        <w:t xml:space="preserve"> (1) Az Étv. 32. § (1) bekezdése szerinti építészeti-műszaki tervezési tevékenységnek az építésügyi hatósági eljáráshoz és az építőipari kivitelezéshez szükséges építészeti-műszaki dokumentációk készítése építészeti-műszaki tervezési jogosultsághoz kötött. Tervezői művezetést az adott tervezési szakterületen jogosultsággal rendelkező végezhet.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építészeti-műszaki tervező feladata az építőipari kivitelezési tevékenységről szóló 191/2009. (IX. 15.) Korm. rendelet (a továbbiakban: Épkiv.) 9. § (4)–(8) bekezdésében foglaltak, az építtető igényei, megbízása, a tervezési program és a jogszabályok, szabványok és szakmai szabályok figyelembevételével az építésügyi hatósági eljárásokhoz és az építőipari kivitelezéshez szükséges építészeti-műszaki dokumentáció elkészítése.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(1) bekezdésben foglaltakon túlmenően jogosultsággal végezhető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tervtanácsi terv,</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településképi véleményezéshez szükséges terv,</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megvalósulási terv</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készítése.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építészeti-műszaki szakági tervező feladata az építmény tervezéséhez szükséges szakági terv elkészítése a jogszabályok, szabványok és szakmai szabályok alapján. Tevékenysége kiterjedhet az általános és a sajátos építmények tervezéséhez szükséges szakági tervi munkarészek teljes körű elkészítésére.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építészeti-műszaki tervezési tevékenység a képesítéstől, a gyakorlati időtől és a szerzett jogtól függően – kamarai szabályzatban rögzítettek szerint – korlátozott vagy teljes körű tervezési jogosultsággal folytatható.</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építészeti-műszaki tervezőnek az általa készített építészeti-műszaki terveket, iratokat és számításokat hitelesítenie kell az építésügyi és építésfelügyeleti hatósági eljárásokról és ellenőrzésekről, valamint az építésügyi hatósági szolgáltatásról szóló 312/2012. (XI. 8.) Korm. rendelet (a továbbiakban: Épelj.) előírásai szerint.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építészeti-műszaki tervező felelős az Étv. 33. §-ában foglaltak betartásáért.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Az építészeti-műszaki tervezőnek az általa készített építészeti-műszaki tervet a megbízónak történő átadástól számított legalább 10 évig meg kell őriznie.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Nem folytathat építészeti-műszaki tervezési tevékenységet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adott építészeti-műszaki dokumentáció engedélyezésében vagy az annak alapján megvalósítandó építmény kivitelezésének építésfelügyeletében feladatot ellátó hatóság köztisztviselője vagy kormánytisztviselője,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építészeti-műszaki dokumentáció településképi véleményezési eljárásába bevont önkormányzati főépítész.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9. Tervezési program</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16. §</w:t>
      </w:r>
      <w:r>
        <w:rPr>
          <w:rFonts w:ascii="Times New Roman" w:hAnsi="Times New Roman" w:cs="Times New Roman"/>
          <w:sz w:val="20"/>
          <w:szCs w:val="20"/>
        </w:rPr>
        <w:t xml:space="preserve"> (1) Az országos településrendezési és építési követelményekről szóló 253/1997. (XII. 20.) Korm. rendelet (a továbbiakban: OTÉK) szerinti tervezési program véglegezett formája a tervezési szerződés kötelező mellékletét képezi.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tervezési programban rögzíteni kell minden olyan fontos tényt, amelyet a tervezés során figyelembe kell venni. A tervezési programban vizsgálni kell a megújuló energiaforrások használatának lehetőségét, és igény szerint rögzíteni kell a vagyonbiztonsági elvárások mértékét.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tervezési program tartalmazza a tervezési feladat részletes leírását, megnevezve az építési tevékenységet. A tervezési programban a tervezés tárgyától függően ismertetni kell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beruházás költségkeretét,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tervezés előzményeit,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kiindulási adatokat,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helyszínt,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helyiségigényeket és funkcionális kapcsolatokat,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járművek elhelyezésére vonatkozó igényeket és információkat,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akadálymentesítésre vonatkozó információkat,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 közműellátottság mértékét, 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az egyéb meghatározó követelmények általános szempontjait,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j)</w:t>
      </w:r>
      <w:r>
        <w:rPr>
          <w:rFonts w:ascii="Times New Roman" w:hAnsi="Times New Roman" w:cs="Times New Roman"/>
          <w:sz w:val="20"/>
          <w:szCs w:val="20"/>
        </w:rPr>
        <w:t xml:space="preserve"> műemlék esetén az értékleltár és az építéstörténeti kutatási dokumentáció alapján rögzített műemlékvédelmi szempontokat.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10. Tervezési szerződés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17. §</w:t>
      </w:r>
      <w:r>
        <w:rPr>
          <w:rFonts w:ascii="Times New Roman" w:hAnsi="Times New Roman" w:cs="Times New Roman"/>
          <w:sz w:val="20"/>
          <w:szCs w:val="20"/>
        </w:rPr>
        <w:t xml:space="preserve"> (1) Az építészeti-műszaki tervezési tevékenység folytatásához szükséges tervezési szerződés a Ptk. és az Étv. előírásain túlmenően tartalmazza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teljesítési határidőket, figyelemmel a szakaszos tervszolgáltatásra is,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tervezési díj összege mellett az elszámolás formáját, módját, a fizetés módját és határidejét,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esetleges szakmai biztosíték kikötését.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építmények tervezésével és kivitelezésével kapcsolatos egyes viták rendezésében közreműködő szervezetről és egyes törvényeknek az építésügyi lánctartozások megakadályozásával, valamint a késedelmes fizetésekkel összefüggő módosításáról szóló törvényben meghatározott esetekben az építészeti-műszaki tervezési szerződéses felek a Teljesítésigazolási Szakértői Szervhez (a továbbiakban: TSZSZ) fordulhatnak.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építőipari kivitelezési tevékenység végzéséhez szükséges kivitelezési dokumentáció készítésére irányuló tervezési szerződés tartalmi elemeinél az Épkiv. 9. § (1)–(3) bekezdésében foglaltakat is figyelembe kell venni.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11. Tervezési díj</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18. §</w:t>
      </w:r>
      <w:r>
        <w:rPr>
          <w:rFonts w:ascii="Times New Roman" w:hAnsi="Times New Roman" w:cs="Times New Roman"/>
          <w:sz w:val="20"/>
          <w:szCs w:val="20"/>
        </w:rPr>
        <w:t xml:space="preserve"> A tervezési díj magában foglalja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közvetlen költségek, ennek keretében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számított munkadíj,</w:t>
      </w:r>
    </w:p>
    <w:p w:rsidR="005A7E08" w:rsidRDefault="005A7E08" w:rsidP="005A7E0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esetlegesen a szerzői joggal kapcsolatosan felmerülő személyi és vagyoni jogok értéke,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közvetett költségek, ennek keretében a működési költség, anyagjellegű ráfordítás,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értékcsökkenési leírás,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egyéb ráfordítások,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tervezett nyereség</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együttes összegét.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IV.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SZAKÉRTÉS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12. Településrendezési szakértés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19. §</w:t>
      </w:r>
      <w:r>
        <w:rPr>
          <w:rFonts w:ascii="Times New Roman" w:hAnsi="Times New Roman" w:cs="Times New Roman"/>
          <w:sz w:val="20"/>
          <w:szCs w:val="20"/>
        </w:rPr>
        <w:t xml:space="preserve"> (1) Az 1. melléklet szerinti településrendezési szakértői vélemények elkészítése jogosultsághoz kötött.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településrendezési szakértő köteles megbízójának figyelmét felhívni minden olyan tényre, amely az általa ismert adatok alapján szakértői véleményének kialakítását befolyásolja, és amelynek ismerete a megbízónak érdeke. A településrendezési szakértői vizsgálatnak az ügy minden lényeges körülményére ki kell terjednie. A szakértői véleményen fel kell tüntetni a szakértő nevét, saját kezű aláírását, névjegyzéki jelölését, a szakértői szakterületének megnevezését.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településrendezési szakértő felelős az általa elkészített szakértői vélemény tartalmának szakszerűségéért.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településrendezési szakértő feladatát megbízási szerződés alapján látja el a 20. § (6) bekezdése szerint.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településrendezési szakértő nem végezheti olyan pályázati dokumentáció, településrendezési eszköz vizsgálatát, amelynek összeállításában vagy tervezésében maga vagy a Ptk. szerinti közeli hozzátartozója részt vett.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Településtervezési vagy szakági településtervezési jogosultságot szerzett és vezető tervezői címmel rendelkező személy kérelmére a területi kamara titkára az adott szakterületen településrendezési szakértői tevékenység folytatását engedélyezi a 9. § (6) bekezdése szerinti feltétel mellett.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13. Építésügyi műszaki szakértés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20. §</w:t>
      </w:r>
      <w:r>
        <w:rPr>
          <w:rFonts w:ascii="Times New Roman" w:hAnsi="Times New Roman" w:cs="Times New Roman"/>
          <w:sz w:val="20"/>
          <w:szCs w:val="20"/>
        </w:rPr>
        <w:t xml:space="preserve"> (1) Az építésügyi műszaki szakértő vizsgálatának az Étv. 32. §-a szerinti tevékenysége során az adott ügy minden lényeges körülményére ki kell terjednie. Az építésügyi műszaki szakértő köteles megbízójának figyelmét felhívni minden olyan tényre, amely az általa ismert adatok alapján szakértői véleményének kialakítását befolyásolja, és amelynek ismerete a megbízónak érdeke.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építésügyi műszaki szakértői tevékenységhez kapcsolódó tevékenységek különösen: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méretbeli és az állapotfelmérés,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műszeres vizsgálat és kutatás,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w:t>
      </w:r>
      <w:r>
        <w:rPr>
          <w:rFonts w:ascii="Times New Roman" w:hAnsi="Times New Roman" w:cs="Times New Roman"/>
          <w:i/>
          <w:iCs/>
          <w:sz w:val="20"/>
          <w:szCs w:val="20"/>
        </w:rPr>
        <w:t>b)</w:t>
      </w:r>
      <w:r>
        <w:rPr>
          <w:rFonts w:ascii="Times New Roman" w:hAnsi="Times New Roman" w:cs="Times New Roman"/>
          <w:sz w:val="20"/>
          <w:szCs w:val="20"/>
        </w:rPr>
        <w:t xml:space="preserve"> pont elvégzéséhez tartozó bontási és helyreállítási munkák,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számítások és elemzések elvégzése,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statisztikák vizsgálata és elemzése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következtetések levonása.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Ha az építésügyi műszaki szakértő vizsgálata során megállapítja, hogy az építményt vagy egyes szerkezeteit bauxitcement felhasználásával készítették, a vizsgálat eredményét harminc napon belül köteles bejelenteni a terület- és településrendezési tervek központi dokumentumtárát kezelő szervnek az Építésügyi Dokumentációs és Információs Központról, valamint az Országos Építésügyi Nyilvántartásról szóló kormányrendelet alapján.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építésügyi műszaki szakértő a vizsgálat eredményéről szakértői véleményt készít, amelyen fel kell tüntetni a szakértő nevét, szakértői nyilvántartási számát, a szakértői szakterületének megnevezését, a meghatározott szakterület és ahhoz tartozó jelölés szerint.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építésügyi műszaki szakértő felelős az általa elkészített szakértői vélemény tartalmának szakszerűségéért, a valós állapotnak megfelelő tartalmáért.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településrendezési szakértői szerződésre és az építésügyi műszaki szakértői szerződésre a Ptk.-ban szabályozott megbízási szerződés szabályait kell alkalmazni azzal az eltéréssel, hogy a szerződést írásban kell megkötni. A szerződés tárgyában meg kell jelölni a vállalt szakértői tevékenység pontos megnevezését, a teljesítési határidőt, a szakértő díját, a megrendelő kötelezettségeit és jogait, a műszaki szakértő kötelezettségeit, felelősségét és jogait. Amennyiben a felek nem állapodnak meg a díj átadásának időpontjáról, akkor az a szakvélemény átadásával egyidejűleg esedékes. A megrendelő teljesítési kötelezettségének határideje eltérő rendelkezés esetén sem haladhatja meg a számla kézhezvételétől számított harminc napot.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Nem folytathat építésügyi műszaki szakértői tevékenységet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ugyanazon építmény kivitelezése vonatkozásában az a személy, aki az építmény építési-szerelési munkáit ellenőrizte, mint építési műszaki ellenőr, tervezési műszaki ellenőr, beruházási tanácsadó, vagy kivitelezte, vagy a kivitelező felelős műszaki vezetője,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ugyanazon tervdokumentáció tekintetében az a személy, aki az építmény engedélyezési vagy kivitelezési tervének készítésében mint tervező részt vett.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lastRenderedPageBreak/>
        <w:t>ÉPÍTÉSI MŰSZAKI ELLENŐRZÉS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21. §</w:t>
      </w:r>
      <w:r>
        <w:rPr>
          <w:rFonts w:ascii="Times New Roman" w:hAnsi="Times New Roman" w:cs="Times New Roman"/>
          <w:sz w:val="20"/>
          <w:szCs w:val="20"/>
        </w:rPr>
        <w:t xml:space="preserve"> (1) Az építési műszaki ellenőr az Épkiv. 16. § (2)–(3) bekezdésében foglalt feladatokat látja 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építési műszaki ellenőr megbízási szerződésében a Ptk.-ban szabályozottak és az Épkiv. 16. § (6) bekezdésében foglaltakon túlmenően rögzíteni kell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építési műszaki ellenőrzés gyakoriságát,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építési naplóba való bejegyzés gyakoriságát, a bejegyzésről az építtető tájékoztatásának módját,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jogszabályokban meghatározott feladatokon túlmenő építtetői elvárásokat, felhatalmazásokat.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építési műszaki ellenőr nem lehet az építészeti-műszaki dokumentáció engedélyezésében vagy az annak alapján megvalósítandó építmény kivitelezésének építésfelügyeletében feladatot ellátó hatóság köztisztviselője vagy kormánytisztviselője.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építési műszaki ellenőr nem végezhet építésügyi műszaki szakértői, vállalkozó kivitelezői, anyagbeszállítói és felelős műszaki vezetői tevékenységet az általa ellenőrzött építési-szerelési munka vonatkozásában. Az építési műszaki ellenőr nem láthat el további építési műszaki ellenőri feladatokat olyan építési szerelési munka esetén, ahol építésügyi műszaki szakértői, vállalkozó kivitelezői vagy anyagbeszállítói tevékenységet olyan gazdálkodó szervezet végzi, amelynek az építési műszaki ellenőr tagja, illetve amellyel munkavégzésre irányuló jogviszonyban áll.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építési műszaki ellenőr az általa ellenőrzött építési beruházás során nem lehet az építésügyi műszaki szakértői, a vállalkozó kivitelezői, az anyagbeszállítói és a felelős műszaki vezetői tevékenységet folytatóknak a Ptk. szerinti közeli hozzátartozója, illetve nem állhat velük munkavégzésre irányuló jogviszonyban.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FELELŐS MŰSZAKI VEZETÉS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22. §</w:t>
      </w:r>
      <w:r>
        <w:rPr>
          <w:rFonts w:ascii="Times New Roman" w:hAnsi="Times New Roman" w:cs="Times New Roman"/>
          <w:sz w:val="20"/>
          <w:szCs w:val="20"/>
        </w:rPr>
        <w:t xml:space="preserve"> (1) A felelős műszaki vezető feladata az Épkiv. 13. § (2)–(5) bekezdésében és 14. §-ában meghatározott tevékenységek végzése. Ha a felelős műszaki vezető egyéb munkavégzésre irányuló jogviszony keretében látja el feladatát, akkor a feladata az Épkiv. 13. § (2) bekezdésében, 13. § (3) bekezdés </w:t>
      </w:r>
      <w:r>
        <w:rPr>
          <w:rFonts w:ascii="Times New Roman" w:hAnsi="Times New Roman" w:cs="Times New Roman"/>
          <w:i/>
          <w:iCs/>
          <w:sz w:val="20"/>
          <w:szCs w:val="20"/>
        </w:rPr>
        <w:t>b)–k), n)–p)</w:t>
      </w:r>
      <w:r>
        <w:rPr>
          <w:rFonts w:ascii="Times New Roman" w:hAnsi="Times New Roman" w:cs="Times New Roman"/>
          <w:sz w:val="20"/>
          <w:szCs w:val="20"/>
        </w:rPr>
        <w:t xml:space="preserve"> pontjában, 13. § (4)–(5) bekezdésében és 14. §-ában meghatározott tevékenységek végzése.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felelős műszaki vezetői tevékenység folytatásához szükséges szerződés megkötésére a Ptk.-ban szabályozott megbízási szerződés szabályait kell alkalmazni azzal az eltéréssel, hogy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szerződést írásban kell megkötni,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szerződés tartalmazza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megbízó nevét vagy megnevezését, címét vagy székhelyét, adószámát, elérhetőségét, továbbá a képviseletében eljáró személy nevét vagy megnevezését, címét vagy telephelyét és elérhetőségét,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 felelős műszaki vezető megnevezését, nyilvántartási számát, névjegyzéki jelét és elérhetőségét,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 felelős műszaki vezető díját, fizetési módját, határidejét,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a felelős műszaki vezető feladatainak és felelősségének meghatározását.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felelős műszaki vezető nem lehet az építészeti-műszaki dokumentáció engedélyezésében részt vevő hatóság, valamint a tevékenység és az engedélyező hatóság felügyeletét ellátó szerv köztisztviselője vagy kormánytisztviselője. A felelős műszaki vezető nem végezhet építésügyi műszaki szakértői és építési műszaki ellenőri tevékenységet azon kivitelezési tevékenység esetében, ahol részben vagy egészben építési-szerelési munkát vezet.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felelős műszaki vezető nem láthat el felelős műszaki vezetői feladatokat olyan építési-szerelési munka esetében, ahol az építésügyi műszaki szakértői vagy építési műszaki ellenőri tevékenységet olyan gazdálkodó szervezet végzi, amelynek tagja, illetve amellyel munkavégzésre irányuló jogviszonyban áll.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felelős műszaki vezető nem végezhet építési műszaki ellenőri tevékenységet azon kivitelezési tevékenység esetében, ahol részben vagy egészben építési-szerelési munkát vezet. A felelős műszaki vezető nem láthat el felelős műszaki vezetői feladatokat olyan építési-szerelési munka esetében, ahol az építési műszaki ellenőri tevékenységet olyan gazdálkodó szervezet végzi, amelynek tagja, illetve amellyel munkavégzésre irányuló jogviszonyban áll.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ENERGETIKAI TANÚSÍTÁS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b/>
          <w:bCs/>
          <w:sz w:val="20"/>
          <w:szCs w:val="20"/>
        </w:rPr>
        <w:t>23. §</w:t>
      </w:r>
      <w:r>
        <w:rPr>
          <w:rFonts w:ascii="Times New Roman" w:hAnsi="Times New Roman" w:cs="Times New Roman"/>
          <w:sz w:val="20"/>
          <w:szCs w:val="20"/>
        </w:rPr>
        <w:t xml:space="preserve"> (1) Az energetikai tanúsító feladata az energiát használó épület energetikai jellemzőinek vizsgálata alapján, annak eredményéről hiteles tanúsítvány kiállítása az Országos Építésügyi Nyilvántartás (a továbbiakban: OÉNY) elektronikus programjának segítségével.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energetikai tanúsító az épületek energetikai jellemzőinek tanúsításáról szóló 176/2008. (VI. 30.) Korm. rendelet (a továbbiakban: R1.) szerinti független ellenőrzési rendszer keretében végzett ellenőrzés során köteles együttműködni és a feltárt hibákat kijavítani.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energetikai tanúsító köteles az (1) bekezdés szerinti azonosító kóddal ellátott hiteles tanúsítvány aláírt példányát és az alátámasztó munkarészt a megrendelőnek átadni.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energetikai tanúsító felelős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általa készített tanúsítvány szakszerűségéért,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valós állapotnak megfelelő tartalomért,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hiteles tanúsítvány kiállításához szükséges adatoknak az OÉNY-be való feltöltéséért.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energetikai tanúsítói szerződést írásban kell megkötni. A szerződés kötelező tartalmi eleme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szerződés tárgyában megjelölve a vállalt tevékenység pontos megnevezése (az épület vagy épületrész helyrajzi száma),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vállalt tevékenységre vonatkozó teljesítési határidő,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tanúsítás díja mellett az elszámolás formája, módja, a fizetés módja és határideje.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Budapesti és Pest Megyei Mérnöki Kamara által működtetett független ellenőrzési rendszer keretében a tanúsítványok utóellenőrzésében nem vehet részt az a személy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akinek jogát vagy jogos érdekét az ellenőrzés közvetlenül érinti, továbbá</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aki az ellenőrzött tanúsítvány elkészítésében a megbízó képviselőjeként vagy energetikai tanúsítóként járt 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aki az ellenőrzött tanúsítvánnyal összefüggésbe hozható építésügyi műszaki szakértőként járt 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akinek az ellenőrzött tanúsítvány elkészítésében a Ptk. szerinti közeli hozzátartozója a megbízó képviselőjeként vagy energetikai tanúsítóként járt el,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akinek a Ptk. szerinti közeli hozzátartozója az ellenőrzött tanúsítvánnyal összefüggésbe hozható építésügyi műszaki szakértőként járt 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 bekezdés szerinti ellenőrzésben nem vehet részt az a személy, akitől nem várható el az ügy tárgyilagos megítélése. Az ellenőrzést végző a Budapesti és Pest Megyei Mérnöki Kamara elnökének haladéktalanul, de legkésőbb az ok felmerülésétől számított öt napon belül köteles bejelenteni, ha vele szemben kizárási ok áll fenn. A kizárási okot a kizárási okról való tudomásszerzéstől számított nyolc napon belül az ellenőrzött, vagy bármely érintett fél is bejelentheti.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kizárás tárgyában a Budapesti és Pest Megyei Mérnöki Kamara elnöke dönt, szükség esetén más ellenőrző személyt jelöl ki, továbbá arról is dönt, hogy meg kell-e ismételni azokat az eljárási cselekményeket, amelyekben a kizárt ellenőrző személy járt el. A kizárás tárgyában hozott elnöki döntést az érintett felekkel közölni kell.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23/A. §</w:t>
      </w:r>
      <w:r>
        <w:rPr>
          <w:rFonts w:ascii="Times New Roman" w:hAnsi="Times New Roman" w:cs="Times New Roman"/>
          <w:sz w:val="20"/>
          <w:szCs w:val="20"/>
        </w:rPr>
        <w:t xml:space="preserve"> Műemlék épület esetén az energetikai tanúsítónak az R1. szerinti energetikai minőségtanúsítvány javaslattételének kidolgozásához szakági építésügyi műszaki szakértői szakterület műemléki részszakterület jogosultsággal bíró szakértőt vagy „műemlékek területén gyakorlott” címmel rendelkező szakmagyakorlót kell bevonnia, ha az energetikai tanúsító nem rendelkezik a „műemlékek területén gyakorlott” címmel.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VIII.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A JOGOSULTSÁG MEGÁLLAPÍTÁSÁNAK ELJÁRÁSI SZABÁLYAI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14. Általános szabályok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24. §</w:t>
      </w:r>
      <w:r>
        <w:rPr>
          <w:rFonts w:ascii="Times New Roman" w:hAnsi="Times New Roman" w:cs="Times New Roman"/>
          <w:sz w:val="20"/>
          <w:szCs w:val="20"/>
        </w:rPr>
        <w:t xml:space="preserve"> (1) A szakmagyakorlási tevékenység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engedélyezése,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folytatásának szüneteltetése,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folytatásának megtiltása,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folytatásának megtiltása és a tevékenységet folytató szakmagyakorló névjegyzékből való törlése,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folytatójával szembeni bírság kiszabása 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folytatásával összefüggő hatósági bizonyítvány kiállítása,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folytatója által az engedélyének kérelemre történő visszavonása és a névjegyzékből való törlése</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iránt kezdeményezett vagy saját hatáskörben indított eljárást a közigazgatási hatósági eljárás és szolgáltatás általános szabályairól szóló 2004. évi CXL. törvény (a továbbiakban: Ket.) szabályai szerint, míg a szakmagyakorlási tevékenység bejelentésére irányuló eljárást a Szolgtv. szabályai szerint kell lefolytatni.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szakmagyakorlási tevékenység engedélyezése iránti kérelem elektronikus úton történő benyújtásához, papír alapon történő benyújtása esetén a kérelem és jogszabályban előírt mellékleteinek feltöltéséhez a szakmagyakorlási jogosultsági eljárást támogató elektronikus dokumentációs rendszer (a továbbiakban: e-rendszer) a kérelmező részére közvetlenül a kérelem benyújtása előtt elektronikus feltöltő tárhelyet biztosít.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elektronikus tárhely igényléséhez – a papír alapon történő benyújtás esetét kivéve – a kérelmezőnek vagy meghatalmazottjának a Ket. rendelkezése szerinti elektronikus azonosítási szolgáltatással történt azonosítást követően regisztrálnia kell az e-rendszerben. A kérelmező vagy meghatalmazottja regisztrációval – külön bírálat és döntés nélkül – automatikusan hozzáférést kap a saját tárhelyéhez.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 és (3) bekezdés szerinti elektronikus tárhely dokumentumaiba a szakmagyakorlási tevékenység engedélyezése iránti kérelem benyújtása előtt csak a tárhely gazdájaként a kérelmező vagy meghatalmazottja, továbbá a kérelmező vagy meghatalmazottja hozzájárulásával a kamarai tagsághoz kötött szakmagyakorlási tevékenység esetén az eljáró területi kamara elnöksége tekinthet bele.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(2) és (3) bekezdés szerinti tárhely a szakmagyakorlási tevékenység engedélyezése iránti kérelem benyújtásáig áll a kérelmező rendelkezésére.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kérelmező a szakmai gyakorlat szakirányúságának megállapítását a kérelem benyújtása előtt kérelmezheti a területi kamara elnökségétől.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25. §</w:t>
      </w:r>
      <w:r>
        <w:rPr>
          <w:rFonts w:ascii="Times New Roman" w:hAnsi="Times New Roman" w:cs="Times New Roman"/>
          <w:sz w:val="20"/>
          <w:szCs w:val="20"/>
        </w:rPr>
        <w:t xml:space="preserve"> (1) A 24. § (1) bekezdése szerinti kérelemre induló eljárás esetén a kérelem előterjeszthető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papír alapon (személyesen, megbízott útján vagy postai úton),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elektronikusan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párbeszédre épülően (online),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amennyiben információtechnológiai feltételei fennállnak, nem párbeszédre épülően (offline).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kérelmező vagy meghatalmazottja a kérelmet papír alapon vagy elektronikus adathordozón benyújthatja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bármely területi kamaránál,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Építésügyi Szolgáltató Pont feladatait ellátó önkormányzati jegyzőnél.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területi kamara – a kérelem adathordozó anyagától függetlenül – a beérkezett iratról hiteles elektronikus másolatot készít, majd a másolatot a kérelem és mellékleteinek beérkezésekor, de legkésőbb az azt követő munkanapon feltölti ügyintézésre az e-rendszerbe. Az e-rendszer a kérelem és mellékletei feltöltésekor a kérelmezőnek automatikusan értesítést küld az ügy azonosítójáról, ezért az eljárás megindulásáról értesítést külön már nem kell küldeni.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eredeti iratot a szerv visszaszolgáltatja a benyújtónak. Kérelem és mellékletei alatt – ha már benyújtásra került – minden esetben az e-rendszerben rögzített kérelmet és mellékleteit (az eredeti elektronikus másolatát) kell érteni.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Ha a kérelem melléklete az eredeti dokumentum másolata, annak hitelességét a benyújtáskor az eredeti dokumentum egyidejű bemutatásával – közjegyző vagy az iratot eredetileg kiállító szerv, szervezet, oktatási intézmény hitelesítése helyett – a kérelmet befogadó szerv is igazolhatja.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tényállás tisztázásához kétség esetén, vagy ha egyenértékűségi vizsgálat miatt szükséges a területi kamara titkára bekérheti az eredeti dokumentumokat is.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szakmagyakorló haladéktalanul köteles írásban bejelenteni a területi kamarához a bejegyzett adataiban bekövetkezett változást. Az adatváltozásnak és a tevékenység megszüntetésének a bejelentésére a szolgáltatási tevékenység bejelentésére vonatkozó szabályokat kell megfelelően alkalmazni.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15. Az engedélyezési eljárás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26. §</w:t>
      </w:r>
      <w:r>
        <w:rPr>
          <w:rFonts w:ascii="Times New Roman" w:hAnsi="Times New Roman" w:cs="Times New Roman"/>
          <w:sz w:val="20"/>
          <w:szCs w:val="20"/>
        </w:rPr>
        <w:t xml:space="preserve"> (1) A szakmagyakorlási tevékenység engedélyezése iránti kérelem tartalmazza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kérelmező nevét (családi és utónév, születési családi és utónév),</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születési helyét és idejét,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kérelmező anyja születési családi és utónevét,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kérelmező lakcímét,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kérelem tárgyát,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kérelmezett szakmagyakorlási tevékenység területének, szakterületének, részszakterületének megnevezését,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rendelkezést a kapcsolattartás módjáról.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kérelemhez – az eseti engedély iránti kérelmet kivéve – a következő dokumentumok csatolása szükséges: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szakirányú szakképzettséget igazoló oklevél hiteles másolata, vagy az eredeti dokumentum egyidejű bemutatása esetén a benyújtott egyszerű másolat, amelyre az illetékes szakmai kamara rájegyzi az eredetivel való egyezés tényét, ha ez a területi kamarai nyilvántartásban nem áll rendelkezésre;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gyakorlat igazolása a 12. §-ban foglaltak szerint és módon;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igazgatási szolgáltatási díj befizetésének igazolása;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építésügyi műszaki szakértői jogosultság iránti kérelem esetén a kérelmező részletes szakmai tevékenységét bemutató önéletrajza,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hatósági erkölcsi bizonyítvány, amellyel kérelmező igazolja azt a tényt, hogy megfelel a 7. §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meghatározott feltételeknek.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ügyintézési határidő a kérelemnek az e-rendszerbe való feltöltését követő első munkanapon indul meg, kivéve, ha a területi kamara a döntést az elektronikus irat előterjesztésének napján meghozza.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27. §</w:t>
      </w:r>
      <w:r>
        <w:rPr>
          <w:rFonts w:ascii="Times New Roman" w:hAnsi="Times New Roman" w:cs="Times New Roman"/>
          <w:sz w:val="20"/>
          <w:szCs w:val="20"/>
        </w:rPr>
        <w:t xml:space="preserve"> (1) Eseti engedélyt kérhet a kérelmező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Kamtv. 1. § (3) és (6) bekezdésében meghatározott esetekben,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saját maga vagy a Ptk. szerinti közeli hozzátartozója számára kíván felelős műszaki vezetői feladatot ellátni, és az építési beruházás becsült értéke nem éri el a közbeszerzésekről szóló törvényben az építési beruházásokra megállapított nemzeti értékhatár kétszeresét.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eseti engedély iránti kérelemhez a következő dokumentumok csatolása szükséges: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szakirányú végzettséget igazoló oklevél hiteles másolata, ha ez a területi kamarai nyilvántartásban nem áll rendelkezésre,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szakirány elbírálásához a leckekönyv másolata vagy az oklevél melléklete, ha a kérelmező kreditrendszerben szerezte meg az oklevelét, vagy ha azt a területi kamara titkára a szakirány megállapítása érdekében kéri,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szakmai gyakorlat igazolása a 12. § (1) bekezdése szerint,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igazgatási szolgáltatási díj befizetésének igazolása,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végezni kívánt tevékenység főbb adatai, különösen a helye, a tárgya és a jellege,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hozzátartozói minőséget igazoló dokumentum.</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16. A kérelem elbírálása és a határozat tartalma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28. §</w:t>
      </w:r>
      <w:r>
        <w:rPr>
          <w:rFonts w:ascii="Times New Roman" w:hAnsi="Times New Roman" w:cs="Times New Roman"/>
          <w:sz w:val="20"/>
          <w:szCs w:val="20"/>
        </w:rPr>
        <w:t xml:space="preserve"> (1) Ha a kérelem hiányos, a területi kamara titkára legfeljebb tizenöt napos határidő megjelölésével a kérelmezőt a hiányok pótlására hívja fel. Ismételt hiánypótlási felhívás kibocsátására nincs lehetőség.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területi kamara titkára a kérelem elbírálásánál vizsgálja, hogy a kérelem és mellékletei megfelelnek-e a jogszabályban foglaltaknak, valamint a kérelmezett szakmagyakorlási tevékenység megfelel-e az engedélyezés feltételeinek. A hatóság a kérelmet elutasítja, amennyiben a kérelem és mellékletei nem felelnek meg, vagy a szakmagyakorlási tevékenység végzésének feltételei nem állnak fenn. Amennyiben a kérelem hiánytalan, a döntést a kérelem beérkezésétől, ha a kérelem hiányos, az utolsó pótolt dokumentum beérkezésétől számított tizenöt napon belül kell meghozni és az ügyféllel haladéktalanul közölni. A területi kamara titkára a döntését szóban nem közölheti.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területi kamara titkára a kamarai tagsághoz kötött szakmagyakorlási tevékenységek esetén az engedélyezési eljárásban az illetékes területi kamara elnökségének véleményét kikéri – kivéve, ha a vélemény a kérelem benyújtásakor rendelkezésre áll – a kamarai tagfelvétel, valamint a szakmai gyakorlat szakirányúságának megállapítása céljából. A területi kamara elnöksége a véleményét az országos szabályzatban meghatározottak szerint alakítja ki.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területi kamara titkára a kérelemnek a Ket. 72. § (4) bekezdése szerinti egyszerűsített határozatban ad helyt, amely a Ket.-ben foglaltakon túlmenően tartalmazza: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oklevél megnevezését, számát, szakát, szakirányát és kibocsátóját, amely a jogosultságot megalapozza,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szakmagyakorlási tevékenység szakterületének megnevezését,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szakmagyakorlási tevékenységet végző személy névjegyzéki jelölését (tevékenység 1. melléklet szerinti betűjele, a területi kamara kódja és nyilvántartási szám),</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engedély – továbbképzési kötelezettség teljesítésének feltétele mellett – határozatlan ideig tartó hatályát,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továbbképzési kötelezettség (ezen belül egyes esetekben jogosultsági vizsga) teljesítése igazolása elmaradásának jogkövetkezményeiről történő tájékoztatást.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eseti engedélyről szóló döntést a területi kamara titkára a Ket. 72. § (4) bekezdése szerinti egyszerűsített határozattal hozza meg, amely a Ket.-ben foglaltakon túlmenően tartalmazza: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oklevél megnevezését, számát, szakát, szakirányát és kibocsátóját, amely a jogosultságot megalapozza,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szakmagyakorlási szakterület, illetve kategória megnevezését,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végezni kívánt tevékenység főbb adatait, különösen a helyét, a tárgyát és a jellegét,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eseti engedély hatályát, amely – a Kamtv. 1. § (6) bekezdésében foglalt eset kivételével – legfeljebb az adott építmény használatbavételi engedélyének megadásáig, illetve a használatbavétel tudomásulvételéig szól,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tájékoztatást az engedély hatályának meghosszabbításának módjáról, feltételéről.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kérelem elutasításáról hozott döntés a Ket. 72. § (1) bekezdésében foglaltakon túlmenően tartalmazza a területi kamara elnöksége véleményének indokolását.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Jogorvoslati eljárásban az országos kamara főtitkára kikéri a szakterület szerinti szakmai tagozat véleményét a szakmai gyakorlat szakirányúságának megállapítása céljából.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17. Bejelentés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29. §</w:t>
      </w:r>
      <w:r>
        <w:rPr>
          <w:rFonts w:ascii="Times New Roman" w:hAnsi="Times New Roman" w:cs="Times New Roman"/>
          <w:sz w:val="20"/>
          <w:szCs w:val="20"/>
        </w:rPr>
        <w:t xml:space="preserve"> (1) A bejelentés benyújtására a 25. § szerinti engedélykérelem benyújtására előírtakat kell alkalmazni.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energetikai tanúsítói tevékenységre vonatkozó bejelentésnek a 7. § (2) bekezdésében foglaltakat kell tartalmaznia.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illetékes területi kamara titkára a bejelentés megérkezését követően haladéktalanul ellenőrzi, hogy a bejelentés megfelel-e a (2) bekezdésben meghatározott követelményeknek.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területi kamara titkára a bejelentés megérkezésétől számított nyolc napon belül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 bejelentés megfelel az előírt követelményeknek, nyilvántartásba veszi, mely tényről igazolás megküldésével a bejelentőt értesíti,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 bejelentés nem felel meg az előírt követelményeknek, a bejelentés hiányainak megjelölése mellett figyelmezteti a bejelentőt a tevékenység bejelentés nélküli folytatásának jogkövetkezményeire, valamint a területi kamara a bejelentés nyilvántartásba vételét határozattal megtagadja.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bejelentésről készített igazolásnak a következőket kell tartalmaznia: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területi kamara megnevezését, a bejelentés iktatási számát és ügyintéző nevét,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bejelentő nevét, lakcímét, szervezet esetén székhelyét,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bejelentett tevékenység megjelölését, a szakmagyakorlási szakterület megnevezését,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bejelentés előterjesztésének napját,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szakmagyakorlási tevékenységet bejelentő személy nyilvántartási számát, a névjegyzéki jelét,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azt, hogy a bejelentés – kivéve a határon átnyúló szolgáltatásra vonatkozó bejelentést – határozatlan időre, vagy a bejelentésben meghatározott ideig szól.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területi kamara titkára a bejelentő számára a nyilvántartásba vétellel egyidejűleg az 1. melléklet szerinti névjegyzéki jelölést ad (tevékenység szerinti betűjel, a területi kamara kódja és nyilvántartási szám).</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területi kamara titkára eltiltja a tevékenység folytatásától és ezzel egyidejűleg – a névjegyzéki jelölés hatálytalanítása mellett – a névjegyzékből törli azt, aki a bejelentésben valótlan adatközlést és hitelesítési nyilatkozatot tett a jogszabályban előírt feltételekkel való rendelkezéséről és ezt bármely hatáskörrel rendelkező hatóság által végzett ellenőrzés igazolja, vagy ha a jogszabályban előírt feltételekkel már nem rendelkezik.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18. Az egységes elektronikus névjegyzék vezetése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30. §</w:t>
      </w:r>
      <w:r>
        <w:rPr>
          <w:rFonts w:ascii="Times New Roman" w:hAnsi="Times New Roman" w:cs="Times New Roman"/>
          <w:sz w:val="20"/>
          <w:szCs w:val="20"/>
        </w:rPr>
        <w:t xml:space="preserve"> (1) A területi kamara titkára az engedély megadásával, illetve a bejelentés tudomásulvételével egyidejűleg a szakmagyakorlót nyilvántartásba veszi, a névjegyzéki jelölést a határozattal vagy az igazolással közli.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területi kamarák – az országos kamarák által közösen működtetett, az OÉNY-nyel összekapcsolt, szakterületekre bontott, nyilvános elektronikus – közös névjegyzéket vezetnek, amelyet folyamatosan aktualizálnak a szakmagyakorlók adatszolgáltatása, valamint a továbbképzési kötelezettség igazolása alapján.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névjegyzékben rögzíteni kell a névjegyzékbe vételi eljárással összefüggésben, jogszabályban előírt igazgatási szolgáltatási díj megfizetésének, valamint a továbbképzési kötelezettség teljesítésének tényét. A szakmagyakorlási tevékenységek szakterület szerinti jelölését az 1., 2. és 3. melléklet szerint kell a névjegyzékben rögzíteni.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névjegyzék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természetes személy vonatkozásában az Étv. 58. § (10) bekezdése és a Kamtv. 43. § (2) bekezdése,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cég vonatkozásában az Étv. 58. § (10) bekezdése és a Kamtv. 43. § (3) bekezdése</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szerinti adatokat tartalmazza.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elkülönített névjegyzéken a (4) bekezdés szerinti adattartalommal kell vezetni a Kamtv. 1. § (4) bekezdésében meghatározott szakmagyakorlót.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(4) és (5) bekezdés szerinti névjegyzék az Étv. 58. § (1) bekezdése, az Étv. 58. § (10) bekezdés </w:t>
      </w:r>
      <w:r>
        <w:rPr>
          <w:rFonts w:ascii="Times New Roman" w:hAnsi="Times New Roman" w:cs="Times New Roman"/>
          <w:i/>
          <w:iCs/>
          <w:sz w:val="20"/>
          <w:szCs w:val="20"/>
        </w:rPr>
        <w:t>a), c)–f)</w:t>
      </w:r>
      <w:r>
        <w:rPr>
          <w:rFonts w:ascii="Times New Roman" w:hAnsi="Times New Roman" w:cs="Times New Roman"/>
          <w:sz w:val="20"/>
          <w:szCs w:val="20"/>
        </w:rPr>
        <w:t xml:space="preserve"> pontja, a Kamtv. 43. § (2) bekezdés </w:t>
      </w:r>
      <w:r>
        <w:rPr>
          <w:rFonts w:ascii="Times New Roman" w:hAnsi="Times New Roman" w:cs="Times New Roman"/>
          <w:i/>
          <w:iCs/>
          <w:sz w:val="20"/>
          <w:szCs w:val="20"/>
        </w:rPr>
        <w:t>a), b), g)–p)</w:t>
      </w:r>
      <w:r>
        <w:rPr>
          <w:rFonts w:ascii="Times New Roman" w:hAnsi="Times New Roman" w:cs="Times New Roman"/>
          <w:sz w:val="20"/>
          <w:szCs w:val="20"/>
        </w:rPr>
        <w:t xml:space="preserve"> pontja, a Kamtv. 43. § (3) bekezdés </w:t>
      </w:r>
      <w:r>
        <w:rPr>
          <w:rFonts w:ascii="Times New Roman" w:hAnsi="Times New Roman" w:cs="Times New Roman"/>
          <w:i/>
          <w:iCs/>
          <w:sz w:val="20"/>
          <w:szCs w:val="20"/>
        </w:rPr>
        <w:t>a), c)–g)</w:t>
      </w:r>
      <w:r>
        <w:rPr>
          <w:rFonts w:ascii="Times New Roman" w:hAnsi="Times New Roman" w:cs="Times New Roman"/>
          <w:sz w:val="20"/>
          <w:szCs w:val="20"/>
        </w:rPr>
        <w:t xml:space="preserve"> pontja szerinti </w:t>
      </w:r>
      <w:r>
        <w:rPr>
          <w:rFonts w:ascii="Times New Roman" w:hAnsi="Times New Roman" w:cs="Times New Roman"/>
          <w:sz w:val="20"/>
          <w:szCs w:val="20"/>
        </w:rPr>
        <w:lastRenderedPageBreak/>
        <w:t>adatok, valamint a (3) bekezdés szerinti továbbképzési kötelezettség teljesítésének ténye tekintetében közhiteles hatósági nyilvántartásnak minősül.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19. Szakmagyakorlást végző cégek névjegyzéke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31. §</w:t>
      </w:r>
      <w:r>
        <w:rPr>
          <w:rFonts w:ascii="Times New Roman" w:hAnsi="Times New Roman" w:cs="Times New Roman"/>
          <w:sz w:val="20"/>
          <w:szCs w:val="20"/>
        </w:rPr>
        <w:t xml:space="preserve"> (1) Ha a szakmagyakorlási tevékenységet a cég üzletszerűen gazdasági tevékenységként folytatja, akkor a szakmagyakorlási tevékenységet köteles bejelenteni az 5. § (6) bekezdése szerinti területi kamarának. A bejelentés során a 29. §-ban foglaltak alapján kell eljárni.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cégre vonatkozó bejelentés alapján a területi kamara a 30. § (4) bekezdés </w:t>
      </w:r>
      <w:r>
        <w:rPr>
          <w:rFonts w:ascii="Times New Roman" w:hAnsi="Times New Roman" w:cs="Times New Roman"/>
          <w:i/>
          <w:iCs/>
          <w:sz w:val="20"/>
          <w:szCs w:val="20"/>
        </w:rPr>
        <w:t>b)</w:t>
      </w:r>
      <w:r>
        <w:rPr>
          <w:rFonts w:ascii="Times New Roman" w:hAnsi="Times New Roman" w:cs="Times New Roman"/>
          <w:sz w:val="20"/>
          <w:szCs w:val="20"/>
        </w:rPr>
        <w:t xml:space="preserve"> pontjában meghatározott adattartalmú névjegyzéket vezet.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20. Hatósági bizonyítvány kiállítása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32. §</w:t>
      </w:r>
      <w:r>
        <w:rPr>
          <w:rFonts w:ascii="Times New Roman" w:hAnsi="Times New Roman" w:cs="Times New Roman"/>
          <w:sz w:val="20"/>
          <w:szCs w:val="20"/>
        </w:rPr>
        <w:t xml:space="preserve"> A területi kamara titkára – külön jogszabályban meghatározott igazgatási szolgáltatási díj fizetése mellett – hatósági bizonyítványt állít ki a névjegyzék adataiból, a szakmagyakorlási tevékenységet végző személy vagy cég névjegyzéki jelöléséről, a szakmagyakorló továbbképzési kötelezettségének teljesítéséről, amennyiben azt a szakmagyakorló kérelmezi.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21. A szakmagyakorlási tevékenység szüneteltetése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33. §</w:t>
      </w:r>
      <w:r>
        <w:rPr>
          <w:rFonts w:ascii="Times New Roman" w:hAnsi="Times New Roman" w:cs="Times New Roman"/>
          <w:sz w:val="20"/>
          <w:szCs w:val="20"/>
        </w:rPr>
        <w:t xml:space="preserve"> (1) A szakmagyakorlási tevékenység folytatása a szakmagyakorló kérelmére a területi kamara titkárának a határozata alapján szüneteltethető. A kérelemben a szünetelés kezdő időpontját meg kell jelölni. A szüneteltetés kezdő időpontja a kérelem benyújtásától számított legfeljebb harmadik hónap. A szüneteltetés kezdő időpontját a területi kamara titkáránál be kell jelenteni, ha az eltér a kérelemben megjelölttől. A szüneteltetés időtartama alatt a szüneteltetett szakmagyakorlási tevékenység nem végezhető.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szüneteltetett tevékenység – külön kérelemre – abban az esetben folytatható, ha a szakmagyakorlási tevékenység szüneteltetésének megszüntetését kérelmező személy a kötelező továbbképzési kötelezettségének teljesítését igazolja.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Tervező műszaki ellenőri cím jogosultja az építészeti-műszaki tervezési vagy az építési műszaki ellenőri jogosultság szüneteltetése esetén már nem használhatja a címet.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Beruházási tanácsadói cím jogosultja az építészeti-műszaki tervezési vagy az építési műszaki ellenőri jogosultság szüneteltetése esetén már nem használhatja a címet.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IX.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TOVÁBBKÉPZÉSI RENDSZER ÉS A JOGOSULTSÁGI VIZSGA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22. Továbbképzés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34. §</w:t>
      </w:r>
      <w:r>
        <w:rPr>
          <w:rFonts w:ascii="Times New Roman" w:hAnsi="Times New Roman" w:cs="Times New Roman"/>
          <w:sz w:val="20"/>
          <w:szCs w:val="20"/>
        </w:rPr>
        <w:t xml:space="preserve"> (1) A szakmagyakorló az ötéves továbbképzési időszak alatt – a (2) bekezdésben foglalt kivételekkel – köteles továbbképzést teljesíteni.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továbbképzési kötelezettség alól mentesül az elkülönített névjegyzékbe bejegyzett szakmagyakorló és a szakmagyakorlást eseti engedéllyel folytató személy.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továbbképzés típusa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kamarai tagsághoz kötött jogosultság esetén kötelező és szakmai,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kamarai tagsághoz nem kötött jogosultság esetén kötelező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továbbképzés.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szakmagyakorlónak az első továbbképzési időszaka alatt a 38. § (2) bekezdése szerinti beszámolóval végződő kötelező továbbképzést kell teljesítenie.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35. §</w:t>
      </w:r>
      <w:r>
        <w:rPr>
          <w:rFonts w:ascii="Times New Roman" w:hAnsi="Times New Roman" w:cs="Times New Roman"/>
          <w:sz w:val="20"/>
          <w:szCs w:val="20"/>
        </w:rPr>
        <w:t xml:space="preserve"> (1) A továbbképzést az országos kamara szervezi valamennyi továbbképzési típus és valamennyi szakmagyakorlási tevékenység esetén.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országos kamara a továbbképzések szervezésére egy vagy több szakértői testületet működtet. A szakértői testület működésének ügyrendjét saját hatáskörében készíti és fogadja el. A szakértői testületbe egy tagot a miniszter delegál.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23. A továbbképzés tartalma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36. §</w:t>
      </w:r>
      <w:r>
        <w:rPr>
          <w:rFonts w:ascii="Times New Roman" w:hAnsi="Times New Roman" w:cs="Times New Roman"/>
          <w:sz w:val="20"/>
          <w:szCs w:val="20"/>
        </w:rPr>
        <w:t xml:space="preserve"> (1) A kötelező továbbképzés tematikáját jogosultsági szakterületenként a miniszter határozza meg, az ehhez kapcsolódó tananyagot az országos kamara dolgozza ki és a miniszter hagyja jóvá. Az oktatási anyagokat a kamara elektronikusan közzéteszi.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szakmai továbbképzés tematikáját, rendszerét, metódusát, értékelését, az országos kamarák saját hatáskörben, szabályzatban állapítják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kötelező továbbképzést az országos kamara által – a miniszter egyetértésével – elfogadott oktató tarthatja.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kötelező továbbképzés formája lehet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internet alapú távoktatás, amely tesztvizsgával zárul,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hagyományos oktatási formában történő részvétel.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kötelező továbbképzésben a továbbképzési időszak alatt egy, a (4) bekezdés szerinti továbbképzési formát kell teljesíteni, ahol a (4)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oktatás összességében nem haladhatja meg a nyolc tanórát.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24. A továbbképzési kötelezettség teljesítésének igazolása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37. §</w:t>
      </w:r>
      <w:r>
        <w:rPr>
          <w:rFonts w:ascii="Times New Roman" w:hAnsi="Times New Roman" w:cs="Times New Roman"/>
          <w:sz w:val="20"/>
          <w:szCs w:val="20"/>
        </w:rPr>
        <w:t xml:space="preserve"> (1) A 36. § (4) bekezdése szerinti továbbképzés teljesítésének elektronikus formában történő igazolása az országos kamara feladata. A területi kamara köteles közhiteles nyilvántartásában naprakészen vezetni az igazolások tartalma alapján az adott továbbképzési időszak teljesítését az egyes szakmagyakorlók tekintetében. Az egyes továbbképzési ciklusok teljesítése vizsgálatának alapjául a kamarai nyilvántartás szolgál. A névjegyzéket vezető szerv kérésére a szakmagyakorló kötelezhető a részére kiállított és átadott igazolások bemutatására egyeztetés céljából.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kötelező továbbképzési kötelezettség teljesítésének elmulasztása a jogosultság – területi kamara titkára által hivatalból történő – szerinti tevékenység megtiltását vonja maga után mindaddig, amíg a szakmagyakorló a továbbképzési kötelezettségének nem tesz eleget, de legfeljebb egy évig.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25. A jogosultsági vizsga és a beszámolóval végződő kötelező továbbképzés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38. §</w:t>
      </w:r>
      <w:r>
        <w:rPr>
          <w:rFonts w:ascii="Times New Roman" w:hAnsi="Times New Roman" w:cs="Times New Roman"/>
          <w:sz w:val="20"/>
          <w:szCs w:val="20"/>
        </w:rPr>
        <w:t xml:space="preserve"> (1) A jogosultsági vizsga és a beszámolóval végződő kötelező továbbképzés (a továbbiakban: beszámoló) célja annak vizsgálata, hogy a szakmagyakorló kellő mértékben ismeri-e a tevékenységére vonatkozó jogszabályi környezetet, képes-e a fontosabb jogszabályokat helyesen értelmezni, rendelkezik-e a szakmagyakorláshoz szükséges ismeretek alkalmazásában kellő jártassággal.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energetikai tanúsítói jogosultság kivételével a jogosultság megállapítását követő egy éven belül a szakmagyakorlónak beszámolót kell tennie a 39. §-ban foglaltak szerint.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jogosultsági vizsgát és a beszámolót az országos kamara szervezi és bonyolítja le. A jogosultsági vizsga és a beszámoló vizsga szakértői testülete legalább három- és legfeljebb öttagú testület. A vizsga szakértői testülete elnökből és tagokból áll. A vizsga szakértői testülete egy tagja a miniszter által megbízott személy. A vizsga szakértői testülete további tagjait az országos kamara bízza meg. A vizsga szakértői testülete ügyrendjét maga állapítja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jogosultsági vizsga és a beszámoló díja összesen 34 000 forint, amelyből az általános rész díja 17 000 forint, a szakterületi rész díja 17 000 forint. A jogosultsági vizsga és a beszámoló a 39. § (10) bekezdése szerinti eredménytelenség esetén ismételhető. A javítóvizsga díja első alkalommal ingyenes, ezt követően a jogosultsági vizsga díjával azonos.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jogosultsági vizsga, a beszámoló díját a vizsgára történő jelentkezéskor kell befizetni a vizsgát szervező országos kamara elkülönítetten vezetett számlájára.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vizsgázó köteles értesíteni a vizsgaszervezőt, amennyiben a visszaigazolt vizsgán nem tud részt venni. Amennyiben a vizsgára jelentkező szakmagyakorló legkésőbb a vizsga napját megelőző második munkanapig nem tesz eleget értesítési kötelezettségének, akkor a befizetett vizsgadíj összegéből az adminisztrációs költségek fedezésére 3000 forint levonásra kerül.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jogosultsági vizsga és a beszámoló általános része alól a vizsga szakértői testülete az ügyrendjében meghatározott módon felmentést ad, ha a szakmagyakorló más jogosultság megszerzéséhez ilyen tartalmú vizsgát már tett, vagy rendelkezik olyan vizsgával, amelynek követelménye 80%-ban megegyezik az általános rész követelményrendszerével. A jogosultsági vizsga szakterületi része alól felmentés nem adható. A felelős műszaki vezető, az építési műszaki ellenőr az általános építmények építési műszaki ellenőri, szakági építési </w:t>
      </w:r>
      <w:r>
        <w:rPr>
          <w:rFonts w:ascii="Times New Roman" w:hAnsi="Times New Roman" w:cs="Times New Roman"/>
          <w:sz w:val="20"/>
          <w:szCs w:val="20"/>
        </w:rPr>
        <w:lastRenderedPageBreak/>
        <w:t>műszaki ellenőri szakterületeken mentesül a beszámoló alól, ha építési műszaki ellenőri OKJ bizonyítvánnyal rendelkezik.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39. §</w:t>
      </w:r>
      <w:r>
        <w:rPr>
          <w:rFonts w:ascii="Times New Roman" w:hAnsi="Times New Roman" w:cs="Times New Roman"/>
          <w:sz w:val="20"/>
          <w:szCs w:val="20"/>
        </w:rPr>
        <w:t xml:space="preserve"> (1) A jogosultsági vizsga és a beszámoló általános és szakterületi részből áll. A jogosultsági vizsga és a beszámoló formája írásbeli és szóbeli vizsga. Szóbeli vizsgára a (11) bekezdés szerinti írásbeli vizsga eredmény esetén kerül sor.</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jogosultsági vizsgára és a beszámolóra elektronikusan a vizsgát és beszámolót szervező országos kamaránál kell jelentkezni. A jelentkezés módja a kamara honlapjáról letölthető jelentkezési lap elektronikus kitöltésével és a kamarának történő továbbítással történik. A jelentkezőt a jogosultsági vizsga és a beszámoló szervezője nyilvántartásba veszi és ellenőrzi a vizsgadíj befizetését.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vizsga és a beszámoló helyszínén a vizsga és a beszámoló megkezdése előtt meg kell állapítani a vizsgázók személyazonosságát, és tájékoztatást kell adni a vizsga és beszámoló szabályairól. A vizsgázó és a beszámoló köteles a személyazonosságát igazolni. A vizsgázó és a beszámoló segédeszközöket nem használhat az energetikai tanúsítói jogosultsági vizsga képletgyűjteménye kivételével.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jogosultsági vizsga és a beszámoló általános része (szakmagyakorlók közös ismeretanyagát képező ismeretek) az alábbi ismeretkörből áll: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építésügyi jogi környezet általános felépítése (jogszabályi hierarchia), ezen belül az Étv. alapismerete, a kapcsolódó végrehajtási területekből különösen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aa)</w:t>
      </w:r>
      <w:r>
        <w:rPr>
          <w:rFonts w:ascii="Times New Roman" w:hAnsi="Times New Roman" w:cs="Times New Roman"/>
          <w:sz w:val="20"/>
          <w:szCs w:val="20"/>
        </w:rPr>
        <w:t xml:space="preserve"> a településrendezési szabályok, követelmények,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ab)</w:t>
      </w:r>
      <w:r>
        <w:rPr>
          <w:rFonts w:ascii="Times New Roman" w:hAnsi="Times New Roman" w:cs="Times New Roman"/>
          <w:sz w:val="20"/>
          <w:szCs w:val="20"/>
        </w:rPr>
        <w:t xml:space="preserve"> az építési folyamat,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ac)</w:t>
      </w:r>
      <w:r>
        <w:rPr>
          <w:rFonts w:ascii="Times New Roman" w:hAnsi="Times New Roman" w:cs="Times New Roman"/>
          <w:sz w:val="20"/>
          <w:szCs w:val="20"/>
        </w:rPr>
        <w:t xml:space="preserve"> az építményekkel szemben támasztott alapvető követelmények,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ad)</w:t>
      </w:r>
      <w:r>
        <w:rPr>
          <w:rFonts w:ascii="Times New Roman" w:hAnsi="Times New Roman" w:cs="Times New Roman"/>
          <w:sz w:val="20"/>
          <w:szCs w:val="20"/>
        </w:rPr>
        <w:t xml:space="preserve"> szabványosítás, a szabványokra vonatkozó alapvető fogalmak, a szabványok alkalmazására vonatkozó általános szabályok, a szabványtípusok,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ae)</w:t>
      </w:r>
      <w:r>
        <w:rPr>
          <w:rFonts w:ascii="Times New Roman" w:hAnsi="Times New Roman" w:cs="Times New Roman"/>
          <w:sz w:val="20"/>
          <w:szCs w:val="20"/>
        </w:rPr>
        <w:t xml:space="preserve"> az építési termékekre vonatkozó szabályok,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af)</w:t>
      </w:r>
      <w:r>
        <w:rPr>
          <w:rFonts w:ascii="Times New Roman" w:hAnsi="Times New Roman" w:cs="Times New Roman"/>
          <w:sz w:val="20"/>
          <w:szCs w:val="20"/>
        </w:rPr>
        <w:t xml:space="preserve"> a szakmagyakorlókkal szemben szabálytalanságok esetén alkalmazható jogkövetkezmények,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kötelmi jogon belül a szerződésekre vonatkozó általános szabályok (tartalmi és formai követelmények, érvényesség),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környezet-, természet- és tájvédelem vonatkozó részeinek,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örökségvédelem,</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kamarai tagsághoz kötött jogosultságok esetében a kamarai etikai-fegyelmi eljárás</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ismerete.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beszámoló szakterületi része (szakmagyakorlók speciális, szakterületi ismeretanyagát képező ismeretek) az alábbi ismeretkörből áll: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kérelmezett vagy gyakorolt tevékenység vállalása, megkezdése, folytatása feltételeinek, szabályainak,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kérelmezett vagy gyakorolt szakterületre vonatkozó</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szabályok (feladat, felelősség, összeférhetetlenség, szerződés tartalmi követelményei, díjszámítás),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vonatkozó szabványok,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bc)</w:t>
      </w:r>
      <w:r>
        <w:rPr>
          <w:rFonts w:ascii="Times New Roman" w:hAnsi="Times New Roman" w:cs="Times New Roman"/>
          <w:sz w:val="20"/>
          <w:szCs w:val="20"/>
        </w:rPr>
        <w:t xml:space="preserve"> az építési hulladék kezelésének,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bd)</w:t>
      </w:r>
      <w:r>
        <w:rPr>
          <w:rFonts w:ascii="Times New Roman" w:hAnsi="Times New Roman" w:cs="Times New Roman"/>
          <w:sz w:val="20"/>
          <w:szCs w:val="20"/>
        </w:rPr>
        <w:t xml:space="preserve"> szakterületi igény szerinti mértékben a településrendezési követelmények,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be)</w:t>
      </w:r>
      <w:r>
        <w:rPr>
          <w:rFonts w:ascii="Times New Roman" w:hAnsi="Times New Roman" w:cs="Times New Roman"/>
          <w:sz w:val="20"/>
          <w:szCs w:val="20"/>
        </w:rPr>
        <w:t xml:space="preserve"> a tevékenység végzésével összefüggő egyéb kapcsolódó szakmai területek,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bf)</w:t>
      </w:r>
      <w:r>
        <w:rPr>
          <w:rFonts w:ascii="Times New Roman" w:hAnsi="Times New Roman" w:cs="Times New Roman"/>
          <w:sz w:val="20"/>
          <w:szCs w:val="20"/>
        </w:rPr>
        <w:t xml:space="preserve"> az engedélyezési és a kivitelezési terv tartalmi követelményeinek,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településrendezési tervezési szakterületen a </w:t>
      </w:r>
      <w:r>
        <w:rPr>
          <w:rFonts w:ascii="Times New Roman" w:hAnsi="Times New Roman" w:cs="Times New Roman"/>
          <w:i/>
          <w:iCs/>
          <w:sz w:val="20"/>
          <w:szCs w:val="20"/>
        </w:rPr>
        <w:t>b)</w:t>
      </w:r>
      <w:r>
        <w:rPr>
          <w:rFonts w:ascii="Times New Roman" w:hAnsi="Times New Roman" w:cs="Times New Roman"/>
          <w:sz w:val="20"/>
          <w:szCs w:val="20"/>
        </w:rPr>
        <w:t xml:space="preserve"> pont </w:t>
      </w:r>
      <w:r>
        <w:rPr>
          <w:rFonts w:ascii="Times New Roman" w:hAnsi="Times New Roman" w:cs="Times New Roman"/>
          <w:i/>
          <w:iCs/>
          <w:sz w:val="20"/>
          <w:szCs w:val="20"/>
        </w:rPr>
        <w:t>bc)</w:t>
      </w:r>
      <w:r>
        <w:rPr>
          <w:rFonts w:ascii="Times New Roman" w:hAnsi="Times New Roman" w:cs="Times New Roman"/>
          <w:sz w:val="20"/>
          <w:szCs w:val="20"/>
        </w:rPr>
        <w:t xml:space="preserve"> és </w:t>
      </w:r>
      <w:r>
        <w:rPr>
          <w:rFonts w:ascii="Times New Roman" w:hAnsi="Times New Roman" w:cs="Times New Roman"/>
          <w:i/>
          <w:iCs/>
          <w:sz w:val="20"/>
          <w:szCs w:val="20"/>
        </w:rPr>
        <w:t>bf)</w:t>
      </w:r>
      <w:r>
        <w:rPr>
          <w:rFonts w:ascii="Times New Roman" w:hAnsi="Times New Roman" w:cs="Times New Roman"/>
          <w:sz w:val="20"/>
          <w:szCs w:val="20"/>
        </w:rPr>
        <w:t xml:space="preserve"> alpontjában felsoroltak helyett a szakterületnek megfelelő településrendezési követelmények</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ismerete.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 jogosultsági vizsga szakterületi része az energetikai tanúsítói jogosultság esetén az alábbi ismeretkörökből áll: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energetikai követelményekre és a tanúsításra vonatkozó szabályozás hatálya,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belső környezet kritériumai (hőkomfort, belső levegő minőség és légcsere, páratartalom, világítás),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épületek, az épülethatároló szerkezetek, valamint az épületgépészeti rendszerek energiaigényének számítási módszerei,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az épületgépészeti (fűtési, szellőzési, használati melegvíz-ellátási, hűtési, világítási) rendszerek azonosítása, energiatudatos korszerűsítése, az egyes rendszerekre vonatkozó primer energiaigény számítása, az épület energetikai rendszereiből származó nyereségáramok számítása, üzemeltetési tanácsok,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épületek energetikai minőségének tanúsítási rendszere (módszere),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 meglévő épülethatároló szerkezetek hőtechnikai azonosítása, energiatudatos felújítása,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az épületre vonatkozóan a légcsereszám becslése, a fajlagos hőveszteség-tényező meghatározása,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energetikai minőség szerinti osztályok, az osztályba sorolás szabályai,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a tanúsítás dokumentálása.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(7) A jogosultsági vizsga és a beszámoló időtartama 120 perc.</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vizsga és a beszámoló kérdéseit a vizsgaszervező kamara – a miniszter egyetértésével – állítja össze és a honlapján, valamint az e-epites.hu portálon közzéteszi. A vizsgán és a beszámolón ezek közül azok a kérdések szerepelnek, amelyeket a vizsga szakértői testülete állít össze.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Kamarai szolgáltatás keretében előkészítő tanfolyam és konzultáció szervezhető, azonban a vizsgának és a beszámolónak nem kötelező előfeltétele.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jogosultsági vizsga, a beszámoló követelményeit az teljesítette, aki az írásbeli kérdések 70%-át helyesen válaszolta meg. Az 50% alatt teljesített írásbeli vizsga, beszámoló eredménytelen, szóbeli vizsgára vagy beszámolóra a vizsgázó, a beszámoló nem bocsátható, az írásbeli vizsgát vagy a beszámolót ismételni köteles.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Az 50–70% közötti eredmény esetében a vizsgázó vagy beszámoló szóbeli vizsgát vagy beszámolót tesz.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A vizsga szakértői testülete értékeli az írásbeli dolgozatokat. Az írásbeli értékelés befejezését követően a szakértői testület kihirdeti a szóbeli vizsgára vagy beszámolóra kötelezettek névsorát és a szóbeli vizsga vagy beszámoló időpontját, amely lehet ugyanaz a nap is.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(13) A szóbeli vizsgán vagy beszámolón a vizsgázó vagy beszámoló további kérdést kap, melyre külön felkészülési idő nélkül válaszolnia kell. A vizsga szakértői testülete bármelyik tagja kiegészítő kérdéseket tehet fel a vizsgázónak.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(14) Az összesítő értékelő lapot és a jegyzőkönyvet a vizsga szakértői testülete minden tagja a helyszínen köteles aláírni. Az értékelést követően hozott szakértői testületi döntés alapján történik a nyilvános eredményhirdetés.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(15) A jogosultsági vizsga és a beszámoló letételét a vizsgaszervező igazolja, külön kérelem nélkül gondoskodik az elektronikus nyilvántartásba történő bejegyzéséről.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EGT-ÁLLAM SZOLGÁLTATÓIVAL KAPCSOLATOS SZABÁLYOK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26. Határon átnyúló szolgáltatásnyújtás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40. §</w:t>
      </w:r>
      <w:r>
        <w:rPr>
          <w:rFonts w:ascii="Times New Roman" w:hAnsi="Times New Roman" w:cs="Times New Roman"/>
          <w:sz w:val="20"/>
          <w:szCs w:val="20"/>
        </w:rPr>
        <w:t xml:space="preserve"> (1) A valamely tagállamban jogszerűen letelepedett és ott szakmagyakorlási tevékenység végzésére jogosult szolgáltató, Magyarország területén történő letelepedés nélkül, szabad szolgáltatásnyújtás keretében akkor folytathatja ugyanezt a szakmagyakorlási tevékenységet, ha az e rendeletben meghatározott szakmai feltételekkel rendelkezik.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Szolgtv. szerint a szabad szolgáltatásnyújtás jogával rendelkező szolgáltató határon átnyúló szolgáltatás keretében történő szakmagyakorlási tevékenység folytatására irányuló szándékát köteles az adott szakmagyakorlási tevékenység tekintetében hatáskörrel rendelkező Budapesti Építész Kamarához, vagy a Budapesti és Pest Megyei Mérnöki Kamarához bejelenteni. A bejelentést évente kell megtenni.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 bekezdésben kijelölt területi kamara a szabad szolgáltatás jogával rendelkező szolgáltatóról elkülönített közhiteles nyilvántartást vezet.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bejelentéshez magyar nyelvű fordításban mellékelni kell: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nevét, címét, a folytatni kívánt szakmagyakorlási tevékenység megjelölését,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szakmai képesítést igazoló okiratot,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tagállami állampolgárság igazolását,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végezni kívánt tevékenység főbb adatait, különösen a helyét, a tárgyát és a jellegét,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igazolást arról, hogy a szolgáltatásnyújtó a szakmagyakorlási tevékenység folytatása céljából jogszerűen letelepedett valamely tagállamban, továbbá</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nyilatkozatot arról, hogy a szolgáltatásnyújtó a nyilatkozat benyújtásakor átmenetileg sincs eltiltva a szakmagyakorlási tevékenység gyakorlásától.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Az elkülönítetten vezetett közhiteles névjegyzéket vezető (2) bekezdésben kijelölt területi kamara ezen névjegyzékből törli azt a személyt, aki a külön jogszabály szerinti évenkénti nyilatkozattételi kötelezettségét nem teljesíti.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27. Letelepedés szabadsága keretében nyújtott szolgáltatás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41. §</w:t>
      </w:r>
      <w:r>
        <w:rPr>
          <w:rFonts w:ascii="Times New Roman" w:hAnsi="Times New Roman" w:cs="Times New Roman"/>
          <w:sz w:val="20"/>
          <w:szCs w:val="20"/>
        </w:rPr>
        <w:t xml:space="preserve"> (1) Valamely tagállam állampolgára a szakmagyakorlási tevékenység engedélyezése iránti kérelmét a külföldi bizonyítványok és oklevelek elismeréséről szóló törvény szerinti szakmai képesítésének elismerése </w:t>
      </w:r>
      <w:r>
        <w:rPr>
          <w:rFonts w:ascii="Times New Roman" w:hAnsi="Times New Roman" w:cs="Times New Roman"/>
          <w:sz w:val="20"/>
          <w:szCs w:val="20"/>
        </w:rPr>
        <w:lastRenderedPageBreak/>
        <w:t>iránti kérelmével egyidejűleg nyújtja be a Budapesti Építész Kamarához, vagy a Budapesti és Pest Megyei Mérnöki Kamarához.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engedély iránti kérelemhez csatolni kell magyar nyelvű fordításban: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szakirányú végzettséget (szükség esetén kiegészítő képesítést) igazoló oklevél hiteles másolatát, ha ez a kamarai nyilvántartásban nem áll rendelkezésre,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szakirány elbírálásához a leckekönyv másolatát vagy az oklevél mellékletét, ha a kérelmező kreditrendszerben szerezte meg az oklevelét, vagy ha a kamara azt a szakirány megállapítása érdekében kéri,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építészeti tervezési szakterületen tevékenységet megkezdő személyek kérelme kivételével a jogosultsági vizsga eredményes letételének vagy a vizsga alóli mentességnek az igazolását,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küldő vagy származási ország illetékes hatósága által kiállított, a küldő vagy származási országbeli jogosultságára vonatkozó igazolást, beleértve a szakirányú szakmai gyakorlat jellegét, szakirányát, teljesítésének helyét, időtartamát.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kérelmet és mellékleteit az elismerési eljárást lefolytató hatóság a szakmai képesítés elismeréséről szóló jogerős határozatával együtt haladéktalanul megküldi az 5. § szerint hatáskörrel rendelkező területi kamarának. A területi kamara a megküldött iratok alapján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az engedélyt megadja, és a szakmagyakorlót az elkülönítetten vezetett névjegyzékbe bejegyzi,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kérelmet elutasítja.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HARMADIK ORSZÁG SZOLGÁLTATÓI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42. §</w:t>
      </w:r>
      <w:r>
        <w:rPr>
          <w:rFonts w:ascii="Times New Roman" w:hAnsi="Times New Roman" w:cs="Times New Roman"/>
          <w:sz w:val="20"/>
          <w:szCs w:val="20"/>
        </w:rPr>
        <w:t xml:space="preserve"> Harmadik országbeli szolgáltatók számára jogosultság az e rendeletben foglaltak szerint, viszonosság alapján állapítható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JOGKÖVETKEZMÉNYEK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28. Közös szabályok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43. §</w:t>
      </w:r>
      <w:r>
        <w:rPr>
          <w:rFonts w:ascii="Times New Roman" w:hAnsi="Times New Roman" w:cs="Times New Roman"/>
          <w:sz w:val="20"/>
          <w:szCs w:val="20"/>
        </w:rPr>
        <w:t xml:space="preserve"> (1) A területi kamara titkára a szakmagyakorlóval szemben hatósági eljárást folytat le, és jogkövetkezményt állapít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Kamtv. 3. § (1) bekezdés </w:t>
      </w:r>
      <w:r>
        <w:rPr>
          <w:rFonts w:ascii="Times New Roman" w:hAnsi="Times New Roman" w:cs="Times New Roman"/>
          <w:i/>
          <w:iCs/>
          <w:sz w:val="20"/>
          <w:szCs w:val="20"/>
        </w:rPr>
        <w:t>b)</w:t>
      </w:r>
      <w:r>
        <w:rPr>
          <w:rFonts w:ascii="Times New Roman" w:hAnsi="Times New Roman" w:cs="Times New Roman"/>
          <w:sz w:val="20"/>
          <w:szCs w:val="20"/>
        </w:rPr>
        <w:t xml:space="preserve"> pontja szerinti ellenőrzések alapján,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területi kamara etikai-fegyelmi bizottságának jogerős döntése alapján,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az Épelj. 66. § (2) és (3) bekezdése szerinti megkeresésre,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szakmagyakorlási tevékenység folytatásának feltételei hiánya esetén,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az energetikai tanúsítványok tekintetében a független ellenőrzési rendszert működtető szerv kezdeményezésére.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területi kamara titkára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megkeresésre a 44. § szerinti jogkövetkezményt állapít meg, és ezzel egyidejűleg a döntése megküldése mellett a kamarai tagsághoz kötött szakmagyakorlási tevékenység esetén a területi kamara etikai-fegyelmi bizottságánál is eljárást kezdeményez a kamarai tag ellen.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jogkövetkezményt megállapító területi kamara titkára a döntését az OÉNY e-szankció alkalmazásban rögzített jogkövetkezmények figyelembevételével hozza meg az e-rendszerben.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Az Étv. 58. § (11) bekezdése szerinti bírósági értesítéseknek az e-szankció elektronikus alkalmazásban történő rögzítését az OÉNY üzemeltetője köteles a beérkezést követően haladéktalanul, de legkésőbb a beérkezést követő munkanapon elvégezni.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jogkövetkezményeket megállapító döntés meghozatala előtt a területi kamara titkára minden esetben köteles ellenőrizni, hogy e-szankció alkalmazással rögzített adatállományban, az adott szakmagyakorlóval szemben jogkövetkezmény állapítottak-e meg. Amennyiben a szabályozás a fokozatosság elve alapján súlyosabb szankciót is kilátásba helyez, a jogkövetkezmény megállapításakor az e-szankció adatállományban rögzített valamennyi jogkövetkezményt figyelembe kell venni, függetlenül attól, hogy a szankciót mely hatóság vagy szerv állapította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 e rendelet alapján megállapított bírság összege – egy éven belüli ismételt bírságolandó szabálytalanság esetén – az előzőleg megállapított bírság 150%-ánál kevesebb nem lehet.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Az építésügyi és az építésfelügyeleti hatóság a szakmagyakorlási tevékenységre vonatkozó jogszabályok, szakmai szabályok megsértése miatt – hatáskör hiányában vagy kormányrendeletben előírt esetekben – az </w:t>
      </w:r>
      <w:r>
        <w:rPr>
          <w:rFonts w:ascii="Times New Roman" w:hAnsi="Times New Roman" w:cs="Times New Roman"/>
          <w:sz w:val="20"/>
          <w:szCs w:val="20"/>
        </w:rPr>
        <w:lastRenderedPageBreak/>
        <w:t>OÉNY e-szankció elektronikus alkalmazás használatával köteles elektronikus úton megkeresni a névjegyzéket vezető területi kamarát. A területi kamara, az elektronikus megkeresés alapján, harminc napon belül köteles eljárást indítani a szakmagyakorlási tevékenységet folytató ellen, és az eljárást lezáró döntéséről a megkereső hatóságot az OÉNY e-szankció elektronikus alkalmazás használatával elektronikus úton értesíteni.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29. Jogkövetkezmények típusai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44. §</w:t>
      </w:r>
      <w:r>
        <w:rPr>
          <w:rFonts w:ascii="Times New Roman" w:hAnsi="Times New Roman" w:cs="Times New Roman"/>
          <w:sz w:val="20"/>
          <w:szCs w:val="20"/>
        </w:rPr>
        <w:t xml:space="preserve"> (1) A területi kamara titkára figyelmeztetésben részesíti a szakmagyakorlót: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ha az adatváltozás bejelentési kötelezettségének nem tesz eleget,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ha az adategyeztetési kötelezettségét nem teljesíti,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ha a nyilvántartási díjat határidőre nem fizeti be,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 a kamara a 43. § (1) bekezdés </w:t>
      </w:r>
      <w:r>
        <w:rPr>
          <w:rFonts w:ascii="Times New Roman" w:hAnsi="Times New Roman" w:cs="Times New Roman"/>
          <w:i/>
          <w:iCs/>
          <w:sz w:val="20"/>
          <w:szCs w:val="20"/>
        </w:rPr>
        <w:t>a)</w:t>
      </w:r>
      <w:r>
        <w:rPr>
          <w:rFonts w:ascii="Times New Roman" w:hAnsi="Times New Roman" w:cs="Times New Roman"/>
          <w:sz w:val="20"/>
          <w:szCs w:val="20"/>
        </w:rPr>
        <w:t xml:space="preserve"> pontja során első ízben állapít meg olyan kisebb szabálytalanságot, pontatlanságot, számítási vagy felmérési hibát, tartalmi hiányosságot, amely nem befolyásolta érdemben a szakmai tevékenység, vagy a szakvélemény eredményét,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ha az R1. 9/A. §-a szerinti ellenőrzés során a független ellenőrző szervezet által feltárt hibát az energetikai tanúsító a tanúsítvány alátámasztó munkarészben nem javítja ki,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szakszerűtlen vagy valótlan tartalmú építészeti-műszaki tartalmú dokumentáció esetén a 43. § (1) bekezdés </w:t>
      </w:r>
      <w:r>
        <w:rPr>
          <w:rFonts w:ascii="Times New Roman" w:hAnsi="Times New Roman" w:cs="Times New Roman"/>
          <w:i/>
          <w:iCs/>
          <w:sz w:val="20"/>
          <w:szCs w:val="20"/>
        </w:rPr>
        <w:t>c)</w:t>
      </w:r>
      <w:r>
        <w:rPr>
          <w:rFonts w:ascii="Times New Roman" w:hAnsi="Times New Roman" w:cs="Times New Roman"/>
          <w:sz w:val="20"/>
          <w:szCs w:val="20"/>
        </w:rPr>
        <w:t xml:space="preserve"> pontja szerinti megkeresésre.</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 területi kamara titkára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szakmagyakorlót 20 000 forint bírsággal sújtja, ha az (1) bekezdés </w:t>
      </w:r>
      <w:r>
        <w:rPr>
          <w:rFonts w:ascii="Times New Roman" w:hAnsi="Times New Roman" w:cs="Times New Roman"/>
          <w:i/>
          <w:iCs/>
          <w:sz w:val="20"/>
          <w:szCs w:val="20"/>
        </w:rPr>
        <w:t>a)–b)</w:t>
      </w:r>
      <w:r>
        <w:rPr>
          <w:rFonts w:ascii="Times New Roman" w:hAnsi="Times New Roman" w:cs="Times New Roman"/>
          <w:sz w:val="20"/>
          <w:szCs w:val="20"/>
        </w:rPr>
        <w:t xml:space="preserve"> és </w:t>
      </w:r>
      <w:r>
        <w:rPr>
          <w:rFonts w:ascii="Times New Roman" w:hAnsi="Times New Roman" w:cs="Times New Roman"/>
          <w:i/>
          <w:iCs/>
          <w:sz w:val="20"/>
          <w:szCs w:val="20"/>
        </w:rPr>
        <w:t>e)</w:t>
      </w:r>
      <w:r>
        <w:rPr>
          <w:rFonts w:ascii="Times New Roman" w:hAnsi="Times New Roman" w:cs="Times New Roman"/>
          <w:sz w:val="20"/>
          <w:szCs w:val="20"/>
        </w:rPr>
        <w:t xml:space="preserve"> pontjában foglaltakat a figyelmeztetés ellenére sem teljesíti,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az építésfelügyeleti hatóság számított építményértéket tartalmazó megkeresése alapján a felelős műszaki vezetőt, az építési műszaki ellenőrt az összeférhetetlenségi szabályok megsértése miatt bírsággal sújtja, melynek mértéke 100 000 forint összegezve a számított építményérték 20 millió forintot meghaladó részének 0,5%-val, de legfeljebb 300 000 forint.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bírságot az azt kiszabó határozat jogerőre emelkedésétől számított harminc napon belül kell megfizetni a határozatban megjelölt számlaszámra. A teljesítési határidő előtt benyújtott kérelemre halasztás egy alkalommal engedélyezhető legfeljebb harminc napra.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területi kamara titkára megtiltja a szakmagyakorlási tevékenység folytatását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legfeljebb hat hónap időtartamra, ha az építésfelügyeleti hatóság – az építésfelügyeleti bírságról szóló 238/2005. (X. 25.) Korm. rendelet (a továbbiakban: R2.) 1. melléklet I. táblázat 16. pontjában meghatározott jogsértő cselekmény kivételével – három éven belül legalább kettő alkalommal jogerősen építésfelügyeleti bírsággal sújtotta,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legfeljebb egy év időtartamra, ha az építésfelügyeleti hatóság – az R2. 1. melléklet I. táblázat 16. pontjában meghatározott jogsértő cselekmény kivételével – egy éven belül kettő alkalommal jogerősen bírsággal sújtotta,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legalább egy év időtartamra, ha az építésfelügyeleti hatóság az R2. 1. melléklet I. táblázat 16. pontjában meghatározott jogsértő cselekmény miatt jogerősen építésfelügyeleti bírsággal sújtotta,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ha a területi kamara etikai-fegyelmi bizottsága jogerős döntésével felfüggesztette a szakmagyakorló kamarai tagságát, akkor annak időtartamáig,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továbbképzési kötelezettsége teljesítéséig, de legfeljebb egy évig,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legfeljebb hat hónap időtartamra, ha az (1) bekezdés </w:t>
      </w:r>
      <w:r>
        <w:rPr>
          <w:rFonts w:ascii="Times New Roman" w:hAnsi="Times New Roman" w:cs="Times New Roman"/>
          <w:i/>
          <w:iCs/>
          <w:sz w:val="20"/>
          <w:szCs w:val="20"/>
        </w:rPr>
        <w:t>c)</w:t>
      </w:r>
      <w:r>
        <w:rPr>
          <w:rFonts w:ascii="Times New Roman" w:hAnsi="Times New Roman" w:cs="Times New Roman"/>
          <w:sz w:val="20"/>
          <w:szCs w:val="20"/>
        </w:rPr>
        <w:t xml:space="preserve"> pontjában és a (2) bekezdésben foglalt kötelezettségét a határozatban foglalt határidőre sem teljesíti,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legfeljebb egy év időtartamra, ha a szakmai tevékenység folytatásához szükséges jogosultság szüneteltetésének időtartama alatt végez engedélyhez kötött szakmai tevékenységet,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építészeti-műszaki tervezésre kötött szerződéshez kapcsolódó díjfizetési kötelezettség teljesítésének igazolásáig, de legfeljebb hat hónap időtartamra a 46. § (6) bekezdése szerinti esetben.</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területi kamara titkára megtiltja a szakmagyakorlási tevékenység folytatását és ezzel egyidejűleg törli a tevékenységet folytató szakmagyakorlót a névjegyzékből, ha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a szakmagyakorlási tevékenység engedélyezését követően merült fel olyan tény vagy adat, amely a tevékenység engedélyezését nem tette volna lehetővé,</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a jogszabályban előírt jogosultsági feltételekkel már nem rendelkezik,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a bejelentésben valótlan adatközlést és hitelesítési nyilatkozatot tett a jogszabályban előírt feltételekkel való rendelkezéséről és ezt bármely hatáskörrel rendelkező hatóság által végzett ellenőrzés igazolja,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továbbképzési kötelezettségét a (4)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szerinti határidőt követően sem teljesíti,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e)</w:t>
      </w:r>
      <w:r>
        <w:rPr>
          <w:rFonts w:ascii="Times New Roman" w:hAnsi="Times New Roman" w:cs="Times New Roman"/>
          <w:sz w:val="20"/>
          <w:szCs w:val="20"/>
        </w:rPr>
        <w:t xml:space="preserve"> a területi mérnöki vagy építész kamarából a Kamtv. 34/A. § (1) bekezdés </w:t>
      </w:r>
      <w:r>
        <w:rPr>
          <w:rFonts w:ascii="Times New Roman" w:hAnsi="Times New Roman" w:cs="Times New Roman"/>
          <w:i/>
          <w:iCs/>
          <w:sz w:val="20"/>
          <w:szCs w:val="20"/>
        </w:rPr>
        <w:t>e)</w:t>
      </w:r>
      <w:r>
        <w:rPr>
          <w:rFonts w:ascii="Times New Roman" w:hAnsi="Times New Roman" w:cs="Times New Roman"/>
          <w:sz w:val="20"/>
          <w:szCs w:val="20"/>
        </w:rPr>
        <w:t xml:space="preserve"> pontja szerint kizárták,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f)</w:t>
      </w:r>
      <w:r>
        <w:rPr>
          <w:rFonts w:ascii="Times New Roman" w:hAnsi="Times New Roman" w:cs="Times New Roman"/>
          <w:sz w:val="20"/>
          <w:szCs w:val="20"/>
        </w:rPr>
        <w:t xml:space="preserve"> az építésfelügyeleti hatóság az R2. 1. melléklet I. táblázat 16. pontjában meghatározott jogsértő cselekmény miatt három éven belül ismételten jogerősen építésfelügyeleti bírsággal sújtotta, vagy a szabálytalan szakmai tevékenység súlyos testi sértést, maradandó egészségkárosodást vagy halált okozott,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 </w:t>
      </w:r>
      <w:r>
        <w:rPr>
          <w:rFonts w:ascii="Times New Roman" w:hAnsi="Times New Roman" w:cs="Times New Roman"/>
          <w:i/>
          <w:iCs/>
          <w:sz w:val="20"/>
          <w:szCs w:val="20"/>
        </w:rPr>
        <w:t>g)</w:t>
      </w:r>
      <w:r>
        <w:rPr>
          <w:rFonts w:ascii="Times New Roman" w:hAnsi="Times New Roman" w:cs="Times New Roman"/>
          <w:sz w:val="20"/>
          <w:szCs w:val="20"/>
        </w:rPr>
        <w:t xml:space="preserve"> a tevékenység folytatásához szükséges jogosultsága felfüggesztésének időtartama alatt végez szakmagyakorlási tevékenységet,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h)</w:t>
      </w:r>
      <w:r>
        <w:rPr>
          <w:rFonts w:ascii="Times New Roman" w:hAnsi="Times New Roman" w:cs="Times New Roman"/>
          <w:sz w:val="20"/>
          <w:szCs w:val="20"/>
        </w:rPr>
        <w:t xml:space="preserve"> az építészeti-műszaki tervező a (4) bekezdés </w:t>
      </w:r>
      <w:r>
        <w:rPr>
          <w:rFonts w:ascii="Times New Roman" w:hAnsi="Times New Roman" w:cs="Times New Roman"/>
          <w:i/>
          <w:iCs/>
          <w:sz w:val="20"/>
          <w:szCs w:val="20"/>
        </w:rPr>
        <w:t>h)</w:t>
      </w:r>
      <w:r>
        <w:rPr>
          <w:rFonts w:ascii="Times New Roman" w:hAnsi="Times New Roman" w:cs="Times New Roman"/>
          <w:sz w:val="20"/>
          <w:szCs w:val="20"/>
        </w:rPr>
        <w:t xml:space="preserve"> pontja szerinti felfüggesztő határozat jogerőssé válásától számított hat hónapon belül sem igazolja díjfizetési kötelezettségének teljesítését,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w:t>
      </w:r>
      <w:r>
        <w:rPr>
          <w:rFonts w:ascii="Times New Roman" w:hAnsi="Times New Roman" w:cs="Times New Roman"/>
          <w:sz w:val="20"/>
          <w:szCs w:val="20"/>
        </w:rPr>
        <w:t xml:space="preserve"> ha az R1. 9/A. §-a szerinti ellenőrzés során a független ellenőrző szervezet megállapítja, hogy az energetikai tanúsító tanúsítvány két besorolással eltér a tényleges értéktől.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45. §</w:t>
      </w:r>
      <w:r>
        <w:rPr>
          <w:rFonts w:ascii="Times New Roman" w:hAnsi="Times New Roman" w:cs="Times New Roman"/>
          <w:sz w:val="20"/>
          <w:szCs w:val="20"/>
        </w:rPr>
        <w:t xml:space="preserve"> (1) Ha a névjegyzékből való törlésre a 44. § (5) bekezdés </w:t>
      </w:r>
      <w:r>
        <w:rPr>
          <w:rFonts w:ascii="Times New Roman" w:hAnsi="Times New Roman" w:cs="Times New Roman"/>
          <w:i/>
          <w:iCs/>
          <w:sz w:val="20"/>
          <w:szCs w:val="20"/>
        </w:rPr>
        <w:t>d)</w:t>
      </w:r>
      <w:r>
        <w:rPr>
          <w:rFonts w:ascii="Times New Roman" w:hAnsi="Times New Roman" w:cs="Times New Roman"/>
          <w:sz w:val="20"/>
          <w:szCs w:val="20"/>
        </w:rPr>
        <w:t xml:space="preserve"> pontja alapján került sor, a jogosultság csak a továbbképzési kötelezettség igazolása után engedélyezhető.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Ha a szakmagyakorlási tevékenység folytatásának megtiltására és ezzel egyidejűleg a névjegyzékből való törlésre a 44. § (5) bekezdés </w:t>
      </w:r>
      <w:r>
        <w:rPr>
          <w:rFonts w:ascii="Times New Roman" w:hAnsi="Times New Roman" w:cs="Times New Roman"/>
          <w:i/>
          <w:iCs/>
          <w:sz w:val="20"/>
          <w:szCs w:val="20"/>
        </w:rPr>
        <w:t>e), f)</w:t>
      </w:r>
      <w:r>
        <w:rPr>
          <w:rFonts w:ascii="Times New Roman" w:hAnsi="Times New Roman" w:cs="Times New Roman"/>
          <w:sz w:val="20"/>
          <w:szCs w:val="20"/>
        </w:rPr>
        <w:t xml:space="preserve"> és </w:t>
      </w:r>
      <w:r>
        <w:rPr>
          <w:rFonts w:ascii="Times New Roman" w:hAnsi="Times New Roman" w:cs="Times New Roman"/>
          <w:i/>
          <w:iCs/>
          <w:sz w:val="20"/>
          <w:szCs w:val="20"/>
        </w:rPr>
        <w:t>i)</w:t>
      </w:r>
      <w:r>
        <w:rPr>
          <w:rFonts w:ascii="Times New Roman" w:hAnsi="Times New Roman" w:cs="Times New Roman"/>
          <w:sz w:val="20"/>
          <w:szCs w:val="20"/>
        </w:rPr>
        <w:t xml:space="preserve"> pontja alapján került sor, a szakmagyakorlási tevékenységet végző személy a határozat jogerőre emelkedésétől számított három éven belül a névjegyzékbe nem vehető fel.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névjegyzékből való törlést követően a szakmagyakorlóra vonatkozó adatokat a területi kamara tíz évig őrzi meg.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Igazságügyi szakértői tevékenységet is végző építésügyi műszaki szakértő szakmagyakorlási tevékenységének megtiltásáról, névjegyzéki törléséről, illetve a 33. § (1) bekezdésében említett szüneteltetésről szóló határozatát a területi kamara titkára az igazságügyi szakértői névjegyzék vezetését végző szervvel is közli.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30. A bírósági értesítéssel és a nemfizetési jelzéssel kapcsolatos eljárás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46. §</w:t>
      </w:r>
      <w:r>
        <w:rPr>
          <w:rFonts w:ascii="Times New Roman" w:hAnsi="Times New Roman" w:cs="Times New Roman"/>
          <w:sz w:val="20"/>
          <w:szCs w:val="20"/>
        </w:rPr>
        <w:t xml:space="preserve"> (1) A területi kamara titkára az Étv. 58. § (11) bekezdése szerinti bírósági értesítés beérkezésétől számított nyolc napon belül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tájékoztatja a díjazásra jogosultat az eljárás megindításáról és menetéről,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felhívja a fizetésre kötelezettet arra, hogy hatvan napon belül igazolja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fizetés megtörténtét,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hogy az értesítés alapjául szolgáló ítélettel szembeni rendkívüli jogorvoslati eljárásban annak végrehajthatóságát felfüggesztették, vagy megállapították, hogy fizetési kötelezettsége nincs, valamint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tájékoztatja a feleket, hogy az igazolás elmaradása esetén felfüggeszti a fizetésre kötelezett tevékenység folytatásához szükséges jogosultságát.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Étv. 58. § (11) bekezdése szerinti bírósági értesítéssel egyenértékűnek tekintendő, ha a kamara tudomására jut olyan egyéb jogerős bírósági ítélet (külföldi, választottbírósági), vagy jogerős fizetési meghagyás, amely ugyanazon adatokat tartalmazza, mint az értesítés.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Az építészeti-műszaki tervező</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teljes bizonyító erejű magánokiratba foglalt vagy közvetítői eljárás eredményeként létrejött egyezséggel,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közokiratba foglalt fizetési kötelezettségvállalással,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teljesítésigazolással,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d)</w:t>
      </w:r>
      <w:r>
        <w:rPr>
          <w:rFonts w:ascii="Times New Roman" w:hAnsi="Times New Roman" w:cs="Times New Roman"/>
          <w:sz w:val="20"/>
          <w:szCs w:val="20"/>
        </w:rPr>
        <w:t xml:space="preserve"> a TSZSZ szakvéleményével</w:t>
      </w:r>
    </w:p>
    <w:p w:rsidR="005A7E08" w:rsidRDefault="005A7E08" w:rsidP="005A7E08">
      <w:pPr>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igazolva írásban bejelentheti a területi kamarának, hogy másik építészeti-műszaki tervezővel (fizetésre kötelezett) megkötött tervezési szerződésből eredően díjazásra jogosult, de a fizetés sem a vállalt határidőben, sem a bejelentés megtételéig nem történt meg (a továbbiakban: nemfizetési jelzés).</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Ha a nemfizetési jelzés hiányos, a területi kamara annak beérkezésétől számított nyolc napon belül – harminc napos póthatáridő megjelölése és a mulasztás jogkövetkezményeire történő figyelmeztetés mellett – hiánypótlásra hívja fel a bejelentőt. A hiánypótlás elmaradása esetén a kamara nyolc napon belül értesíti a bejelentőt a beadvány elutasításáról.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területi kamara a nemfizetési jelzés beérkezésétől – hiánypótlás esetén a pótlástól – számított nyolc napon belül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értesíti a díjazásra jogosultat az eljárás megindításáról és menetéről,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felhívja a fizetésre kötelezettet, hogy hatvan napon belül igazolja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ba)</w:t>
      </w:r>
      <w:r>
        <w:rPr>
          <w:rFonts w:ascii="Times New Roman" w:hAnsi="Times New Roman" w:cs="Times New Roman"/>
          <w:sz w:val="20"/>
          <w:szCs w:val="20"/>
        </w:rPr>
        <w:t xml:space="preserve"> a fizetés megtörténtét, vagy</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bb)</w:t>
      </w:r>
      <w:r>
        <w:rPr>
          <w:rFonts w:ascii="Times New Roman" w:hAnsi="Times New Roman" w:cs="Times New Roman"/>
          <w:sz w:val="20"/>
          <w:szCs w:val="20"/>
        </w:rPr>
        <w:t xml:space="preserve"> hogy a díjfizetés tárgyában indított bírósági eljárás van folyamatban, vagy ilyen tárgyú bírósági eljárásban a díjfizetési kötelezettség fenn nem állását megállapító jogerős bírósági határozatot hoztak, valamint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c)</w:t>
      </w:r>
      <w:r>
        <w:rPr>
          <w:rFonts w:ascii="Times New Roman" w:hAnsi="Times New Roman" w:cs="Times New Roman"/>
          <w:sz w:val="20"/>
          <w:szCs w:val="20"/>
        </w:rPr>
        <w:t xml:space="preserve"> tájékoztatja a feleket, hogy az igazolás elmaradása esetén felfüggeszti a fizetésre kötelezett tevékenység folytatásához szükséges jogosultságát.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Ha a díjfizetésre kötelezett hatvan napon belül nem igazolja a meghatározottakat, a területi kamara a határidő lejártát követő nyolc napon belül a Ket. szerinti határozatot hoz a tevékenység folytatásához szükséges jogosultság felfüggesztéséről.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(6) bekezdés szerinti felfüggesztés megszűnik az Étv. 58. § (11) bekezdése szerinti bírósági értesítés vagy alvállalkozói nemfizetési jelzés alapjául szolgáló díjfizetési kötelezettség teljesítésének igazolásakor. </w:t>
      </w:r>
      <w:r>
        <w:rPr>
          <w:rFonts w:ascii="Times New Roman" w:hAnsi="Times New Roman" w:cs="Times New Roman"/>
          <w:sz w:val="20"/>
          <w:szCs w:val="20"/>
        </w:rPr>
        <w:lastRenderedPageBreak/>
        <w:t>Amennyiben az építészeti-műszaki tervező a felfüggesztési határozat jogerőssé válásától számított hat hónapon belül sem igazolja díjfizetési kötelezettségének teljesítését, a kamara az engedély visszavonásával egyidejűleg törli a névjegyzékből.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XII. FEJEZET</w:t>
      </w:r>
    </w:p>
    <w:p w:rsidR="005A7E08" w:rsidRDefault="005A7E08" w:rsidP="005A7E08">
      <w:pPr>
        <w:autoSpaceDE w:val="0"/>
        <w:autoSpaceDN w:val="0"/>
        <w:adjustRightInd w:val="0"/>
        <w:spacing w:before="120" w:after="120" w:line="240" w:lineRule="auto"/>
        <w:jc w:val="center"/>
        <w:rPr>
          <w:rFonts w:ascii="Times New Roman" w:hAnsi="Times New Roman" w:cs="Times New Roman"/>
          <w:sz w:val="20"/>
          <w:szCs w:val="20"/>
        </w:rPr>
      </w:pPr>
      <w:r>
        <w:rPr>
          <w:rFonts w:ascii="Times New Roman" w:hAnsi="Times New Roman" w:cs="Times New Roman"/>
          <w:i/>
          <w:iCs/>
          <w:sz w:val="20"/>
          <w:szCs w:val="20"/>
        </w:rPr>
        <w:t>ZÁRÓ RENDELKEZÉSEK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47. §</w:t>
      </w:r>
      <w:r>
        <w:rPr>
          <w:rFonts w:ascii="Times New Roman" w:hAnsi="Times New Roman" w:cs="Times New Roman"/>
          <w:sz w:val="20"/>
          <w:szCs w:val="20"/>
        </w:rPr>
        <w:t xml:space="preserve"> (1) Ez a rendelet – a (2)–(3) bekezdésben foglalt kivétellel – 2013. augusztus 1-jén lép hatályba.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(2) Az 1–4. §, az 5. § (1)–(5) és (7) bekezdése, a 6. § (1) és (6) bekezdése, a 7–14. §, a 19–23. §, a 24. § (1) bekezdése, a 26–46. §, a 49. §, az 50. § (2) bekezdése, az 51–52. §, az 53. § (3) bekezdése és az 55. § </w:t>
      </w:r>
      <w:r>
        <w:rPr>
          <w:rFonts w:ascii="Times New Roman" w:hAnsi="Times New Roman" w:cs="Times New Roman"/>
          <w:i/>
          <w:iCs/>
          <w:sz w:val="20"/>
          <w:szCs w:val="20"/>
        </w:rPr>
        <w:t>b)–h)</w:t>
      </w:r>
      <w:r>
        <w:rPr>
          <w:rFonts w:ascii="Times New Roman" w:hAnsi="Times New Roman" w:cs="Times New Roman"/>
          <w:sz w:val="20"/>
          <w:szCs w:val="20"/>
        </w:rPr>
        <w:t xml:space="preserve"> pontja 2014. január 1-jén lép hatályba.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 A 24. § (2)–(6) bekezdése és a 25. § 2014. július 1-jén lép hatályba.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 A 2014. január 1-jét megelőzően engedélyezett és névjegyzékbe vett, vagy bejelentés alapján névjegyzékbe vett 1–3. melléklet szerinti szakmagyakorlási tevékenység a továbbképzési kötelezettségek teljesítése mellett folytatható.</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(5) A területi kamara titkára a változással érintett jogosultság tekintetében az 1. melléklet szerinti szak- és részterületnek megfelelő besorolásról a szakmagyakorlót a továbbképzési időszakának befejezéséig hivatalból értesíti. Ezen időszakig a szakmagyakorló a korábbi jogosultsági besorolásának megfelelően folytathatja a tevékenységet.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(6) Azon jogosultságok tekintetében, amelyeket az 1–3. melléklet nem tartalmaz, – a (7) és (8) bekezdésben foglaltak kivételével – az e rendelet hatálybalépésétől számított 30 napon belül a területi kamara titkára köteles a jogosultság megszűnéséről a szakmagyakorlót írásban értesíteni.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(7) A 2014. január 1-jét megelőzően építésügyi igazgatási szakértői területen kiadott engedélyek 2014. július 1-ig hatályosak, ezt követően a tevékenység engedély nélkül folytatható.</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(8) A 2014. január 1-jét megelőzően geodéziai tervezési szakterületen, geodéziai szakértői szakterületen, az építmények gépészeti tervezése szakterületen anyagmozgatógépek, építőgépek és felvonók tervezési jogosultsággal, és az építmények technológiai tervezés szakterületen építéstechnológiai tervezési jogosultsággal végezhető tevékenység vonatkozásában kiadott engedélyek – jogszabály eltérő rendelkezésének hiányában – 2015. december 31-éig hatályosak.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(9) Az 1. mellékletben meghatározott képesítési követelménytől eltérően az igazságügyi szakértői szakterületnek megfelelő építésügyi műszaki szakértői tevékenység engedélyezhető annak az igazságügyi szakértőnek is, aki műszaki felsőoktatás keretében szerzett szakirányú főiskolai szakképzettséggel rendelkezik, és akit 2006. január 1-jét megelőzően az igazságügyi szakértői névjegyzékbe jogszabály alapján az építésügyi szakterületre felvettek, és az igazságügyi szakértői névjegyzékben építésügyi szakterületen jelenleg is szerepel, továbbá rendelkezik 2006. január 1-jét megelőző tízéves szakmai gyakorlattal.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(10) A 34. § (1) bekezdés szerinti továbbképzési időszak a 2014. január 1-jét megelőzően megkezdett ötéves továbbképzési időszak utolsó napját követő napon kezdődik. Az a szakmagyakorló, akinek a továbbképzési kötelezettségét 2014. június 30-ig kell teljesítenie, továbbképzését legkésőbb 2014. december 31-ig teljesítheti.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(11) A beruházáslebonyolítói tevékenység 2014. január 1-jét követően bejelentési kötelezettség teljesítése nélkül folytatható.</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(12) Ez a rendelet a belső piaci szolgáltatásokról szóló, 2006. december 12-i 2006/123/EK európai parlamenti és tanácsi irányelvnek való megfelelést szolgálja.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48. §</w:t>
      </w:r>
      <w:r>
        <w:rPr>
          <w:rFonts w:ascii="Times New Roman" w:hAnsi="Times New Roman" w:cs="Times New Roman"/>
          <w:sz w:val="20"/>
          <w:szCs w:val="20"/>
        </w:rPr>
        <w:t xml:space="preserve"> A felelős műszaki vezetői „AM” kategória szakterületen jogosultsággal rendelkező szakmagyakorlót az MV-É-M részszakterületre hivatalból át kell sorolni a kulturális örökség védelmével összefüggő egyes kormányrendeletek módosításáról szóló 38/2015. (III. 11.) Korm. rendelet hatálybalépését követő 45 napon belül. A területi mérnöki kamara legkésőbb 2015. április 1-jéig átadja az arra illetékes területi építész kamarának a nyilvántartásában lévő „AM” szakterületi jogosultsággal rendelkező felelős műszaki vezető szakmagyakorló teljes iratanyagát. A területi mérnöki kamara által átadott „AM” jogosultsággal rendelkező szakmagyakorlót külön kérelem és igazgatási díj megfizetése nélkül az illetékes területi építész kamara MV-É-M névjegyzéki jelöléssel nyilvántartásba veszi.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49. §</w:t>
      </w:r>
      <w:r>
        <w:rPr>
          <w:rFonts w:ascii="Times New Roman" w:hAnsi="Times New Roman" w:cs="Times New Roman"/>
          <w:sz w:val="20"/>
          <w:szCs w:val="20"/>
        </w:rPr>
        <w:t xml:space="preserve"> (1) Az az építésügyi műszaki szakértő, aki a településtervezési és az építészeti-műszaki tervezési, valamint az építésügyi műszaki szakértői jogosultság szabályairól szóló 104/2006. (IV. 28.) Korm. rendelet szerinti építésügyi műszaki szakértő építészet szakterület műemlékvédelem részszakterületen 2013. december 31-én szakmagyakorlási engedéllyel rendelkezett, az az illetékes építész kamaránál 2015. december 31-ig díjfizetés nélkül kezdeményezheti jogosultságának visszaállítását.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lastRenderedPageBreak/>
        <w:t xml:space="preserve">(2) A 6. § (6)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ab)</w:t>
      </w:r>
      <w:r>
        <w:rPr>
          <w:rFonts w:ascii="Times New Roman" w:hAnsi="Times New Roman" w:cs="Times New Roman"/>
          <w:sz w:val="20"/>
          <w:szCs w:val="20"/>
        </w:rPr>
        <w:t xml:space="preserve"> alpontja szerinti továbbképzési időszak a jogosultság visszaállításának napjával kezdődik.</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(3) Az (1) bekezdés szerinti esetben a 6. § (6) bekezdés </w:t>
      </w:r>
      <w:r>
        <w:rPr>
          <w:rFonts w:ascii="Times New Roman" w:hAnsi="Times New Roman" w:cs="Times New Roman"/>
          <w:i/>
          <w:iCs/>
          <w:sz w:val="20"/>
          <w:szCs w:val="20"/>
        </w:rPr>
        <w:t>a)</w:t>
      </w:r>
      <w:r>
        <w:rPr>
          <w:rFonts w:ascii="Times New Roman" w:hAnsi="Times New Roman" w:cs="Times New Roman"/>
          <w:sz w:val="20"/>
          <w:szCs w:val="20"/>
        </w:rPr>
        <w:t xml:space="preserve"> pont </w:t>
      </w:r>
      <w:r>
        <w:rPr>
          <w:rFonts w:ascii="Times New Roman" w:hAnsi="Times New Roman" w:cs="Times New Roman"/>
          <w:i/>
          <w:iCs/>
          <w:sz w:val="20"/>
          <w:szCs w:val="20"/>
        </w:rPr>
        <w:t>ac)</w:t>
      </w:r>
      <w:r>
        <w:rPr>
          <w:rFonts w:ascii="Times New Roman" w:hAnsi="Times New Roman" w:cs="Times New Roman"/>
          <w:sz w:val="20"/>
          <w:szCs w:val="20"/>
        </w:rPr>
        <w:t xml:space="preserve"> alpontja szerinti beszámolót nem kell teljesíteni.</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50. §</w:t>
      </w:r>
      <w:r>
        <w:rPr>
          <w:rFonts w:ascii="Times New Roman" w:hAnsi="Times New Roman" w:cs="Times New Roman"/>
          <w:sz w:val="20"/>
          <w:szCs w:val="20"/>
        </w:rPr>
        <w:t xml:space="preserve"> Műemlék építmény esetén a 2015. április 1. előtt</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r>
        <w:rPr>
          <w:rFonts w:ascii="Times New Roman" w:hAnsi="Times New Roman" w:cs="Times New Roman"/>
          <w:sz w:val="20"/>
          <w:szCs w:val="20"/>
        </w:rPr>
        <w:t xml:space="preserve"> megkezdett építőipari kivitelezési tevékenységet irányító MV-É szakterületen bejegyzett felelős műszaki vezető jogosult műemléken felelős műszaki vezetői tevékenység végzésére, a kivitelezési szerződés teljesítéséig;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w:t>
      </w:r>
      <w:r>
        <w:rPr>
          <w:rFonts w:ascii="Times New Roman" w:hAnsi="Times New Roman" w:cs="Times New Roman"/>
          <w:sz w:val="20"/>
          <w:szCs w:val="20"/>
        </w:rPr>
        <w:t xml:space="preserve"> megkötött szerződéssel rendelkező SZÉSZ szakterületen bejegyzett építésügyi műszaki szakértő jogosult műemléken építésügyi műszaki szakértői tevékenység végzésére, a szerződés teljesítéséig.</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51. §</w:t>
      </w:r>
      <w:r>
        <w:rPr>
          <w:rFonts w:ascii="Times New Roman" w:hAnsi="Times New Roman" w:cs="Times New Roman"/>
          <w:sz w:val="20"/>
          <w:szCs w:val="20"/>
        </w:rPr>
        <w:t xml:space="preserve"> A 2014. január 1-jét megelőzően közlekedési építmények tervezési szakterületen közlekedésmérnöki tervezési jogosultsággal rendelkező szakmagyakorlót az 1. melléklet I. pont 2. részében foglalt táblázat szerinti sajátos műszaki tervezési terület KÉ-VK, KÉ-VV, KÉ-KK, KÉ-LK, vagy a KÉ-HK tervezési részszakterületére hivatalból át kell sorolni az egyes építésügyi tárgyú kormányrendeletek, valamint a lakásépítési támogatásról szóló 256/2011. (XII. 6.) Korm. rendelet módosításáról szóló 168/2015. (VI. 30.) Korm. rendelet hatálybalépését követő 45 napon belül.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52. §</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53. §</w:t>
      </w:r>
      <w:r>
        <w:rPr>
          <w:rFonts w:ascii="Times New Roman" w:hAnsi="Times New Roman" w:cs="Times New Roman"/>
          <w:sz w:val="20"/>
          <w:szCs w:val="20"/>
        </w:rPr>
        <w:t xml:space="preserve"> (1)–(2)</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(3)</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r>
        <w:rPr>
          <w:rFonts w:ascii="Times New Roman" w:hAnsi="Times New Roman" w:cs="Times New Roman"/>
          <w:sz w:val="20"/>
          <w:szCs w:val="20"/>
        </w:rPr>
        <w:t xml:space="preserve"> (4)</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54. §</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b/>
          <w:bCs/>
          <w:sz w:val="20"/>
          <w:szCs w:val="20"/>
        </w:rPr>
      </w:pPr>
      <w:r>
        <w:rPr>
          <w:rFonts w:ascii="Times New Roman" w:hAnsi="Times New Roman" w:cs="Times New Roman"/>
          <w:sz w:val="20"/>
          <w:szCs w:val="20"/>
        </w:rPr>
        <w:t xml:space="preserve"> </w:t>
      </w:r>
      <w:r>
        <w:rPr>
          <w:rFonts w:ascii="Times New Roman" w:hAnsi="Times New Roman" w:cs="Times New Roman"/>
          <w:b/>
          <w:bCs/>
          <w:sz w:val="20"/>
          <w:szCs w:val="20"/>
        </w:rPr>
        <w:t>55. §</w:t>
      </w:r>
    </w:p>
    <w:p w:rsidR="005A7E08" w:rsidRDefault="005A7E08" w:rsidP="005A7E0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a)</w:t>
      </w:r>
    </w:p>
    <w:p w:rsidR="005A7E08" w:rsidRDefault="005A7E08" w:rsidP="005A7E0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b)–h)</w:t>
      </w:r>
    </w:p>
    <w:p w:rsidR="005A7E08" w:rsidRDefault="005A7E08" w:rsidP="005A7E08">
      <w:pPr>
        <w:autoSpaceDE w:val="0"/>
        <w:autoSpaceDN w:val="0"/>
        <w:adjustRightInd w:val="0"/>
        <w:spacing w:after="20" w:line="240" w:lineRule="auto"/>
        <w:ind w:firstLine="142"/>
        <w:jc w:val="both"/>
        <w:rPr>
          <w:rFonts w:ascii="Times New Roman" w:hAnsi="Times New Roman" w:cs="Times New Roman"/>
          <w:i/>
          <w:iCs/>
          <w:sz w:val="20"/>
          <w:szCs w:val="20"/>
        </w:rPr>
      </w:pPr>
      <w:r>
        <w:rPr>
          <w:rFonts w:ascii="Times New Roman" w:hAnsi="Times New Roman" w:cs="Times New Roman"/>
          <w:sz w:val="20"/>
          <w:szCs w:val="20"/>
        </w:rPr>
        <w:t xml:space="preserve"> </w:t>
      </w:r>
      <w:r>
        <w:rPr>
          <w:rFonts w:ascii="Times New Roman" w:hAnsi="Times New Roman" w:cs="Times New Roman"/>
          <w:i/>
          <w:iCs/>
          <w:sz w:val="20"/>
          <w:szCs w:val="20"/>
        </w:rPr>
        <w:t>i)–l)</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1. melléklet a 266/2013. (VII. 11.) Korm. rendelethez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sectPr w:rsidR="005A7E08">
          <w:pgSz w:w="11906" w:h="16838"/>
          <w:pgMar w:top="1417" w:right="1417" w:bottom="1134" w:left="1417" w:header="708" w:footer="708" w:gutter="0"/>
          <w:cols w:space="708"/>
        </w:sectPr>
      </w:pPr>
    </w:p>
    <w:p w:rsidR="005A7E08" w:rsidRDefault="005A7E08" w:rsidP="005A7E08">
      <w:pPr>
        <w:widowControl w:val="0"/>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lastRenderedPageBreak/>
        <w:t>A szakmagyakorlási jogosultságokhoz szükséges képesítési követelmények, szakmai gyakorlati idők, továbbá feladatok, amelyeket az adott szakterületi jogosultsággal lehet végezni</w:t>
      </w:r>
    </w:p>
    <w:p w:rsidR="005A7E08" w:rsidRDefault="005A7E08" w:rsidP="005A7E08">
      <w:pPr>
        <w:widowControl w:val="0"/>
        <w:autoSpaceDE w:val="0"/>
        <w:autoSpaceDN w:val="0"/>
        <w:adjustRightInd w:val="0"/>
        <w:spacing w:before="240"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I. Tervezés</w:t>
      </w:r>
    </w:p>
    <w:p w:rsidR="005A7E08" w:rsidRDefault="005A7E08" w:rsidP="005A7E08">
      <w:pPr>
        <w:widowControl w:val="0"/>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 rész</w:t>
      </w:r>
    </w:p>
    <w:p w:rsidR="005A7E08" w:rsidRDefault="005A7E08" w:rsidP="005A7E08">
      <w:pPr>
        <w:widowControl w:val="0"/>
        <w:autoSpaceDE w:val="0"/>
        <w:autoSpaceDN w:val="0"/>
        <w:adjustRightInd w:val="0"/>
        <w:spacing w:after="240" w:line="240" w:lineRule="auto"/>
        <w:jc w:val="center"/>
        <w:rPr>
          <w:rFonts w:ascii="Times New Roman" w:hAnsi="Times New Roman" w:cs="Times New Roman"/>
          <w:b/>
          <w:bCs/>
          <w:sz w:val="24"/>
          <w:szCs w:val="24"/>
        </w:rPr>
      </w:pPr>
      <w:r>
        <w:rPr>
          <w:rFonts w:ascii="Times New Roman" w:hAnsi="Times New Roman" w:cs="Times New Roman"/>
          <w:b/>
          <w:bCs/>
          <w:sz w:val="24"/>
          <w:szCs w:val="24"/>
        </w:rPr>
        <w:t>Településrendezési tervezés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08"/>
        <w:gridCol w:w="1710"/>
        <w:gridCol w:w="2248"/>
        <w:gridCol w:w="1439"/>
        <w:gridCol w:w="5605"/>
        <w:gridCol w:w="2648"/>
        <w:gridCol w:w="968"/>
      </w:tblGrid>
      <w:tr w:rsidR="005A7E08">
        <w:tblPrEx>
          <w:tblCellMar>
            <w:top w:w="0" w:type="dxa"/>
            <w:bottom w:w="0" w:type="dxa"/>
          </w:tblCellMar>
        </w:tblPrEx>
        <w:tc>
          <w:tcPr>
            <w:tcW w:w="408"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171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24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43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5605"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264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p>
        </w:tc>
        <w:tc>
          <w:tcPr>
            <w:tcW w:w="96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w:t>
            </w:r>
          </w:p>
        </w:tc>
      </w:tr>
      <w:tr w:rsidR="005A7E08">
        <w:tblPrEx>
          <w:tblCellMar>
            <w:top w:w="0" w:type="dxa"/>
            <w:bottom w:w="0" w:type="dxa"/>
          </w:tblCellMar>
        </w:tblPrEx>
        <w:tc>
          <w:tcPr>
            <w:tcW w:w="4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w:t>
            </w:r>
          </w:p>
        </w:tc>
        <w:tc>
          <w:tcPr>
            <w:tcW w:w="171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Szakmagyakorlási 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224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43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5605"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64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c>
          <w:tcPr>
            <w:tcW w:w="96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gyak. idő</w:t>
            </w:r>
          </w:p>
        </w:tc>
      </w:tr>
      <w:tr w:rsidR="005A7E08">
        <w:tblPrEx>
          <w:tblCellMar>
            <w:top w:w="0" w:type="dxa"/>
            <w:bottom w:w="0" w:type="dxa"/>
          </w:tblCellMar>
        </w:tblPrEx>
        <w:trPr>
          <w:trHeight w:val="561"/>
        </w:trPr>
        <w:tc>
          <w:tcPr>
            <w:tcW w:w="40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w:t>
            </w:r>
          </w:p>
        </w:tc>
        <w:tc>
          <w:tcPr>
            <w:tcW w:w="17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Településtervezési terület</w:t>
            </w:r>
          </w:p>
        </w:tc>
        <w:tc>
          <w:tcPr>
            <w:tcW w:w="2248"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Településtervezési szakterület </w:t>
            </w:r>
          </w:p>
        </w:tc>
        <w:tc>
          <w:tcPr>
            <w:tcW w:w="143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TT</w:t>
            </w:r>
          </w:p>
        </w:tc>
        <w:tc>
          <w:tcPr>
            <w:tcW w:w="5605"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Településrendezési eszköz (megalapozó vizsgálat, alátámasztó javaslat és jóváhagyandó munkarészek), településfejlesztési koncepció településszerkezeti tervhez is felhasználható megalapozó vizsgálata, telepítési tanulmányterv, beépítési terv és örökségvédelmi hatástanulmány készítése – a tervezési feladat elvégzéséhez szükséges – településtervezési szakági tervezők bevonásával.</w:t>
            </w:r>
          </w:p>
        </w:tc>
        <w:tc>
          <w:tcPr>
            <w:tcW w:w="264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településmérnök </w:t>
            </w:r>
          </w:p>
        </w:tc>
        <w:tc>
          <w:tcPr>
            <w:tcW w:w="96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Height w:val="743"/>
        </w:trPr>
        <w:tc>
          <w:tcPr>
            <w:tcW w:w="40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w:t>
            </w:r>
          </w:p>
        </w:tc>
        <w:tc>
          <w:tcPr>
            <w:tcW w:w="1710" w:type="dxa"/>
            <w:vMerge w:val="restart"/>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Településtervezési szakági tervezési terület</w:t>
            </w:r>
          </w:p>
        </w:tc>
        <w:tc>
          <w:tcPr>
            <w:tcW w:w="2248"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Településtervezési zöldfelületi és tájrendezési szakterület</w:t>
            </w:r>
          </w:p>
        </w:tc>
        <w:tc>
          <w:tcPr>
            <w:tcW w:w="143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TK</w:t>
            </w:r>
          </w:p>
        </w:tc>
        <w:tc>
          <w:tcPr>
            <w:tcW w:w="560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Táji-, természeti adottságok, zöldfelületi rendszer vizsgálat, helyzetelemzés, értékelés; tájrendezési, zöldfelületi rendszer fejlesztési, környezeti hatások és feltételek, és a tervezési feladat elvégzéséhez szükséges szakági munkarész és javaslat készítése.</w:t>
            </w:r>
          </w:p>
        </w:tc>
        <w:tc>
          <w:tcPr>
            <w:tcW w:w="264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tájépítész mérnök</w:t>
            </w:r>
          </w:p>
        </w:tc>
        <w:tc>
          <w:tcPr>
            <w:tcW w:w="96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Pr>
        <w:tc>
          <w:tcPr>
            <w:tcW w:w="40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w:t>
            </w:r>
          </w:p>
        </w:tc>
        <w:tc>
          <w:tcPr>
            <w:tcW w:w="1710"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248"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Településtervezési közlekedési szakterület</w:t>
            </w:r>
          </w:p>
        </w:tc>
        <w:tc>
          <w:tcPr>
            <w:tcW w:w="143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TKö</w:t>
            </w:r>
          </w:p>
        </w:tc>
        <w:tc>
          <w:tcPr>
            <w:tcW w:w="560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vizsgálat, helyzetelemzés, értékelés, közlekedési és a tervezési feladat elvégzéséhez szükséges szakági munkarész és javaslat készítése.</w:t>
            </w:r>
          </w:p>
        </w:tc>
        <w:tc>
          <w:tcPr>
            <w:tcW w:w="264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közlekedés-építőmérnök,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közlekedésmérnök </w:t>
            </w:r>
          </w:p>
        </w:tc>
        <w:tc>
          <w:tcPr>
            <w:tcW w:w="96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Pr>
        <w:tc>
          <w:tcPr>
            <w:tcW w:w="40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w:t>
            </w:r>
          </w:p>
        </w:tc>
        <w:tc>
          <w:tcPr>
            <w:tcW w:w="1710"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248"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Településtervezési vízközmű szakterület</w:t>
            </w:r>
          </w:p>
        </w:tc>
        <w:tc>
          <w:tcPr>
            <w:tcW w:w="143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TV</w:t>
            </w:r>
          </w:p>
        </w:tc>
        <w:tc>
          <w:tcPr>
            <w:tcW w:w="560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Víziközmű vizsgálat, helyzetelemzés, értékelés, víziközmű, és a tervezési feladat elvégzéséhez szükséges szakági munkarész és javaslat készítése.</w:t>
            </w:r>
          </w:p>
        </w:tc>
        <w:tc>
          <w:tcPr>
            <w:tcW w:w="264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építőmérnök</w:t>
            </w:r>
          </w:p>
        </w:tc>
        <w:tc>
          <w:tcPr>
            <w:tcW w:w="96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Pr>
        <w:tc>
          <w:tcPr>
            <w:tcW w:w="40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w:t>
            </w:r>
          </w:p>
        </w:tc>
        <w:tc>
          <w:tcPr>
            <w:tcW w:w="1710"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248"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Településtervezési energia-közmű szakterület</w:t>
            </w:r>
          </w:p>
        </w:tc>
        <w:tc>
          <w:tcPr>
            <w:tcW w:w="143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TE</w:t>
            </w:r>
          </w:p>
        </w:tc>
        <w:tc>
          <w:tcPr>
            <w:tcW w:w="560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Energiagazdálkodás, energiaellátás és megújuló energiaforrás alkalmazás vizsgálata, helyzetelemzés, értékelés, energiaellátási és a tervezési feladat elvégzéséhez szükséges szakági munkarész és javaslat készítése.</w:t>
            </w:r>
          </w:p>
        </w:tc>
        <w:tc>
          <w:tcPr>
            <w:tcW w:w="264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energetikai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gépészmérnök,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villamosmérnök</w:t>
            </w:r>
          </w:p>
        </w:tc>
        <w:tc>
          <w:tcPr>
            <w:tcW w:w="96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Pr>
        <w:tc>
          <w:tcPr>
            <w:tcW w:w="40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w:t>
            </w:r>
          </w:p>
        </w:tc>
        <w:tc>
          <w:tcPr>
            <w:tcW w:w="1710"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248"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Településtervezési hírközlési szakterület</w:t>
            </w:r>
          </w:p>
        </w:tc>
        <w:tc>
          <w:tcPr>
            <w:tcW w:w="143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TH</w:t>
            </w:r>
          </w:p>
        </w:tc>
        <w:tc>
          <w:tcPr>
            <w:tcW w:w="560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Hírközlési vizsgálat, helyzetelemzés, értékelés, hírközlési és a tervezési feladat elvégzéséhez szükséges szakági munkarész és javaslat készítése.</w:t>
            </w:r>
          </w:p>
        </w:tc>
        <w:tc>
          <w:tcPr>
            <w:tcW w:w="264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mérnök-informatikus</w:t>
            </w:r>
          </w:p>
        </w:tc>
        <w:tc>
          <w:tcPr>
            <w:tcW w:w="96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5A7E08" w:rsidRDefault="005A7E08" w:rsidP="005A7E08">
      <w:pPr>
        <w:autoSpaceDE w:val="0"/>
        <w:autoSpaceDN w:val="0"/>
        <w:adjustRightInd w:val="0"/>
        <w:spacing w:after="0" w:line="240" w:lineRule="auto"/>
        <w:rPr>
          <w:rFonts w:ascii="Times New Roman" w:hAnsi="Times New Roman" w:cs="Times New Roman"/>
          <w:sz w:val="20"/>
          <w:szCs w:val="20"/>
        </w:rPr>
        <w:sectPr w:rsidR="005A7E08">
          <w:footnotePr>
            <w:numStart w:val="63"/>
          </w:footnotePr>
          <w:pgSz w:w="16840" w:h="11907" w:orient="landscape"/>
          <w:pgMar w:top="851" w:right="1134" w:bottom="851" w:left="1134" w:header="708" w:footer="708" w:gutter="0"/>
          <w:cols w:space="708"/>
          <w:noEndnote/>
        </w:sectPr>
      </w:pPr>
    </w:p>
    <w:p w:rsidR="005A7E08" w:rsidRDefault="005A7E08" w:rsidP="005A7E08">
      <w:pPr>
        <w:widowControl w:val="0"/>
        <w:autoSpaceDE w:val="0"/>
        <w:autoSpaceDN w:val="0"/>
        <w:adjustRightInd w:val="0"/>
        <w:spacing w:before="240"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2.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0"/>
          <w:szCs w:val="20"/>
        </w:rPr>
      </w:pPr>
      <w:r>
        <w:rPr>
          <w:rFonts w:ascii="Times New Roman" w:hAnsi="Times New Roman" w:cs="Times New Roman"/>
          <w:b/>
          <w:bCs/>
          <w:sz w:val="24"/>
          <w:szCs w:val="24"/>
        </w:rPr>
        <w:t>Építészeti-műszaki tervezés</w:t>
      </w: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1701"/>
        <w:gridCol w:w="2126"/>
        <w:gridCol w:w="1417"/>
        <w:gridCol w:w="5387"/>
        <w:gridCol w:w="2551"/>
        <w:gridCol w:w="1134"/>
      </w:tblGrid>
      <w:tr w:rsidR="005A7E08">
        <w:tblPrEx>
          <w:tblCellMar>
            <w:top w:w="0" w:type="dxa"/>
            <w:bottom w:w="0" w:type="dxa"/>
          </w:tblCellMar>
        </w:tblPrEx>
        <w:trPr>
          <w:cantSplit/>
        </w:trPr>
        <w:tc>
          <w:tcPr>
            <w:tcW w:w="56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170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212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41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538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255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p>
        </w:tc>
        <w:tc>
          <w:tcPr>
            <w:tcW w:w="113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w:t>
            </w:r>
          </w:p>
        </w:tc>
      </w:tr>
      <w:tr w:rsidR="005A7E08">
        <w:tblPrEx>
          <w:tblCellMar>
            <w:top w:w="0" w:type="dxa"/>
            <w:bottom w:w="0" w:type="dxa"/>
          </w:tblCellMar>
        </w:tblPrEx>
        <w:trPr>
          <w:cantSplit/>
        </w:trPr>
        <w:tc>
          <w:tcPr>
            <w:tcW w:w="56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w:t>
            </w:r>
          </w:p>
        </w:tc>
        <w:tc>
          <w:tcPr>
            <w:tcW w:w="170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Szakmagyakorlási terület megnevezése</w:t>
            </w:r>
          </w:p>
        </w:tc>
        <w:tc>
          <w:tcPr>
            <w:tcW w:w="212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41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538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55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c>
          <w:tcPr>
            <w:tcW w:w="113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gyak. idő</w:t>
            </w:r>
          </w:p>
        </w:tc>
      </w:tr>
      <w:tr w:rsidR="005A7E08">
        <w:tblPrEx>
          <w:tblCellMar>
            <w:top w:w="0" w:type="dxa"/>
            <w:bottom w:w="0" w:type="dxa"/>
          </w:tblCellMar>
        </w:tblPrEx>
        <w:trPr>
          <w:cantSplit/>
          <w:trHeight w:val="763"/>
        </w:trPr>
        <w:tc>
          <w:tcPr>
            <w:tcW w:w="568" w:type="dxa"/>
            <w:vAlign w:val="center"/>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2.</w:t>
            </w:r>
          </w:p>
        </w:tc>
        <w:tc>
          <w:tcPr>
            <w:tcW w:w="3827" w:type="dxa"/>
            <w:gridSpan w:val="2"/>
            <w:tcBorders>
              <w:bottom w:val="nil"/>
            </w:tcBorders>
            <w:vAlign w:val="center"/>
          </w:tcPr>
          <w:p w:rsidR="005A7E08" w:rsidRDefault="005A7E0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Építészeti tervezési terület</w:t>
            </w:r>
          </w:p>
        </w:tc>
        <w:tc>
          <w:tcPr>
            <w:tcW w:w="1417" w:type="dxa"/>
            <w:vAlign w:val="center"/>
          </w:tcPr>
          <w:p w:rsidR="005A7E08" w:rsidRDefault="005A7E08">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É</w:t>
            </w:r>
          </w:p>
        </w:tc>
        <w:tc>
          <w:tcPr>
            <w:tcW w:w="5387" w:type="dxa"/>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Az általános építmények teljes körű építészeti tervezése, beleértve a helyi vagy műemléki védelem alatt álló építménnyel kapcsolatos, valamint jogszabállyal védetté nyilvánított területen (világörökség, műemléki jelentőségű területen, műemléki környezetben, tájvédelem vagy helyi védelem alatt álló területen) új építmény létesítésével és meglévő építmény tömegét megváltoztató átalakítását. </w:t>
            </w:r>
            <w:r>
              <w:rPr>
                <w:rFonts w:ascii="Times New Roman" w:hAnsi="Times New Roman" w:cs="Times New Roman"/>
                <w:sz w:val="20"/>
                <w:szCs w:val="20"/>
              </w:rPr>
              <w:br/>
              <w:t xml:space="preserve">A tervezésbe szakági műszaki tervezési területen jogosultsággal rendelkező tervezőt kell bevonni az Épkiv. 22. § (3) bekezdés </w:t>
            </w:r>
            <w:r>
              <w:rPr>
                <w:rFonts w:ascii="Times New Roman" w:hAnsi="Times New Roman" w:cs="Times New Roman"/>
                <w:i/>
                <w:iCs/>
                <w:sz w:val="20"/>
                <w:szCs w:val="20"/>
              </w:rPr>
              <w:t xml:space="preserve">b) </w:t>
            </w:r>
            <w:r>
              <w:rPr>
                <w:rFonts w:ascii="Times New Roman" w:hAnsi="Times New Roman" w:cs="Times New Roman"/>
                <w:sz w:val="20"/>
                <w:szCs w:val="20"/>
              </w:rPr>
              <w:t xml:space="preserve">pontja, 22. § (4) bekezdés </w:t>
            </w:r>
            <w:r>
              <w:rPr>
                <w:rFonts w:ascii="Times New Roman" w:hAnsi="Times New Roman" w:cs="Times New Roman"/>
                <w:sz w:val="20"/>
                <w:szCs w:val="20"/>
              </w:rPr>
              <w:br/>
            </w:r>
            <w:r>
              <w:rPr>
                <w:rFonts w:ascii="Times New Roman" w:hAnsi="Times New Roman" w:cs="Times New Roman"/>
                <w:i/>
                <w:iCs/>
                <w:sz w:val="20"/>
                <w:szCs w:val="20"/>
              </w:rPr>
              <w:t xml:space="preserve">a)-c) </w:t>
            </w:r>
            <w:r>
              <w:rPr>
                <w:rFonts w:ascii="Times New Roman" w:hAnsi="Times New Roman" w:cs="Times New Roman"/>
                <w:sz w:val="20"/>
                <w:szCs w:val="20"/>
              </w:rPr>
              <w:t xml:space="preserve">pontjában meghatározott méretet, jellemzőt meghaladó esetben. </w:t>
            </w:r>
            <w:r>
              <w:rPr>
                <w:rFonts w:ascii="Times New Roman" w:hAnsi="Times New Roman" w:cs="Times New Roman"/>
                <w:sz w:val="20"/>
                <w:szCs w:val="20"/>
              </w:rPr>
              <w:br/>
              <w:t xml:space="preserve">Telepítési tanulmányterv (településrendezési eszköz készítése vagy módosítása esetén településtervező, szükség szerint szakági településtervező bevonásával), továbbá beépítési terv és örökségvédelmi hatástanulmány készítése. </w:t>
            </w:r>
            <w:r>
              <w:rPr>
                <w:rFonts w:ascii="Times New Roman" w:hAnsi="Times New Roman" w:cs="Times New Roman"/>
                <w:sz w:val="20"/>
                <w:szCs w:val="20"/>
              </w:rPr>
              <w:br/>
              <w:t>A saját tervezésű építmény teljes körű belsőépítészeti tervezése.</w:t>
            </w:r>
          </w:p>
        </w:tc>
        <w:tc>
          <w:tcPr>
            <w:tcW w:w="2551" w:type="dxa"/>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okleveles építész-mérnök</w:t>
            </w:r>
          </w:p>
        </w:tc>
        <w:tc>
          <w:tcPr>
            <w:tcW w:w="1134" w:type="dxa"/>
          </w:tcPr>
          <w:p w:rsidR="005A7E08" w:rsidRDefault="005A7E08">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2 év</w:t>
            </w:r>
          </w:p>
        </w:tc>
      </w:tr>
      <w:tr w:rsidR="005A7E08">
        <w:tblPrEx>
          <w:tblCellMar>
            <w:top w:w="0" w:type="dxa"/>
            <w:bottom w:w="0" w:type="dxa"/>
          </w:tblCellMar>
        </w:tblPrEx>
        <w:trPr>
          <w:cantSplit/>
          <w:trHeight w:val="763"/>
        </w:trPr>
        <w:tc>
          <w:tcPr>
            <w:tcW w:w="568" w:type="dxa"/>
            <w:vAlign w:val="center"/>
          </w:tcPr>
          <w:p w:rsidR="005A7E08" w:rsidRDefault="005A7E08">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3.</w:t>
            </w:r>
          </w:p>
        </w:tc>
        <w:tc>
          <w:tcPr>
            <w:tcW w:w="1701" w:type="dxa"/>
            <w:tcBorders>
              <w:top w:val="nil"/>
              <w:bottom w:val="nil"/>
            </w:tcBorders>
            <w:vAlign w:val="center"/>
          </w:tcPr>
          <w:p w:rsidR="005A7E08" w:rsidRDefault="005A7E0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126" w:type="dxa"/>
            <w:vAlign w:val="center"/>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Belsőépítészeti tervezési szakterület</w:t>
            </w:r>
          </w:p>
        </w:tc>
        <w:tc>
          <w:tcPr>
            <w:tcW w:w="1417" w:type="dxa"/>
            <w:vAlign w:val="center"/>
          </w:tcPr>
          <w:p w:rsidR="005A7E08" w:rsidRDefault="005A7E08">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BÉ</w:t>
            </w:r>
          </w:p>
        </w:tc>
        <w:tc>
          <w:tcPr>
            <w:tcW w:w="5387" w:type="dxa"/>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Építmények teljes körű belsőépítészeti tervezése. </w:t>
            </w:r>
            <w:r>
              <w:rPr>
                <w:rFonts w:ascii="Times New Roman" w:hAnsi="Times New Roman" w:cs="Times New Roman"/>
                <w:sz w:val="20"/>
                <w:szCs w:val="20"/>
              </w:rPr>
              <w:br/>
              <w:t>Külön jogszabály szerinti belsőépítészeti terv készítése.</w:t>
            </w:r>
          </w:p>
        </w:tc>
        <w:tc>
          <w:tcPr>
            <w:tcW w:w="2551" w:type="dxa"/>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okleveles építész tervező </w:t>
            </w:r>
            <w:r>
              <w:rPr>
                <w:rFonts w:ascii="Times New Roman" w:hAnsi="Times New Roman" w:cs="Times New Roman"/>
                <w:sz w:val="20"/>
                <w:szCs w:val="20"/>
              </w:rPr>
              <w:br/>
              <w:t xml:space="preserve">művész, </w:t>
            </w:r>
            <w:r>
              <w:rPr>
                <w:rFonts w:ascii="Times New Roman" w:hAnsi="Times New Roman" w:cs="Times New Roman"/>
                <w:sz w:val="20"/>
                <w:szCs w:val="20"/>
              </w:rPr>
              <w:br/>
              <w:t>okleveles belsőépítész környezet-</w:t>
            </w:r>
            <w:r>
              <w:rPr>
                <w:rFonts w:ascii="Times New Roman" w:hAnsi="Times New Roman" w:cs="Times New Roman"/>
                <w:sz w:val="20"/>
                <w:szCs w:val="20"/>
              </w:rPr>
              <w:br/>
              <w:t>tervező művész</w:t>
            </w:r>
          </w:p>
        </w:tc>
        <w:tc>
          <w:tcPr>
            <w:tcW w:w="1134" w:type="dxa"/>
          </w:tcPr>
          <w:p w:rsidR="005A7E08" w:rsidRDefault="005A7E08">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2 év</w:t>
            </w:r>
          </w:p>
        </w:tc>
      </w:tr>
      <w:tr w:rsidR="005A7E08">
        <w:tblPrEx>
          <w:tblCellMar>
            <w:top w:w="0" w:type="dxa"/>
            <w:bottom w:w="0" w:type="dxa"/>
          </w:tblCellMar>
        </w:tblPrEx>
        <w:trPr>
          <w:cantSplit/>
          <w:trHeight w:val="763"/>
        </w:trPr>
        <w:tc>
          <w:tcPr>
            <w:tcW w:w="568" w:type="dxa"/>
            <w:vAlign w:val="center"/>
          </w:tcPr>
          <w:p w:rsidR="005A7E08" w:rsidRDefault="005A7E08">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4.</w:t>
            </w:r>
          </w:p>
        </w:tc>
        <w:tc>
          <w:tcPr>
            <w:tcW w:w="1701" w:type="dxa"/>
            <w:tcBorders>
              <w:top w:val="nil"/>
            </w:tcBorders>
            <w:vAlign w:val="center"/>
          </w:tcPr>
          <w:p w:rsidR="005A7E08" w:rsidRDefault="005A7E0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 </w:t>
            </w:r>
          </w:p>
        </w:tc>
        <w:tc>
          <w:tcPr>
            <w:tcW w:w="2126" w:type="dxa"/>
            <w:vAlign w:val="center"/>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Kertépítészeti műtárgy tervezési szakterület</w:t>
            </w:r>
          </w:p>
        </w:tc>
        <w:tc>
          <w:tcPr>
            <w:tcW w:w="1417" w:type="dxa"/>
            <w:vAlign w:val="center"/>
          </w:tcPr>
          <w:p w:rsidR="005A7E08" w:rsidRDefault="005A7E08">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ÉKM</w:t>
            </w:r>
          </w:p>
        </w:tc>
        <w:tc>
          <w:tcPr>
            <w:tcW w:w="5387" w:type="dxa"/>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Tartószerkezeti szakági tervező bevonásával 4,5 m-nél magasabb kerti építmény, 1,0 m-nél magasabb támfal, úszómedence szerkezete, 2,0 m-nél magasabb tömör kerítés, 45 foknál meredekebb terep rendezése.</w:t>
            </w:r>
          </w:p>
        </w:tc>
        <w:tc>
          <w:tcPr>
            <w:tcW w:w="2551" w:type="dxa"/>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sz w:val="20"/>
                <w:szCs w:val="20"/>
              </w:rPr>
              <w:t xml:space="preserve">táj- és kertépítészeti szakon </w:t>
            </w:r>
            <w:r>
              <w:rPr>
                <w:rFonts w:ascii="Times New Roman" w:hAnsi="Times New Roman" w:cs="Times New Roman"/>
                <w:sz w:val="20"/>
                <w:szCs w:val="20"/>
              </w:rPr>
              <w:br/>
              <w:t xml:space="preserve">végzett okleveles kertészmérnök, </w:t>
            </w:r>
            <w:r>
              <w:rPr>
                <w:rFonts w:ascii="Times New Roman" w:hAnsi="Times New Roman" w:cs="Times New Roman"/>
                <w:sz w:val="20"/>
                <w:szCs w:val="20"/>
              </w:rPr>
              <w:br/>
              <w:t>okleveles tájépítész mérnök, okleveles tájépítész</w:t>
            </w:r>
          </w:p>
        </w:tc>
        <w:tc>
          <w:tcPr>
            <w:tcW w:w="1134" w:type="dxa"/>
          </w:tcPr>
          <w:p w:rsidR="005A7E08" w:rsidRDefault="005A7E08">
            <w:pPr>
              <w:autoSpaceDE w:val="0"/>
              <w:autoSpaceDN w:val="0"/>
              <w:adjustRightInd w:val="0"/>
              <w:spacing w:after="0" w:line="240" w:lineRule="auto"/>
              <w:ind w:left="56" w:right="56"/>
              <w:jc w:val="center"/>
              <w:rPr>
                <w:rFonts w:ascii="Times New Roman" w:hAnsi="Times New Roman" w:cs="Times New Roman"/>
                <w:sz w:val="20"/>
                <w:szCs w:val="20"/>
              </w:rPr>
            </w:pPr>
            <w:r>
              <w:rPr>
                <w:rFonts w:ascii="Times New Roman" w:hAnsi="Times New Roman" w:cs="Times New Roman"/>
                <w:sz w:val="20"/>
                <w:szCs w:val="20"/>
              </w:rPr>
              <w:t xml:space="preserve"> 2 év</w:t>
            </w:r>
          </w:p>
        </w:tc>
      </w:tr>
      <w:tr w:rsidR="005A7E08">
        <w:tblPrEx>
          <w:tblCellMar>
            <w:top w:w="0" w:type="dxa"/>
            <w:bottom w:w="0" w:type="dxa"/>
          </w:tblCellMar>
        </w:tblPrEx>
        <w:trPr>
          <w:cantSplit/>
          <w:trHeight w:val="763"/>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5.</w:t>
            </w:r>
          </w:p>
        </w:tc>
        <w:tc>
          <w:tcPr>
            <w:tcW w:w="3827" w:type="dxa"/>
            <w:gridSpan w:val="2"/>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Táj- és kertépítészeti tervezési 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K</w:t>
            </w: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Terep és zöldfelületek kertépítészeti kialakításának a tervezése (a belső út és burkolatrendszerrel együtt); kertépítészeti, növénytelepítési, valamint önálló táj- és kertépítészeti tervek készítése (közpark, közkert, köztér, történeti kert stb.), továbbá a kertépítészeti műtárgy tervezési szakterületnél (ÉKM) meghatározott feladatok. Telepítési tanulmányterv, beépítési terv zöldfelület alakítási munkarészeinek elkészítése, valamint ha jogszabály táj- és természetvédelmi szakhatósági közreműködést ír elő, az ehhez szükséges jogszabályban meghatározott dokumentáció elkészítése.</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táj-és kertépítészeti szakon végzett okleveles kertészmérnök,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tájépítész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tájépítész</w:t>
            </w: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 év</w:t>
            </w:r>
          </w:p>
        </w:tc>
      </w:tr>
      <w:tr w:rsidR="005A7E08">
        <w:tblPrEx>
          <w:tblCellMar>
            <w:top w:w="0" w:type="dxa"/>
            <w:bottom w:w="0" w:type="dxa"/>
          </w:tblCellMar>
        </w:tblPrEx>
        <w:trPr>
          <w:cantSplit/>
          <w:trHeight w:val="763"/>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3827" w:type="dxa"/>
            <w:gridSpan w:val="2"/>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6.</w:t>
            </w:r>
          </w:p>
        </w:tc>
        <w:tc>
          <w:tcPr>
            <w:tcW w:w="1701" w:type="dxa"/>
            <w:tcBorders>
              <w:top w:val="single" w:sz="4" w:space="0" w:color="auto"/>
              <w:left w:val="single" w:sz="4" w:space="0" w:color="auto"/>
              <w:bottom w:val="nil"/>
              <w:right w:val="single" w:sz="4" w:space="0" w:color="auto"/>
            </w:tcBorders>
          </w:tcPr>
          <w:p w:rsidR="005A7E08" w:rsidRDefault="005A7E08">
            <w:pPr>
              <w:autoSpaceDE w:val="0"/>
              <w:autoSpaceDN w:val="0"/>
              <w:adjustRightInd w:val="0"/>
              <w:spacing w:before="40" w:after="0" w:line="240" w:lineRule="auto"/>
              <w:ind w:left="283"/>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b/>
                <w:bCs/>
                <w:sz w:val="18"/>
                <w:szCs w:val="18"/>
              </w:rPr>
            </w:pPr>
            <w:r>
              <w:rPr>
                <w:rFonts w:ascii="Times New Roman" w:hAnsi="Times New Roman" w:cs="Times New Roman"/>
                <w:b/>
                <w:bCs/>
                <w:sz w:val="18"/>
                <w:szCs w:val="18"/>
              </w:rPr>
              <w:t>Közlekedési építmények tervezési 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 xml:space="preserve"> KÉ</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right="56"/>
              <w:rPr>
                <w:rFonts w:ascii="Times New Roman" w:hAnsi="Times New Roman" w:cs="Times New Roman"/>
                <w:sz w:val="18"/>
                <w:szCs w:val="18"/>
              </w:rPr>
            </w:pPr>
            <w:r>
              <w:rPr>
                <w:rFonts w:ascii="Times New Roman" w:hAnsi="Times New Roman" w:cs="Times New Roman"/>
                <w:sz w:val="18"/>
                <w:szCs w:val="18"/>
              </w:rPr>
              <w:t xml:space="preserve"> részszakterület szerint</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részszakterület szerint</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283"/>
              <w:rPr>
                <w:rFonts w:ascii="Times New Roman" w:hAnsi="Times New Roman" w:cs="Times New Roman"/>
                <w:sz w:val="18"/>
                <w:szCs w:val="18"/>
              </w:rPr>
            </w:pPr>
            <w:r>
              <w:rPr>
                <w:rFonts w:ascii="Times New Roman" w:hAnsi="Times New Roman" w:cs="Times New Roman"/>
                <w:sz w:val="18"/>
                <w:szCs w:val="18"/>
              </w:rPr>
              <w:t xml:space="preserve"> </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7.</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Sajátos műszaki tervezési terület</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Közlekedési építmények tervezési szakterület vasúti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b/>
                <w:bCs/>
                <w:sz w:val="18"/>
                <w:szCs w:val="18"/>
              </w:rPr>
            </w:pPr>
            <w:r>
              <w:rPr>
                <w:rFonts w:ascii="Times New Roman" w:hAnsi="Times New Roman" w:cs="Times New Roman"/>
                <w:sz w:val="18"/>
                <w:szCs w:val="18"/>
              </w:rPr>
              <w:t xml:space="preserve"> </w:t>
            </w:r>
            <w:r>
              <w:rPr>
                <w:rFonts w:ascii="Times New Roman" w:hAnsi="Times New Roman" w:cs="Times New Roman"/>
                <w:b/>
                <w:bCs/>
                <w:sz w:val="18"/>
                <w:szCs w:val="18"/>
              </w:rPr>
              <w:t>KÉ-VA</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Országos közforgalmú, helyi és saját használatú vasutak, iparvágányok, városi közúti vasutak, földalatti vasutak pályatervezése. Vasúti felépítmény-szerkezetek tervezése. Vasúti műtárgy tervezés 2,0 m nyílásig. Üzemi létesítmények (rendezők, rakodók, átfejtők, tárolók) és a vasúti üzem tervezése. Közúti és gyalogos, kerékpáros átvezetések tervezése. Közlekedési eszközök pályáinak (fogaskerekű vasút, sikló, függőpálya, beleértve a bányászati függőpályát is), sífelvonó-, külszíni bányászati kisvasút- és szalagpálya tervezése. Kivéve az erdőről, az erdő védelméről és az erdőgazdálkodásról szóló 2009. évi XXXVII. törvény szerinti erdészeti szállítópálya egyéb elemei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közlekedés - </w:t>
            </w:r>
            <w:r>
              <w:rPr>
                <w:rFonts w:ascii="Times New Roman" w:hAnsi="Times New Roman" w:cs="Times New Roman"/>
                <w:sz w:val="18"/>
                <w:szCs w:val="18"/>
              </w:rPr>
              <w:br/>
              <w:t xml:space="preserve">építőmérnök, </w:t>
            </w:r>
            <w:r>
              <w:rPr>
                <w:rFonts w:ascii="Times New Roman" w:hAnsi="Times New Roman" w:cs="Times New Roman"/>
                <w:sz w:val="18"/>
                <w:szCs w:val="18"/>
              </w:rPr>
              <w:br/>
              <w:t xml:space="preserve"> </w:t>
            </w:r>
            <w:r>
              <w:rPr>
                <w:rFonts w:ascii="Times New Roman" w:hAnsi="Times New Roman" w:cs="Times New Roman"/>
                <w:sz w:val="18"/>
                <w:szCs w:val="18"/>
              </w:rPr>
              <w:br/>
              <w:t>közlekedés-építőmérnök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3 év </w:t>
            </w:r>
            <w:r>
              <w:rPr>
                <w:rFonts w:ascii="Times New Roman" w:hAnsi="Times New Roman" w:cs="Times New Roman"/>
                <w:sz w:val="18"/>
                <w:szCs w:val="18"/>
              </w:rPr>
              <w:br/>
              <w:t xml:space="preserve"> </w:t>
            </w:r>
            <w:r>
              <w:rPr>
                <w:rFonts w:ascii="Times New Roman" w:hAnsi="Times New Roman" w:cs="Times New Roman"/>
                <w:sz w:val="18"/>
                <w:szCs w:val="18"/>
              </w:rPr>
              <w:br/>
              <w:t xml:space="preserve"> </w:t>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7/A.</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color w:val="000000"/>
                <w:sz w:val="18"/>
                <w:szCs w:val="18"/>
              </w:rPr>
              <w:t>Közlekedési építmények tervezési szakterület vasúti építmények közlekedésmérnöki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KÉ-VK</w:t>
            </w:r>
          </w:p>
        </w:tc>
        <w:tc>
          <w:tcPr>
            <w:tcW w:w="5387" w:type="dxa"/>
            <w:tcBorders>
              <w:top w:val="single" w:sz="4" w:space="0" w:color="auto"/>
              <w:left w:val="single" w:sz="4" w:space="0" w:color="auto"/>
              <w:bottom w:val="single" w:sz="4" w:space="0" w:color="auto"/>
              <w:right w:val="single" w:sz="4" w:space="0" w:color="auto"/>
            </w:tcBorders>
            <w:vAlign w:val="center"/>
          </w:tcPr>
          <w:p w:rsidR="005A7E08" w:rsidRDefault="005A7E08">
            <w:pPr>
              <w:autoSpaceDE w:val="0"/>
              <w:autoSpaceDN w:val="0"/>
              <w:adjustRightInd w:val="0"/>
              <w:spacing w:before="40" w:after="0" w:line="240" w:lineRule="auto"/>
              <w:ind w:left="57" w:right="57"/>
              <w:rPr>
                <w:rFonts w:ascii="Times New Roman" w:hAnsi="Times New Roman" w:cs="Times New Roman"/>
                <w:sz w:val="18"/>
                <w:szCs w:val="18"/>
              </w:rPr>
            </w:pPr>
            <w:r>
              <w:rPr>
                <w:rFonts w:ascii="Times New Roman" w:hAnsi="Times New Roman" w:cs="Times New Roman"/>
                <w:sz w:val="18"/>
                <w:szCs w:val="18"/>
              </w:rPr>
              <w:t>Vasúti felépítmény-szerkezetek tervezése. Üzemi létesítmények (rendezők, rakodók, átfejtők, tárolók) és a vasúti üzem tervezése.</w:t>
            </w:r>
          </w:p>
          <w:p w:rsidR="005A7E08" w:rsidRDefault="005A7E08">
            <w:pPr>
              <w:autoSpaceDE w:val="0"/>
              <w:autoSpaceDN w:val="0"/>
              <w:adjustRightInd w:val="0"/>
              <w:spacing w:before="40" w:after="0" w:line="240" w:lineRule="auto"/>
              <w:ind w:left="57" w:right="57"/>
              <w:rPr>
                <w:rFonts w:ascii="Times New Roman" w:hAnsi="Times New Roman" w:cs="Times New Roman"/>
                <w:sz w:val="18"/>
                <w:szCs w:val="18"/>
              </w:rPr>
            </w:pPr>
            <w:r>
              <w:rPr>
                <w:rFonts w:ascii="Times New Roman" w:hAnsi="Times New Roman" w:cs="Times New Roman"/>
                <w:sz w:val="18"/>
                <w:szCs w:val="18"/>
              </w:rPr>
              <w:t>Különleges közlekedési eszközök (fogaskerekű vasút, sikló, függőpálya, beleértve a bányászati függőpályát is, sífelvonó-, külszíni bányászati kisvasút- és szalagpálya) telepítésének, üzemének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okleveles közlekedésmérnök,</w:t>
            </w:r>
            <w:r>
              <w:rPr>
                <w:rFonts w:ascii="Times New Roman" w:hAnsi="Times New Roman" w:cs="Times New Roman"/>
                <w:sz w:val="18"/>
                <w:szCs w:val="18"/>
              </w:rPr>
              <w:br/>
            </w:r>
            <w:r>
              <w:rPr>
                <w:rFonts w:ascii="Times New Roman" w:hAnsi="Times New Roman" w:cs="Times New Roman"/>
                <w:sz w:val="18"/>
                <w:szCs w:val="18"/>
              </w:rPr>
              <w:br/>
              <w:t>közlekedésmérnök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right="57"/>
              <w:rPr>
                <w:rFonts w:ascii="Times New Roman" w:hAnsi="Times New Roman" w:cs="Times New Roman"/>
                <w:sz w:val="18"/>
                <w:szCs w:val="18"/>
              </w:rPr>
            </w:pPr>
            <w:r>
              <w:rPr>
                <w:rFonts w:ascii="Times New Roman" w:hAnsi="Times New Roman" w:cs="Times New Roman"/>
                <w:sz w:val="18"/>
                <w:szCs w:val="18"/>
              </w:rPr>
              <w:t>3 év</w:t>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7/B.</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color w:val="000000"/>
                <w:sz w:val="18"/>
                <w:szCs w:val="18"/>
              </w:rPr>
              <w:t>Közlekedési építmények   tervezési szakterület, vasúti villamos berendezések, áramellátás,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KÉ-VV</w:t>
            </w:r>
          </w:p>
        </w:tc>
        <w:tc>
          <w:tcPr>
            <w:tcW w:w="5387" w:type="dxa"/>
            <w:tcBorders>
              <w:top w:val="single" w:sz="4" w:space="0" w:color="auto"/>
              <w:left w:val="single" w:sz="4" w:space="0" w:color="auto"/>
              <w:bottom w:val="single" w:sz="4" w:space="0" w:color="auto"/>
              <w:right w:val="single" w:sz="4" w:space="0" w:color="auto"/>
            </w:tcBorders>
            <w:vAlign w:val="center"/>
          </w:tcPr>
          <w:p w:rsidR="005A7E08" w:rsidRDefault="005A7E08">
            <w:pPr>
              <w:autoSpaceDE w:val="0"/>
              <w:autoSpaceDN w:val="0"/>
              <w:adjustRightInd w:val="0"/>
              <w:spacing w:before="40" w:after="0" w:line="240" w:lineRule="auto"/>
              <w:ind w:left="57" w:right="57"/>
              <w:rPr>
                <w:rFonts w:ascii="Times New Roman" w:hAnsi="Times New Roman" w:cs="Times New Roman"/>
                <w:sz w:val="18"/>
                <w:szCs w:val="18"/>
              </w:rPr>
            </w:pPr>
            <w:r>
              <w:rPr>
                <w:rFonts w:ascii="Times New Roman" w:hAnsi="Times New Roman" w:cs="Times New Roman"/>
                <w:sz w:val="18"/>
                <w:szCs w:val="18"/>
              </w:rPr>
              <w:t>Vasúti pálya tartozékainak minősülő építmények közül a vasúti térvilágító berendezések, a vasúti jelző-  és biztosító berendezések, villamos felsővezeték és az ehhez kapcsolt berendezés , valamint a távvezérlő és forgalomirányító rendszerek, áramellátás, vasúti vontatási energiaellátó (alállomás) és energia-távvezérlő rendszerek, váltófűtő rendszerek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okleveles közlekedésmérnök,</w:t>
            </w:r>
            <w:r>
              <w:rPr>
                <w:rFonts w:ascii="Times New Roman" w:hAnsi="Times New Roman" w:cs="Times New Roman"/>
                <w:sz w:val="18"/>
                <w:szCs w:val="18"/>
              </w:rPr>
              <w:br/>
              <w:t>okleveles villamosmérnök, okleveles gépészmérnök,</w:t>
            </w:r>
            <w:r>
              <w:rPr>
                <w:rFonts w:ascii="Times New Roman" w:hAnsi="Times New Roman" w:cs="Times New Roman"/>
                <w:sz w:val="18"/>
                <w:szCs w:val="18"/>
              </w:rPr>
              <w:br/>
            </w:r>
            <w:r>
              <w:rPr>
                <w:rFonts w:ascii="Times New Roman" w:hAnsi="Times New Roman" w:cs="Times New Roman"/>
                <w:sz w:val="18"/>
                <w:szCs w:val="18"/>
              </w:rPr>
              <w:br/>
              <w:t>közlekedésmérnök, villamosmérnök, gépészmérnök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240" w:after="0" w:line="240" w:lineRule="auto"/>
              <w:ind w:left="56" w:right="56"/>
              <w:rPr>
                <w:rFonts w:ascii="Times New Roman" w:hAnsi="Times New Roman" w:cs="Times New Roman"/>
                <w:sz w:val="18"/>
                <w:szCs w:val="18"/>
              </w:rPr>
            </w:pPr>
            <w:r>
              <w:rPr>
                <w:rFonts w:ascii="Times New Roman" w:hAnsi="Times New Roman" w:cs="Times New Roman"/>
                <w:sz w:val="18"/>
                <w:szCs w:val="18"/>
              </w:rPr>
              <w:t>3 év</w:t>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t>5 év</w:t>
            </w:r>
            <w:r>
              <w:rPr>
                <w:rFonts w:ascii="Times New Roman" w:hAnsi="Times New Roman" w:cs="Times New Roman"/>
                <w:sz w:val="18"/>
                <w:szCs w:val="18"/>
              </w:rPr>
              <w:br/>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8.</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Közlekedési építmények tervezési szakterület közúti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KÉ-K</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Közút, út, (kerékpárút, gyalogút, térburkolat) - beleértve azok csomópontjait, vízelvezetését, berendezéseit, tartozékait és üzemi létesítményeit - tervezése. Közúti műtárgyak tervezése, 4 m nyílásig. Valamennyi közút forgalom szabályozásának, forgalomirányításának tervezése. Közúti alagút rendszertervének tervezése. Támfal tervezése 2,0 m magasságig. Kivéve az erdőről, az erdő védelméről és az erdőgazdálkodásról szóló 2009. évi XXXVII. törvény szerinti erdészeti magánút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közlekedés- építőmérnök, </w:t>
            </w:r>
            <w:r>
              <w:rPr>
                <w:rFonts w:ascii="Times New Roman" w:hAnsi="Times New Roman" w:cs="Times New Roman"/>
                <w:sz w:val="18"/>
                <w:szCs w:val="18"/>
              </w:rPr>
              <w:br/>
              <w:t xml:space="preserve"> </w:t>
            </w:r>
            <w:r>
              <w:rPr>
                <w:rFonts w:ascii="Times New Roman" w:hAnsi="Times New Roman" w:cs="Times New Roman"/>
                <w:sz w:val="18"/>
                <w:szCs w:val="18"/>
              </w:rPr>
              <w:br/>
              <w:t>közlekedés-építőmérnök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3 év </w:t>
            </w:r>
            <w:r>
              <w:rPr>
                <w:rFonts w:ascii="Times New Roman" w:hAnsi="Times New Roman" w:cs="Times New Roman"/>
                <w:sz w:val="18"/>
                <w:szCs w:val="18"/>
              </w:rPr>
              <w:br/>
              <w:t xml:space="preserve"> </w:t>
            </w:r>
            <w:r>
              <w:rPr>
                <w:rFonts w:ascii="Times New Roman" w:hAnsi="Times New Roman" w:cs="Times New Roman"/>
                <w:sz w:val="18"/>
                <w:szCs w:val="18"/>
              </w:rPr>
              <w:br/>
              <w:t xml:space="preserve"> </w:t>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8/A.</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p>
        </w:tc>
        <w:tc>
          <w:tcPr>
            <w:tcW w:w="2126" w:type="dxa"/>
            <w:tcBorders>
              <w:top w:val="single" w:sz="4" w:space="0" w:color="auto"/>
              <w:left w:val="single" w:sz="4" w:space="0" w:color="auto"/>
              <w:bottom w:val="single" w:sz="4" w:space="0" w:color="auto"/>
              <w:right w:val="single" w:sz="4" w:space="0" w:color="auto"/>
            </w:tcBorders>
            <w:vAlign w:val="center"/>
          </w:tcPr>
          <w:p w:rsidR="005A7E08" w:rsidRDefault="005A7E08">
            <w:pPr>
              <w:autoSpaceDE w:val="0"/>
              <w:autoSpaceDN w:val="0"/>
              <w:adjustRightInd w:val="0"/>
              <w:spacing w:before="40" w:after="0" w:line="240" w:lineRule="auto"/>
              <w:ind w:left="57"/>
              <w:rPr>
                <w:rFonts w:ascii="Times New Roman" w:hAnsi="Times New Roman" w:cs="Times New Roman"/>
                <w:sz w:val="18"/>
                <w:szCs w:val="18"/>
              </w:rPr>
            </w:pPr>
            <w:r>
              <w:rPr>
                <w:rFonts w:ascii="Times New Roman" w:hAnsi="Times New Roman" w:cs="Times New Roman"/>
                <w:sz w:val="18"/>
                <w:szCs w:val="18"/>
              </w:rPr>
              <w:t>Közlekedési építmények tervezési szakterület, közúti építmények közlekedésmérnöki tervezési részszakterület</w:t>
            </w:r>
          </w:p>
        </w:tc>
        <w:tc>
          <w:tcPr>
            <w:tcW w:w="1417" w:type="dxa"/>
            <w:tcBorders>
              <w:top w:val="single" w:sz="4" w:space="0" w:color="auto"/>
              <w:left w:val="single" w:sz="4" w:space="0" w:color="auto"/>
              <w:bottom w:val="single" w:sz="4" w:space="0" w:color="auto"/>
              <w:right w:val="single" w:sz="4" w:space="0" w:color="auto"/>
            </w:tcBorders>
            <w:vAlign w:val="center"/>
          </w:tcPr>
          <w:p w:rsidR="005A7E08" w:rsidRDefault="005A7E08">
            <w:pPr>
              <w:autoSpaceDE w:val="0"/>
              <w:autoSpaceDN w:val="0"/>
              <w:adjustRightInd w:val="0"/>
              <w:spacing w:before="40" w:after="20" w:line="240" w:lineRule="auto"/>
              <w:jc w:val="center"/>
              <w:rPr>
                <w:rFonts w:ascii="Times New Roman" w:hAnsi="Times New Roman" w:cs="Times New Roman"/>
                <w:color w:val="000000"/>
                <w:sz w:val="18"/>
                <w:szCs w:val="18"/>
              </w:rPr>
            </w:pPr>
            <w:r>
              <w:rPr>
                <w:rFonts w:ascii="Times New Roman" w:hAnsi="Times New Roman" w:cs="Times New Roman"/>
                <w:sz w:val="18"/>
                <w:szCs w:val="18"/>
              </w:rPr>
              <w:t>KÉ-KK</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7"/>
              <w:rPr>
                <w:rFonts w:ascii="Times New Roman" w:hAnsi="Times New Roman" w:cs="Times New Roman"/>
                <w:sz w:val="18"/>
                <w:szCs w:val="18"/>
              </w:rPr>
            </w:pPr>
            <w:r>
              <w:rPr>
                <w:rFonts w:ascii="Times New Roman" w:hAnsi="Times New Roman" w:cs="Times New Roman"/>
                <w:sz w:val="18"/>
                <w:szCs w:val="18"/>
              </w:rPr>
              <w:t>Valamennyi közút forgalomszabályozásának, forgalomirányításának tervezése.</w:t>
            </w:r>
          </w:p>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Közúti üzemi létesítmények és működtetésük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okleveles közlekedésmérnök,</w:t>
            </w:r>
            <w:r>
              <w:rPr>
                <w:rFonts w:ascii="Times New Roman" w:hAnsi="Times New Roman" w:cs="Times New Roman"/>
                <w:sz w:val="18"/>
                <w:szCs w:val="18"/>
              </w:rPr>
              <w:br/>
            </w:r>
            <w:r>
              <w:rPr>
                <w:rFonts w:ascii="Times New Roman" w:hAnsi="Times New Roman" w:cs="Times New Roman"/>
                <w:sz w:val="18"/>
                <w:szCs w:val="18"/>
              </w:rPr>
              <w:br/>
              <w:t>közlekedésmérnök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3 év</w:t>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9.</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Közlekedési építmények tervezési szakterület légiközlekedési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KÉ-L</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Repülőtér (vízi repülőtér és helioport is) pályarendszerének műszaki tervezése, létesítés, fejlesztés, védőterület kijelölés. Futópálya, gurulóút, légi jármű állóhely, repülőtéri tároló helyek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közlekedés- </w:t>
            </w:r>
            <w:r>
              <w:rPr>
                <w:rFonts w:ascii="Times New Roman" w:hAnsi="Times New Roman" w:cs="Times New Roman"/>
                <w:sz w:val="18"/>
                <w:szCs w:val="18"/>
              </w:rPr>
              <w:br/>
              <w:t xml:space="preserve">építőmérnök, </w:t>
            </w:r>
            <w:r>
              <w:rPr>
                <w:rFonts w:ascii="Times New Roman" w:hAnsi="Times New Roman" w:cs="Times New Roman"/>
                <w:sz w:val="18"/>
                <w:szCs w:val="18"/>
              </w:rPr>
              <w:br/>
              <w:t xml:space="preserve">okleveles közlekedésmérnök, </w:t>
            </w:r>
            <w:r>
              <w:rPr>
                <w:rFonts w:ascii="Times New Roman" w:hAnsi="Times New Roman" w:cs="Times New Roman"/>
                <w:sz w:val="18"/>
                <w:szCs w:val="18"/>
              </w:rPr>
              <w:br/>
              <w:t xml:space="preserve"> </w:t>
            </w:r>
            <w:r>
              <w:rPr>
                <w:rFonts w:ascii="Times New Roman" w:hAnsi="Times New Roman" w:cs="Times New Roman"/>
                <w:sz w:val="18"/>
                <w:szCs w:val="18"/>
              </w:rPr>
              <w:br/>
              <w:t>közlekedés-építőmérnök, közlekedésmérnök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3 év </w:t>
            </w:r>
            <w:r>
              <w:rPr>
                <w:rFonts w:ascii="Times New Roman" w:hAnsi="Times New Roman" w:cs="Times New Roman"/>
                <w:sz w:val="18"/>
                <w:szCs w:val="18"/>
              </w:rPr>
              <w:br/>
              <w:t xml:space="preserve"> </w:t>
            </w:r>
            <w:r>
              <w:rPr>
                <w:rFonts w:ascii="Times New Roman" w:hAnsi="Times New Roman" w:cs="Times New Roman"/>
                <w:sz w:val="18"/>
                <w:szCs w:val="18"/>
              </w:rPr>
              <w:br/>
              <w:t xml:space="preserve"> </w:t>
            </w:r>
            <w:r>
              <w:rPr>
                <w:rFonts w:ascii="Times New Roman" w:hAnsi="Times New Roman" w:cs="Times New Roman"/>
                <w:sz w:val="18"/>
                <w:szCs w:val="18"/>
              </w:rPr>
              <w:br/>
            </w:r>
            <w:r>
              <w:rPr>
                <w:rFonts w:ascii="Times New Roman" w:hAnsi="Times New Roman" w:cs="Times New Roman"/>
                <w:sz w:val="18"/>
                <w:szCs w:val="18"/>
              </w:rPr>
              <w:br/>
              <w:t xml:space="preserve"> </w:t>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9/A.</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Közlekedési építmények tervezési szakterület légiközlekedési építmények közlekedésmérnöki tervezési részszakterület</w:t>
            </w:r>
          </w:p>
        </w:tc>
        <w:tc>
          <w:tcPr>
            <w:tcW w:w="1417" w:type="dxa"/>
            <w:tcBorders>
              <w:top w:val="single" w:sz="4" w:space="0" w:color="auto"/>
              <w:left w:val="single" w:sz="4" w:space="0" w:color="auto"/>
              <w:bottom w:val="single" w:sz="4" w:space="0" w:color="auto"/>
              <w:right w:val="single" w:sz="4" w:space="0" w:color="auto"/>
            </w:tcBorders>
            <w:vAlign w:val="center"/>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KÉ-LK</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Légi közlekedési építmények üzemi folyamatainak, technológiájának, a technológiai és üzemi létesítményeknek a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okleveles közlekedésmérnök,</w:t>
            </w:r>
            <w:r>
              <w:rPr>
                <w:rFonts w:ascii="Times New Roman" w:hAnsi="Times New Roman" w:cs="Times New Roman"/>
                <w:sz w:val="18"/>
                <w:szCs w:val="18"/>
              </w:rPr>
              <w:br/>
              <w:t>okleveles villamosmérnök,</w:t>
            </w:r>
            <w:r>
              <w:rPr>
                <w:rFonts w:ascii="Times New Roman" w:hAnsi="Times New Roman" w:cs="Times New Roman"/>
                <w:sz w:val="18"/>
                <w:szCs w:val="18"/>
              </w:rPr>
              <w:br/>
            </w:r>
            <w:r>
              <w:rPr>
                <w:rFonts w:ascii="Times New Roman" w:hAnsi="Times New Roman" w:cs="Times New Roman"/>
                <w:sz w:val="18"/>
                <w:szCs w:val="18"/>
              </w:rPr>
              <w:br/>
              <w:t>közlekedésmérnök,</w:t>
            </w:r>
            <w:r>
              <w:rPr>
                <w:rFonts w:ascii="Times New Roman" w:hAnsi="Times New Roman" w:cs="Times New Roman"/>
                <w:sz w:val="18"/>
                <w:szCs w:val="18"/>
              </w:rPr>
              <w:br/>
              <w:t>villamosmérnök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3 év</w:t>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10.</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Közlekedési építmények tervezési szakterület hajózási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KÉ-HA</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Hajózási építmények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közlekedés- építőmérnök, </w:t>
            </w:r>
            <w:r>
              <w:rPr>
                <w:rFonts w:ascii="Times New Roman" w:hAnsi="Times New Roman" w:cs="Times New Roman"/>
                <w:sz w:val="18"/>
                <w:szCs w:val="18"/>
              </w:rPr>
              <w:br/>
              <w:t xml:space="preserve">okleveles közlekedésmérnök, </w:t>
            </w:r>
            <w:r>
              <w:rPr>
                <w:rFonts w:ascii="Times New Roman" w:hAnsi="Times New Roman" w:cs="Times New Roman"/>
                <w:sz w:val="18"/>
                <w:szCs w:val="18"/>
              </w:rPr>
              <w:br/>
              <w:t xml:space="preserve"> </w:t>
            </w:r>
            <w:r>
              <w:rPr>
                <w:rFonts w:ascii="Times New Roman" w:hAnsi="Times New Roman" w:cs="Times New Roman"/>
                <w:sz w:val="18"/>
                <w:szCs w:val="18"/>
              </w:rPr>
              <w:br/>
              <w:t>közlekedés-építőmérnök, közlekedésmérnök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3 év </w:t>
            </w:r>
            <w:r>
              <w:rPr>
                <w:rFonts w:ascii="Times New Roman" w:hAnsi="Times New Roman" w:cs="Times New Roman"/>
                <w:sz w:val="18"/>
                <w:szCs w:val="18"/>
              </w:rPr>
              <w:br/>
              <w:t xml:space="preserve"> </w:t>
            </w:r>
            <w:r>
              <w:rPr>
                <w:rFonts w:ascii="Times New Roman" w:hAnsi="Times New Roman" w:cs="Times New Roman"/>
                <w:sz w:val="18"/>
                <w:szCs w:val="18"/>
              </w:rPr>
              <w:br/>
              <w:t xml:space="preserve"> </w:t>
            </w:r>
            <w:r>
              <w:rPr>
                <w:rFonts w:ascii="Times New Roman" w:hAnsi="Times New Roman" w:cs="Times New Roman"/>
                <w:sz w:val="18"/>
                <w:szCs w:val="18"/>
              </w:rPr>
              <w:br/>
            </w:r>
            <w:r>
              <w:rPr>
                <w:rFonts w:ascii="Times New Roman" w:hAnsi="Times New Roman" w:cs="Times New Roman"/>
                <w:sz w:val="18"/>
                <w:szCs w:val="18"/>
              </w:rPr>
              <w:br/>
              <w:t xml:space="preserve"> </w:t>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10/A.</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Közlekedési építmények tervezési szakterület hajózási építmények közlekedésmérnöki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KÉ-HK</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Hajózási építmények üzemének, forgalomirányításának, jelzésrendszerének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okleveles közlekedésmérnök,</w:t>
            </w:r>
            <w:r>
              <w:rPr>
                <w:rFonts w:ascii="Times New Roman" w:hAnsi="Times New Roman" w:cs="Times New Roman"/>
                <w:sz w:val="18"/>
                <w:szCs w:val="18"/>
              </w:rPr>
              <w:br/>
              <w:t>okleveles villamosmérnök,</w:t>
            </w:r>
            <w:r>
              <w:rPr>
                <w:rFonts w:ascii="Times New Roman" w:hAnsi="Times New Roman" w:cs="Times New Roman"/>
                <w:sz w:val="18"/>
                <w:szCs w:val="18"/>
              </w:rPr>
              <w:br/>
            </w:r>
            <w:r>
              <w:rPr>
                <w:rFonts w:ascii="Times New Roman" w:hAnsi="Times New Roman" w:cs="Times New Roman"/>
                <w:sz w:val="18"/>
                <w:szCs w:val="18"/>
              </w:rPr>
              <w:br/>
              <w:t>közlekedésmérnök,</w:t>
            </w:r>
            <w:r>
              <w:rPr>
                <w:rFonts w:ascii="Times New Roman" w:hAnsi="Times New Roman" w:cs="Times New Roman"/>
                <w:sz w:val="18"/>
                <w:szCs w:val="18"/>
              </w:rPr>
              <w:br/>
              <w:t>villamosmérnök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3 év</w:t>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11.</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b/>
                <w:bCs/>
                <w:sz w:val="18"/>
                <w:szCs w:val="18"/>
              </w:rPr>
            </w:pPr>
            <w:r>
              <w:rPr>
                <w:rFonts w:ascii="Times New Roman" w:hAnsi="Times New Roman" w:cs="Times New Roman"/>
                <w:b/>
                <w:bCs/>
                <w:sz w:val="18"/>
                <w:szCs w:val="18"/>
              </w:rPr>
              <w:t>Hírközlési építmények tervezési 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HI</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részszakterület szerint</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részszakterület szerint</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12.</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Hírközlési építmények tervezési szakterület vezetékes hírközlési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HI-V</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Vezetékes infokommunikációs rendszerek és hálózatok, önálló vagy együttes rendszerekben, helyközi és helyi jellegű viszonylatokban, valamint fix telepítésű informatikai rendszerek és hálózatok tervezése. Az elhelyezéshez szükséges alépítmények és műtárgyak, földfeletti tartószerkezetek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villamosmérnök, </w:t>
            </w:r>
            <w:r>
              <w:rPr>
                <w:rFonts w:ascii="Times New Roman" w:hAnsi="Times New Roman" w:cs="Times New Roman"/>
                <w:sz w:val="18"/>
                <w:szCs w:val="18"/>
              </w:rPr>
              <w:br/>
              <w:t xml:space="preserve">okleveles mérnök informatikus, </w:t>
            </w:r>
            <w:r>
              <w:rPr>
                <w:rFonts w:ascii="Times New Roman" w:hAnsi="Times New Roman" w:cs="Times New Roman"/>
                <w:sz w:val="18"/>
                <w:szCs w:val="18"/>
              </w:rPr>
              <w:br/>
              <w:t xml:space="preserve"> </w:t>
            </w:r>
            <w:r>
              <w:rPr>
                <w:rFonts w:ascii="Times New Roman" w:hAnsi="Times New Roman" w:cs="Times New Roman"/>
                <w:sz w:val="18"/>
                <w:szCs w:val="18"/>
              </w:rPr>
              <w:br/>
              <w:t>villamosmérnök, mérnök-</w:t>
            </w:r>
            <w:r>
              <w:rPr>
                <w:rFonts w:ascii="Times New Roman" w:hAnsi="Times New Roman" w:cs="Times New Roman"/>
                <w:sz w:val="18"/>
                <w:szCs w:val="18"/>
              </w:rPr>
              <w:br/>
              <w:t>informatikus</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3 év </w:t>
            </w:r>
            <w:r>
              <w:rPr>
                <w:rFonts w:ascii="Times New Roman" w:hAnsi="Times New Roman" w:cs="Times New Roman"/>
                <w:sz w:val="18"/>
                <w:szCs w:val="18"/>
              </w:rPr>
              <w:br/>
              <w:t xml:space="preserve"> </w:t>
            </w:r>
            <w:r>
              <w:rPr>
                <w:rFonts w:ascii="Times New Roman" w:hAnsi="Times New Roman" w:cs="Times New Roman"/>
                <w:sz w:val="18"/>
                <w:szCs w:val="18"/>
              </w:rPr>
              <w:br/>
              <w:t xml:space="preserve"> </w:t>
            </w:r>
            <w:r>
              <w:rPr>
                <w:rFonts w:ascii="Times New Roman" w:hAnsi="Times New Roman" w:cs="Times New Roman"/>
                <w:sz w:val="18"/>
                <w:szCs w:val="18"/>
              </w:rPr>
              <w:br/>
            </w:r>
            <w:r>
              <w:rPr>
                <w:rFonts w:ascii="Times New Roman" w:hAnsi="Times New Roman" w:cs="Times New Roman"/>
                <w:sz w:val="18"/>
                <w:szCs w:val="18"/>
              </w:rPr>
              <w:br/>
              <w:t xml:space="preserve"> 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 xml:space="preserve"> 13.</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Hírközlési építmények tervezési szakterület vezeték nélküli hírközlési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HI-VN</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Vezeték nélküli infokommunikációs rendszerek és hálózatok, önálló vagy együttes rendszerekben, helyközi és helyi jellegű viszonylatokban, ezek építményeinek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villamosmérnök, okleveles mérnök </w:t>
            </w:r>
            <w:r>
              <w:rPr>
                <w:rFonts w:ascii="Times New Roman" w:hAnsi="Times New Roman" w:cs="Times New Roman"/>
                <w:sz w:val="18"/>
                <w:szCs w:val="18"/>
              </w:rPr>
              <w:br/>
              <w:t xml:space="preserve">informatikus, </w:t>
            </w:r>
            <w:r>
              <w:rPr>
                <w:rFonts w:ascii="Times New Roman" w:hAnsi="Times New Roman" w:cs="Times New Roman"/>
                <w:sz w:val="18"/>
                <w:szCs w:val="18"/>
              </w:rPr>
              <w:br/>
              <w:t xml:space="preserve"> </w:t>
            </w:r>
            <w:r>
              <w:rPr>
                <w:rFonts w:ascii="Times New Roman" w:hAnsi="Times New Roman" w:cs="Times New Roman"/>
                <w:sz w:val="18"/>
                <w:szCs w:val="18"/>
              </w:rPr>
              <w:br/>
              <w:t>villamosmérnök, mérnök-</w:t>
            </w:r>
            <w:r>
              <w:rPr>
                <w:rFonts w:ascii="Times New Roman" w:hAnsi="Times New Roman" w:cs="Times New Roman"/>
                <w:sz w:val="18"/>
                <w:szCs w:val="18"/>
              </w:rPr>
              <w:br/>
              <w:t>informatikus</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3 év </w:t>
            </w:r>
            <w:r>
              <w:rPr>
                <w:rFonts w:ascii="Times New Roman" w:hAnsi="Times New Roman" w:cs="Times New Roman"/>
                <w:sz w:val="18"/>
                <w:szCs w:val="18"/>
              </w:rPr>
              <w:br/>
              <w:t xml:space="preserve"> </w:t>
            </w:r>
            <w:r>
              <w:rPr>
                <w:rFonts w:ascii="Times New Roman" w:hAnsi="Times New Roman" w:cs="Times New Roman"/>
                <w:sz w:val="18"/>
                <w:szCs w:val="18"/>
              </w:rPr>
              <w:br/>
              <w:t xml:space="preserve"> </w:t>
            </w:r>
            <w:r>
              <w:rPr>
                <w:rFonts w:ascii="Times New Roman" w:hAnsi="Times New Roman" w:cs="Times New Roman"/>
                <w:sz w:val="18"/>
                <w:szCs w:val="18"/>
              </w:rPr>
              <w:br/>
            </w:r>
            <w:r>
              <w:rPr>
                <w:rFonts w:ascii="Times New Roman" w:hAnsi="Times New Roman" w:cs="Times New Roman"/>
                <w:sz w:val="18"/>
                <w:szCs w:val="18"/>
              </w:rPr>
              <w:br/>
              <w:t xml:space="preserve"> 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14.</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b/>
                <w:bCs/>
                <w:sz w:val="18"/>
                <w:szCs w:val="18"/>
              </w:rPr>
            </w:pPr>
            <w:r>
              <w:rPr>
                <w:rFonts w:ascii="Times New Roman" w:hAnsi="Times New Roman" w:cs="Times New Roman"/>
                <w:b/>
                <w:bCs/>
                <w:sz w:val="18"/>
                <w:szCs w:val="18"/>
              </w:rPr>
              <w:t>Vízgazdálkodási építmények tervezési 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VZ</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részszakterület szerint</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részszakterület szerint</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15.</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Vízgazdálkodási építmények tervezési szakterület települési víziközmű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VZ-TEL</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Települési vízgazdálkodási építmények (ivó- és ipari vízellátás, víztisztítás, fürdő és uszoda víztechnológia építményei, szennyvízelvezetés, szennyvíztisztítás, települési csapadékvíz elvezetés építmények)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építőmérnök, </w:t>
            </w:r>
            <w:r>
              <w:rPr>
                <w:rFonts w:ascii="Times New Roman" w:hAnsi="Times New Roman" w:cs="Times New Roman"/>
                <w:sz w:val="18"/>
                <w:szCs w:val="18"/>
              </w:rPr>
              <w:br/>
              <w:t xml:space="preserve"> </w:t>
            </w:r>
            <w:r>
              <w:rPr>
                <w:rFonts w:ascii="Times New Roman" w:hAnsi="Times New Roman" w:cs="Times New Roman"/>
                <w:sz w:val="18"/>
                <w:szCs w:val="18"/>
              </w:rPr>
              <w:br/>
              <w:t xml:space="preserve">építőmérnök, </w:t>
            </w:r>
            <w:r>
              <w:rPr>
                <w:rFonts w:ascii="Times New Roman" w:hAnsi="Times New Roman" w:cs="Times New Roman"/>
                <w:sz w:val="18"/>
                <w:szCs w:val="18"/>
              </w:rPr>
              <w:br/>
              <w:t>vízépítési üzemmérnök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3 év </w:t>
            </w:r>
            <w:r>
              <w:rPr>
                <w:rFonts w:ascii="Times New Roman" w:hAnsi="Times New Roman" w:cs="Times New Roman"/>
                <w:sz w:val="18"/>
                <w:szCs w:val="18"/>
              </w:rPr>
              <w:br/>
              <w:t xml:space="preserve"> </w:t>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16.</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Vízgazdálkodási építmények tervezési szakterület területi vízgazdálkodás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VZ-TER</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Területi vízgazdálkodás építmények (ár- és belvízmentesítés, </w:t>
            </w:r>
            <w:r>
              <w:rPr>
                <w:rFonts w:ascii="Times New Roman" w:hAnsi="Times New Roman" w:cs="Times New Roman"/>
                <w:sz w:val="18"/>
                <w:szCs w:val="18"/>
              </w:rPr>
              <w:br/>
              <w:t>öntözés, vízépítési nagyműtárgyak, térségi vízgazdálkodási rendszerek építmények)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építőmérnök, </w:t>
            </w:r>
            <w:r>
              <w:rPr>
                <w:rFonts w:ascii="Times New Roman" w:hAnsi="Times New Roman" w:cs="Times New Roman"/>
                <w:sz w:val="18"/>
                <w:szCs w:val="18"/>
              </w:rPr>
              <w:br/>
              <w:t xml:space="preserve"> </w:t>
            </w:r>
            <w:r>
              <w:rPr>
                <w:rFonts w:ascii="Times New Roman" w:hAnsi="Times New Roman" w:cs="Times New Roman"/>
                <w:sz w:val="18"/>
                <w:szCs w:val="18"/>
              </w:rPr>
              <w:br/>
              <w:t xml:space="preserve">építőmérnök, </w:t>
            </w:r>
            <w:r>
              <w:rPr>
                <w:rFonts w:ascii="Times New Roman" w:hAnsi="Times New Roman" w:cs="Times New Roman"/>
                <w:sz w:val="18"/>
                <w:szCs w:val="18"/>
              </w:rPr>
              <w:br/>
              <w:t>vízépítési üzemmérnök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3 év </w:t>
            </w:r>
            <w:r>
              <w:rPr>
                <w:rFonts w:ascii="Times New Roman" w:hAnsi="Times New Roman" w:cs="Times New Roman"/>
                <w:sz w:val="18"/>
                <w:szCs w:val="18"/>
              </w:rPr>
              <w:br/>
              <w:t xml:space="preserve"> </w:t>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17.</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Vízgazdálkodási építmények tervezési szakterület vízkészlet gazdálkodás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VZ-VKG</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Vízkészlet gazdálkodás építmények, vízrajz, vízfeltárás kútfúrás, vízbázis-védelem, vízminőségi kárelhárítás építményei tervezése, valamint az ezek alapját képező hidraulikai, hidrodinamikai, hidrológiai, vízgyűjtő-gazdálkodási tervezés.</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építőmérnök, </w:t>
            </w:r>
            <w:r>
              <w:rPr>
                <w:rFonts w:ascii="Times New Roman" w:hAnsi="Times New Roman" w:cs="Times New Roman"/>
                <w:sz w:val="18"/>
                <w:szCs w:val="18"/>
              </w:rPr>
              <w:br/>
              <w:t xml:space="preserve"> </w:t>
            </w:r>
            <w:r>
              <w:rPr>
                <w:rFonts w:ascii="Times New Roman" w:hAnsi="Times New Roman" w:cs="Times New Roman"/>
                <w:sz w:val="18"/>
                <w:szCs w:val="18"/>
              </w:rPr>
              <w:br/>
              <w:t xml:space="preserve">építőmérnök, </w:t>
            </w:r>
            <w:r>
              <w:rPr>
                <w:rFonts w:ascii="Times New Roman" w:hAnsi="Times New Roman" w:cs="Times New Roman"/>
                <w:sz w:val="18"/>
                <w:szCs w:val="18"/>
              </w:rPr>
              <w:br/>
              <w:t>vízépítési üzemmérnök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3 év </w:t>
            </w:r>
            <w:r>
              <w:rPr>
                <w:rFonts w:ascii="Times New Roman" w:hAnsi="Times New Roman" w:cs="Times New Roman"/>
                <w:sz w:val="18"/>
                <w:szCs w:val="18"/>
              </w:rPr>
              <w:br/>
              <w:t xml:space="preserve"> </w:t>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18.</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b/>
                <w:bCs/>
                <w:sz w:val="18"/>
                <w:szCs w:val="18"/>
              </w:rPr>
            </w:pPr>
            <w:r>
              <w:rPr>
                <w:rFonts w:ascii="Times New Roman" w:hAnsi="Times New Roman" w:cs="Times New Roman"/>
                <w:b/>
                <w:bCs/>
                <w:sz w:val="18"/>
                <w:szCs w:val="18"/>
              </w:rPr>
              <w:t>Bányászati építmények tervezési 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B</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Szilárdásványi nyersanyagok bányászatával kapcsolatos bányászati létesítmények, műtárgyak, bányaművelési üzemi technológiai és üzemeltetési tervei, nem bányászati célú, bányászati módszerekkel épülő földalatti létesítmények, közmű és közlekedési célú alagutak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bánya- és </w:t>
            </w:r>
            <w:r>
              <w:rPr>
                <w:rFonts w:ascii="Times New Roman" w:hAnsi="Times New Roman" w:cs="Times New Roman"/>
                <w:sz w:val="18"/>
                <w:szCs w:val="18"/>
              </w:rPr>
              <w:br/>
              <w:t>geotechnika 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3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19.</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b/>
                <w:bCs/>
                <w:sz w:val="18"/>
                <w:szCs w:val="18"/>
              </w:rPr>
            </w:pPr>
            <w:r>
              <w:rPr>
                <w:rFonts w:ascii="Times New Roman" w:hAnsi="Times New Roman" w:cs="Times New Roman"/>
                <w:b/>
                <w:bCs/>
                <w:sz w:val="18"/>
                <w:szCs w:val="18"/>
              </w:rPr>
              <w:t>Gáz- és olajipari építmények tervezési 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GO</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Kőolaj- és földgáz bányászatához, valamint ezek és a kőolajtermékek szállításához, feldolgozásához, tárolásához szükséges építmények és vezetékhálózat, cseppfolyós gáz tárolás és töltés építményei, vezetékes földgáz és PB-gáz elosztás, egyéb természetben képződő vagy mesterségesen előállított gázok továbbítására szolgáló építmények tervezése.</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gáz-és olajipari </w:t>
            </w:r>
            <w:r>
              <w:rPr>
                <w:rFonts w:ascii="Times New Roman" w:hAnsi="Times New Roman" w:cs="Times New Roman"/>
                <w:sz w:val="18"/>
                <w:szCs w:val="18"/>
              </w:rPr>
              <w:br/>
              <w:t>mérnök</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3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20.</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b/>
                <w:bCs/>
                <w:sz w:val="18"/>
                <w:szCs w:val="18"/>
              </w:rPr>
            </w:pPr>
            <w:r>
              <w:rPr>
                <w:rFonts w:ascii="Times New Roman" w:hAnsi="Times New Roman" w:cs="Times New Roman"/>
                <w:b/>
                <w:bCs/>
                <w:sz w:val="18"/>
                <w:szCs w:val="18"/>
              </w:rPr>
              <w:t>Energiaellátási építmények tervezési 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EN</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részszakterület szerint</w:t>
            </w:r>
          </w:p>
        </w:tc>
        <w:tc>
          <w:tcPr>
            <w:tcW w:w="2551"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részszakterület szerint</w:t>
            </w:r>
          </w:p>
        </w:tc>
        <w:tc>
          <w:tcPr>
            <w:tcW w:w="1134"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21.</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Energiaellátási építmények tervezési szakterület hőenergetikai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EN-HŐ</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Hőenergetikai előállító-átalakító és -tároló rendszerek </w:t>
            </w:r>
            <w:r>
              <w:rPr>
                <w:rFonts w:ascii="Times New Roman" w:hAnsi="Times New Roman" w:cs="Times New Roman"/>
                <w:sz w:val="18"/>
                <w:szCs w:val="18"/>
              </w:rPr>
              <w:br/>
              <w:t>építményeinek és berendezéseinek tervezése, energiaátviteli, elosztó és szolgáltató rendszerek építményeinek tervezése.</w:t>
            </w:r>
          </w:p>
        </w:tc>
        <w:tc>
          <w:tcPr>
            <w:tcW w:w="2551" w:type="dxa"/>
            <w:tcBorders>
              <w:top w:val="single" w:sz="4" w:space="0" w:color="auto"/>
              <w:left w:val="single" w:sz="4" w:space="0" w:color="auto"/>
              <w:bottom w:val="nil"/>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okleveles szakirányú </w:t>
            </w:r>
            <w:r>
              <w:rPr>
                <w:rFonts w:ascii="Times New Roman" w:hAnsi="Times New Roman" w:cs="Times New Roman"/>
                <w:sz w:val="18"/>
                <w:szCs w:val="18"/>
              </w:rPr>
              <w:br/>
              <w:t xml:space="preserve">gépészmérnök, </w:t>
            </w:r>
            <w:r>
              <w:rPr>
                <w:rFonts w:ascii="Times New Roman" w:hAnsi="Times New Roman" w:cs="Times New Roman"/>
                <w:sz w:val="18"/>
                <w:szCs w:val="18"/>
              </w:rPr>
              <w:br/>
              <w:t xml:space="preserve">okleveles villamosmérnök, okleveles energetikai mérnök, </w:t>
            </w:r>
          </w:p>
        </w:tc>
        <w:tc>
          <w:tcPr>
            <w:tcW w:w="1134" w:type="dxa"/>
            <w:tcBorders>
              <w:top w:val="single" w:sz="4" w:space="0" w:color="auto"/>
              <w:left w:val="single" w:sz="4" w:space="0" w:color="auto"/>
              <w:bottom w:val="nil"/>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3 év </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lastRenderedPageBreak/>
              <w:t xml:space="preserve"> 22.</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Energiaellátási építmények tervezési szakterület villamosenergetikai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EN-VI</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Villamosenergetikai előállító-átalakító és -tároló rendszerek </w:t>
            </w:r>
            <w:r>
              <w:rPr>
                <w:rFonts w:ascii="Times New Roman" w:hAnsi="Times New Roman" w:cs="Times New Roman"/>
                <w:sz w:val="18"/>
                <w:szCs w:val="18"/>
              </w:rPr>
              <w:br/>
              <w:t>építményeinek és berendezéseinek, energiaátviteli, elosztó és szolgáltató rendszerek építményeinek tervezése.</w:t>
            </w:r>
          </w:p>
        </w:tc>
        <w:tc>
          <w:tcPr>
            <w:tcW w:w="2551" w:type="dxa"/>
            <w:tcBorders>
              <w:top w:val="nil"/>
              <w:left w:val="single" w:sz="4" w:space="0" w:color="auto"/>
              <w:bottom w:val="nil"/>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w:t>
            </w:r>
            <w:r>
              <w:rPr>
                <w:rFonts w:ascii="Times New Roman" w:hAnsi="Times New Roman" w:cs="Times New Roman"/>
                <w:sz w:val="18"/>
                <w:szCs w:val="18"/>
              </w:rPr>
              <w:br/>
            </w:r>
            <w:r>
              <w:rPr>
                <w:rFonts w:ascii="Times New Roman" w:hAnsi="Times New Roman" w:cs="Times New Roman"/>
                <w:sz w:val="18"/>
                <w:szCs w:val="18"/>
              </w:rPr>
              <w:br/>
              <w:t>gépészmérnök, villamosmérnök,</w:t>
            </w:r>
            <w:r>
              <w:rPr>
                <w:rFonts w:ascii="Times New Roman" w:hAnsi="Times New Roman" w:cs="Times New Roman"/>
                <w:sz w:val="18"/>
                <w:szCs w:val="18"/>
              </w:rPr>
              <w:br/>
              <w:t xml:space="preserve">energetikai mérnök, </w:t>
            </w:r>
          </w:p>
        </w:tc>
        <w:tc>
          <w:tcPr>
            <w:tcW w:w="1134" w:type="dxa"/>
            <w:tcBorders>
              <w:top w:val="nil"/>
              <w:left w:val="single" w:sz="4" w:space="0" w:color="auto"/>
              <w:bottom w:val="nil"/>
              <w:right w:val="single" w:sz="4" w:space="0" w:color="auto"/>
            </w:tcBorders>
          </w:tcPr>
          <w:p w:rsidR="005A7E08" w:rsidRDefault="005A7E08">
            <w:pPr>
              <w:autoSpaceDE w:val="0"/>
              <w:autoSpaceDN w:val="0"/>
              <w:adjustRightInd w:val="0"/>
              <w:spacing w:after="0" w:line="240" w:lineRule="auto"/>
              <w:ind w:left="56" w:right="56"/>
              <w:rPr>
                <w:rFonts w:ascii="Times New Roman" w:hAnsi="Times New Roman" w:cs="Times New Roman"/>
                <w:sz w:val="18"/>
                <w:szCs w:val="18"/>
              </w:rPr>
            </w:pPr>
            <w:r>
              <w:rPr>
                <w:rFonts w:ascii="Times New Roman" w:hAnsi="Times New Roman" w:cs="Times New Roman"/>
                <w:sz w:val="18"/>
                <w:szCs w:val="18"/>
              </w:rPr>
              <w:t xml:space="preserve"> </w:t>
            </w:r>
            <w:r>
              <w:rPr>
                <w:rFonts w:ascii="Times New Roman" w:hAnsi="Times New Roman" w:cs="Times New Roman"/>
                <w:sz w:val="18"/>
                <w:szCs w:val="18"/>
              </w:rPr>
              <w:br/>
            </w:r>
            <w:r>
              <w:rPr>
                <w:rFonts w:ascii="Times New Roman" w:hAnsi="Times New Roman" w:cs="Times New Roman"/>
                <w:sz w:val="18"/>
                <w:szCs w:val="18"/>
              </w:rPr>
              <w:br/>
              <w:t>5 év</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23.</w:t>
            </w:r>
          </w:p>
        </w:tc>
        <w:tc>
          <w:tcPr>
            <w:tcW w:w="1701" w:type="dxa"/>
            <w:tcBorders>
              <w:top w:val="nil"/>
              <w:left w:val="single" w:sz="4" w:space="0" w:color="auto"/>
              <w:bottom w:val="nil"/>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Energiaellátási építmények tervezési szakterület megújuló energia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EN-ME</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Megújuló energia építmények tervezése: geotermikus, napkollektoros, fotovillamos, biomassza és biogáz, szélerőművek, vízerőművek energetikai előállító-átalakító és -tároló rendszerek építményeinek és berendezéseinek tervezése, energiaátviteli, elosztó és szolgáltató rendszerek építményeinek tervezése.</w:t>
            </w:r>
          </w:p>
        </w:tc>
        <w:tc>
          <w:tcPr>
            <w:tcW w:w="2551" w:type="dxa"/>
            <w:tcBorders>
              <w:top w:val="nil"/>
              <w:left w:val="single" w:sz="4" w:space="0" w:color="auto"/>
              <w:bottom w:val="nil"/>
              <w:right w:val="single" w:sz="4" w:space="0" w:color="auto"/>
            </w:tcBorders>
          </w:tcPr>
          <w:p w:rsidR="005A7E08" w:rsidRDefault="005A7E0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1134" w:type="dxa"/>
            <w:tcBorders>
              <w:top w:val="nil"/>
              <w:left w:val="single" w:sz="4" w:space="0" w:color="auto"/>
              <w:bottom w:val="nil"/>
              <w:right w:val="single" w:sz="4" w:space="0" w:color="auto"/>
            </w:tcBorders>
          </w:tcPr>
          <w:p w:rsidR="005A7E08" w:rsidRDefault="005A7E08">
            <w:pPr>
              <w:autoSpaceDE w:val="0"/>
              <w:autoSpaceDN w:val="0"/>
              <w:adjustRightInd w:val="0"/>
              <w:spacing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r>
      <w:tr w:rsidR="005A7E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56" w:type="dxa"/>
            <w:bottom w:w="0" w:type="dxa"/>
            <w:right w:w="56" w:type="dxa"/>
          </w:tblCellMar>
        </w:tblPrEx>
        <w:trPr>
          <w:cantSplit/>
        </w:trPr>
        <w:tc>
          <w:tcPr>
            <w:tcW w:w="568"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jc w:val="center"/>
              <w:rPr>
                <w:rFonts w:ascii="Times New Roman" w:hAnsi="Times New Roman" w:cs="Times New Roman"/>
                <w:sz w:val="18"/>
                <w:szCs w:val="18"/>
              </w:rPr>
            </w:pPr>
            <w:r>
              <w:rPr>
                <w:rFonts w:ascii="Times New Roman" w:hAnsi="Times New Roman" w:cs="Times New Roman"/>
                <w:sz w:val="18"/>
                <w:szCs w:val="18"/>
              </w:rPr>
              <w:t xml:space="preserve"> 24.</w:t>
            </w:r>
          </w:p>
        </w:tc>
        <w:tc>
          <w:tcPr>
            <w:tcW w:w="1701" w:type="dxa"/>
            <w:tcBorders>
              <w:top w:val="nil"/>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rPr>
                <w:rFonts w:ascii="Times New Roman" w:hAnsi="Times New Roman" w:cs="Times New Roman"/>
                <w:sz w:val="18"/>
                <w:szCs w:val="18"/>
              </w:rPr>
            </w:pPr>
            <w:r>
              <w:rPr>
                <w:rFonts w:ascii="Times New Roman" w:hAnsi="Times New Roman" w:cs="Times New Roman"/>
                <w:sz w:val="18"/>
                <w:szCs w:val="18"/>
              </w:rPr>
              <w:t xml:space="preserve"> </w:t>
            </w:r>
          </w:p>
        </w:tc>
        <w:tc>
          <w:tcPr>
            <w:tcW w:w="2126"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Energiaellátási építmények tervezési szakterület atomenergia építmények tervezési részszakterület</w:t>
            </w:r>
          </w:p>
        </w:tc>
        <w:tc>
          <w:tcPr>
            <w:tcW w:w="141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jc w:val="center"/>
              <w:rPr>
                <w:rFonts w:ascii="Times New Roman" w:hAnsi="Times New Roman" w:cs="Times New Roman"/>
                <w:sz w:val="18"/>
                <w:szCs w:val="18"/>
              </w:rPr>
            </w:pPr>
            <w:r>
              <w:rPr>
                <w:rFonts w:ascii="Times New Roman" w:hAnsi="Times New Roman" w:cs="Times New Roman"/>
                <w:sz w:val="18"/>
                <w:szCs w:val="18"/>
              </w:rPr>
              <w:t>EN-A</w:t>
            </w:r>
          </w:p>
        </w:tc>
        <w:tc>
          <w:tcPr>
            <w:tcW w:w="5387" w:type="dxa"/>
            <w:tcBorders>
              <w:top w:val="single" w:sz="4" w:space="0" w:color="auto"/>
              <w:left w:val="single" w:sz="4" w:space="0" w:color="auto"/>
              <w:bottom w:val="single" w:sz="4" w:space="0" w:color="auto"/>
              <w:right w:val="single" w:sz="4" w:space="0" w:color="auto"/>
            </w:tcBorders>
          </w:tcPr>
          <w:p w:rsidR="005A7E08" w:rsidRDefault="005A7E08">
            <w:pPr>
              <w:autoSpaceDE w:val="0"/>
              <w:autoSpaceDN w:val="0"/>
              <w:adjustRightInd w:val="0"/>
              <w:spacing w:before="40" w:after="0" w:line="240" w:lineRule="auto"/>
              <w:ind w:left="56" w:right="56"/>
              <w:rPr>
                <w:rFonts w:ascii="Times New Roman" w:hAnsi="Times New Roman" w:cs="Times New Roman"/>
                <w:sz w:val="18"/>
                <w:szCs w:val="18"/>
              </w:rPr>
            </w:pPr>
            <w:r>
              <w:rPr>
                <w:rFonts w:ascii="Times New Roman" w:hAnsi="Times New Roman" w:cs="Times New Roman"/>
                <w:sz w:val="18"/>
                <w:szCs w:val="18"/>
              </w:rPr>
              <w:t>Atomenergia alkalmazására szolgáló építmények tervezése.</w:t>
            </w:r>
          </w:p>
        </w:tc>
        <w:tc>
          <w:tcPr>
            <w:tcW w:w="2551" w:type="dxa"/>
            <w:tcBorders>
              <w:top w:val="nil"/>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7" w:right="57"/>
              <w:rPr>
                <w:rFonts w:ascii="Times New Roman" w:hAnsi="Times New Roman" w:cs="Times New Roman"/>
                <w:sz w:val="18"/>
                <w:szCs w:val="18"/>
              </w:rPr>
            </w:pPr>
            <w:r>
              <w:rPr>
                <w:rFonts w:ascii="Times New Roman" w:hAnsi="Times New Roman" w:cs="Times New Roman"/>
                <w:sz w:val="18"/>
                <w:szCs w:val="18"/>
              </w:rPr>
              <w:t>okleveles szerkezet- építőmérnök, okleveles építészmérnök (tartószerkezeti kredit-</w:t>
            </w:r>
            <w:r>
              <w:rPr>
                <w:rFonts w:ascii="Times New Roman" w:hAnsi="Times New Roman" w:cs="Times New Roman"/>
                <w:sz w:val="18"/>
                <w:szCs w:val="18"/>
              </w:rPr>
              <w:br/>
              <w:t>teljesítéssel)</w:t>
            </w:r>
          </w:p>
        </w:tc>
        <w:tc>
          <w:tcPr>
            <w:tcW w:w="1134" w:type="dxa"/>
            <w:tcBorders>
              <w:top w:val="nil"/>
              <w:left w:val="single" w:sz="4" w:space="0" w:color="auto"/>
              <w:bottom w:val="single" w:sz="4" w:space="0" w:color="auto"/>
              <w:right w:val="single" w:sz="4" w:space="0" w:color="auto"/>
            </w:tcBorders>
          </w:tcPr>
          <w:p w:rsidR="005A7E08" w:rsidRDefault="005A7E08">
            <w:pPr>
              <w:autoSpaceDE w:val="0"/>
              <w:autoSpaceDN w:val="0"/>
              <w:adjustRightInd w:val="0"/>
              <w:spacing w:after="0" w:line="240" w:lineRule="auto"/>
              <w:ind w:left="57" w:right="57"/>
              <w:rPr>
                <w:rFonts w:ascii="Times New Roman" w:hAnsi="Times New Roman" w:cs="Times New Roman"/>
                <w:sz w:val="18"/>
                <w:szCs w:val="18"/>
              </w:rPr>
            </w:pPr>
            <w:r>
              <w:rPr>
                <w:rFonts w:ascii="Times New Roman" w:hAnsi="Times New Roman" w:cs="Times New Roman"/>
                <w:sz w:val="18"/>
                <w:szCs w:val="18"/>
              </w:rPr>
              <w:t>7 év</w:t>
            </w:r>
          </w:p>
        </w:tc>
      </w:tr>
      <w:tr w:rsidR="005A7E08">
        <w:tblPrEx>
          <w:tblCellMar>
            <w:top w:w="0" w:type="dxa"/>
            <w:bottom w:w="0" w:type="dxa"/>
          </w:tblCellMar>
        </w:tblPrEx>
        <w:trPr>
          <w:cantSplit/>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25.</w:t>
            </w:r>
          </w:p>
        </w:tc>
        <w:tc>
          <w:tcPr>
            <w:tcW w:w="1701" w:type="dxa"/>
            <w:vMerge w:val="restart"/>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műszaki tervezési terület</w:t>
            </w:r>
          </w:p>
        </w:tc>
        <w:tc>
          <w:tcPr>
            <w:tcW w:w="2126"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Hídszerkezeti tervezési szakterület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HT</w:t>
            </w: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Építmények tartószerkezeteinek mechanikai ellenállás és stabilitásra történő tervezése, beleértve a földrengés és tűzhatásra történő tervezést, híd-és különleges szerkezetek tervezése.</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szerkezet-építőmérnök (emelt szintű szakirányú kredit-tartalommal)</w:t>
            </w: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 év</w:t>
            </w:r>
          </w:p>
        </w:tc>
      </w:tr>
      <w:tr w:rsidR="005A7E08">
        <w:tblPrEx>
          <w:tblCellMar>
            <w:top w:w="0" w:type="dxa"/>
            <w:bottom w:w="0" w:type="dxa"/>
          </w:tblCellMar>
        </w:tblPrEx>
        <w:trPr>
          <w:cantSplit/>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26.</w:t>
            </w:r>
          </w:p>
        </w:tc>
        <w:tc>
          <w:tcPr>
            <w:tcW w:w="1701"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6"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Tartószerkezeti tervezési szakterület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T</w:t>
            </w: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Építmények tartószerkezeteinek mechanikai ellenállás és stabilitásra történő tervezése, beleértve a földrengés és tűzhatásra történő tervezést.</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szerkezet-építőmérnök </w:t>
            </w: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27.</w:t>
            </w:r>
          </w:p>
        </w:tc>
        <w:tc>
          <w:tcPr>
            <w:tcW w:w="1701"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6"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Tartószerkezeti tervezési szakterület épületek tartószerkezeti tervezési részszakterület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T-É</w:t>
            </w: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Épületek tartószerkezeteinek mechanikai ellenállás és stabilitásra történő tervezése.</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építészmérnök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(épületek tartószerkezeti kredit-teljesítéssel)</w:t>
            </w: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Height w:val="1583"/>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28.</w:t>
            </w:r>
          </w:p>
        </w:tc>
        <w:tc>
          <w:tcPr>
            <w:tcW w:w="1701"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6"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Építmények gépészeti tervezési szakterület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G</w:t>
            </w: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Épületek vízellátó, valamint szenny- és csapadékvíz-elvezető hálózatai és berendezései, épületek gázellátó, hőellátó rendszerei, berendezései, energiaellátó központok tervezése, épület energiagazdálkodás tervezése, hűtési és hőszivattyús, lég- és klímatechnikai rendszerek, a környezeti (megújuló) energiák hasznosításával kapcsolatos rendszerek, fürdő és uszoda gépészeti rendszerek tervezése.</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gépészmérnök épületgépész szakirány,</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energetikai mérnök épületgépész szakirány,</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létesítménymérnök épületgépész szakirány,</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gépészmérnök épületgépészeti szakirány,</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épületgépész mérnök</w:t>
            </w: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r>
      <w:tr w:rsidR="005A7E08">
        <w:tblPrEx>
          <w:tblCellMar>
            <w:top w:w="0" w:type="dxa"/>
            <w:bottom w:w="0" w:type="dxa"/>
          </w:tblCellMar>
        </w:tblPrEx>
        <w:trPr>
          <w:cantSplit/>
          <w:trHeight w:val="1663"/>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1.</w:t>
            </w:r>
          </w:p>
        </w:tc>
        <w:tc>
          <w:tcPr>
            <w:tcW w:w="1701"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6"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Építmények gépészeti tervezési szakterület épületfizikai tervezési részszakterület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G-ÉF</w:t>
            </w: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Épületfizikai (hő-, hang-, rezgés elleni védelmi) tervezés, helyszíni körülmények mérése, sajátosságok felmérése, kiindulási adatok rögzítése – hőszigetelése, nedvesség viszonyok, légáteresztés megítélése, akusztikai minőségek, szerkezetek, hangszigetelések különböző eseteinek elemzése, épületek, épületrészek, különböző szerkezetek komplex vizsgálatai, méretezései, szerkezeti kialakításai, megoldások tervezése.</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szerkezetépítő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gépészmérnök </w:t>
            </w: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év</w:t>
            </w:r>
          </w:p>
        </w:tc>
      </w:tr>
      <w:tr w:rsidR="005A7E08">
        <w:tblPrEx>
          <w:tblCellMar>
            <w:top w:w="0" w:type="dxa"/>
            <w:bottom w:w="0" w:type="dxa"/>
          </w:tblCellMar>
        </w:tblPrEx>
        <w:trPr>
          <w:cantSplit/>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29.</w:t>
            </w:r>
          </w:p>
        </w:tc>
        <w:tc>
          <w:tcPr>
            <w:tcW w:w="1701"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6"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Építményvillamossági tervezési szakterület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V</w:t>
            </w: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Építmények és szabad terek közép- és kisfeszültségű rendszereinek (kül- és beltéri világítás, villámvédelem, folyamatirányítás, építményautomatika, távközlési és informatikai hálózat, villamos energiaellátó rendszerek a fogyasztói oldaltól a közcélú csatlakozási pontig) tervezése.</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villamosmérnök,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villamosmérnök épületvillamossági szakirány</w:t>
            </w: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Pr>
        <w:tc>
          <w:tcPr>
            <w:tcW w:w="56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30.</w:t>
            </w:r>
          </w:p>
        </w:tc>
        <w:tc>
          <w:tcPr>
            <w:tcW w:w="1701"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6"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Geotechnikai tervezési szakterület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GT</w:t>
            </w:r>
          </w:p>
        </w:tc>
        <w:tc>
          <w:tcPr>
            <w:tcW w:w="538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Talajvizsgálati jelentések készítése, földművek, sziklamunkák, víztelenítés, talajjavítás, talajerősítés tervezése, talajdinamika, dinamikus hatásoknak kitett szerkezetek tervezése, földalatti műtárgyak, mély munkagödrök, talajhorgonyzások támszerkezetek tervezése, geotechnikai szerkezetek mérése, próbaterhelése, geotechnikai monitoring.</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építőmérnök szerkezet szakirány,</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építőmérnök geotechnika szakirány</w:t>
            </w:r>
          </w:p>
        </w:tc>
        <w:tc>
          <w:tcPr>
            <w:tcW w:w="113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év</w:t>
            </w:r>
          </w:p>
        </w:tc>
      </w:tr>
    </w:tbl>
    <w:p w:rsidR="005A7E08" w:rsidRDefault="005A7E08" w:rsidP="005A7E08">
      <w:pPr>
        <w:widowControl w:val="0"/>
        <w:autoSpaceDE w:val="0"/>
        <w:autoSpaceDN w:val="0"/>
        <w:adjustRightInd w:val="0"/>
        <w:spacing w:after="0" w:line="240" w:lineRule="auto"/>
        <w:jc w:val="both"/>
        <w:rPr>
          <w:rFonts w:ascii="Times New Roman" w:hAnsi="Times New Roman" w:cs="Times New Roman"/>
          <w:sz w:val="20"/>
          <w:szCs w:val="20"/>
        </w:rPr>
      </w:pPr>
    </w:p>
    <w:p w:rsidR="005A7E08" w:rsidRDefault="005A7E08" w:rsidP="005A7E08">
      <w:pPr>
        <w:widowControl w:val="0"/>
        <w:autoSpaceDE w:val="0"/>
        <w:autoSpaceDN w:val="0"/>
        <w:adjustRightInd w:val="0"/>
        <w:spacing w:after="0" w:line="240" w:lineRule="auto"/>
        <w:jc w:val="both"/>
        <w:rPr>
          <w:rFonts w:ascii="Times New Roman" w:hAnsi="Times New Roman" w:cs="Times New Roman"/>
          <w:sz w:val="20"/>
          <w:szCs w:val="20"/>
        </w:rPr>
        <w:sectPr w:rsidR="005A7E08">
          <w:footnotePr>
            <w:numStart w:val="63"/>
          </w:footnotePr>
          <w:pgSz w:w="16840" w:h="11907" w:orient="landscape"/>
          <w:pgMar w:top="851" w:right="1134" w:bottom="851" w:left="1134" w:header="708" w:footer="708" w:gutter="0"/>
          <w:cols w:space="708"/>
          <w:noEndnote/>
        </w:sectPr>
      </w:pPr>
    </w:p>
    <w:p w:rsidR="005A7E08" w:rsidRDefault="005A7E08" w:rsidP="005A7E08">
      <w:pPr>
        <w:widowControl w:val="0"/>
        <w:autoSpaceDE w:val="0"/>
        <w:autoSpaceDN w:val="0"/>
        <w:adjustRightInd w:val="0"/>
        <w:spacing w:before="240"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II. Szakértés</w:t>
      </w:r>
    </w:p>
    <w:p w:rsidR="005A7E08" w:rsidRDefault="005A7E08" w:rsidP="005A7E08">
      <w:pPr>
        <w:widowControl w:val="0"/>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Településrendezési szakértés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92"/>
        <w:gridCol w:w="1823"/>
        <w:gridCol w:w="1891"/>
        <w:gridCol w:w="1556"/>
        <w:gridCol w:w="1622"/>
        <w:gridCol w:w="5500"/>
        <w:gridCol w:w="2125"/>
      </w:tblGrid>
      <w:tr w:rsidR="005A7E08">
        <w:tblPrEx>
          <w:tblCellMar>
            <w:top w:w="0" w:type="dxa"/>
            <w:bottom w:w="0" w:type="dxa"/>
          </w:tblCellMar>
        </w:tblPrEx>
        <w:tc>
          <w:tcPr>
            <w:tcW w:w="39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182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89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55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162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550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p>
        </w:tc>
        <w:tc>
          <w:tcPr>
            <w:tcW w:w="2125"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w:t>
            </w:r>
          </w:p>
        </w:tc>
      </w:tr>
      <w:tr w:rsidR="005A7E08">
        <w:tblPrEx>
          <w:tblCellMar>
            <w:top w:w="0" w:type="dxa"/>
            <w:bottom w:w="0" w:type="dxa"/>
          </w:tblCellMar>
        </w:tblPrEx>
        <w:tc>
          <w:tcPr>
            <w:tcW w:w="39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182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Szakmagyakorlási tevékenység megnevezése</w:t>
            </w:r>
          </w:p>
        </w:tc>
        <w:tc>
          <w:tcPr>
            <w:tcW w:w="189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55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162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r>
              <w:rPr>
                <w:rFonts w:ascii="Times New Roman" w:hAnsi="Times New Roman" w:cs="Times New Roman"/>
                <w:sz w:val="20"/>
                <w:szCs w:val="20"/>
              </w:rPr>
              <w:br/>
              <w:t>részszakterület korábbi jelölése</w:t>
            </w:r>
          </w:p>
        </w:tc>
        <w:tc>
          <w:tcPr>
            <w:tcW w:w="550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125"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r>
      <w:tr w:rsidR="005A7E08">
        <w:tblPrEx>
          <w:tblCellMar>
            <w:top w:w="0" w:type="dxa"/>
            <w:bottom w:w="0" w:type="dxa"/>
          </w:tblCellMar>
        </w:tblPrEx>
        <w:trPr>
          <w:trHeight w:val="561"/>
        </w:trPr>
        <w:tc>
          <w:tcPr>
            <w:tcW w:w="392"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w:t>
            </w:r>
          </w:p>
        </w:tc>
        <w:tc>
          <w:tcPr>
            <w:tcW w:w="1823"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Településrendezési szakértői tevékenység</w:t>
            </w:r>
          </w:p>
        </w:tc>
        <w:tc>
          <w:tcPr>
            <w:tcW w:w="1891"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Településrendezési szakértői szakterület</w:t>
            </w:r>
          </w:p>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155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SZTT</w:t>
            </w:r>
          </w:p>
        </w:tc>
        <w:tc>
          <w:tcPr>
            <w:tcW w:w="162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SZTR</w:t>
            </w:r>
          </w:p>
        </w:tc>
        <w:tc>
          <w:tcPr>
            <w:tcW w:w="5500"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településtervezési körbe tartozó tevékenységek eredményeinek szakmai véleményezése, jogi megfelelőség vizsgálata. Tervezetek, jóváhagyott tervek hiányosságainak, ellentmondásainak feltárása. A településrendezéssel kapcsolatos tanácsadás.</w:t>
            </w:r>
          </w:p>
        </w:tc>
        <w:tc>
          <w:tcPr>
            <w:tcW w:w="212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településmérnök</w:t>
            </w:r>
          </w:p>
        </w:tc>
      </w:tr>
      <w:tr w:rsidR="005A7E08">
        <w:tblPrEx>
          <w:tblCellMar>
            <w:top w:w="0" w:type="dxa"/>
            <w:bottom w:w="0" w:type="dxa"/>
          </w:tblCellMar>
        </w:tblPrEx>
        <w:trPr>
          <w:cantSplit/>
          <w:trHeight w:val="561"/>
        </w:trPr>
        <w:tc>
          <w:tcPr>
            <w:tcW w:w="392"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w:t>
            </w:r>
          </w:p>
        </w:tc>
        <w:tc>
          <w:tcPr>
            <w:tcW w:w="1823" w:type="dxa"/>
            <w:vMerge w:val="restart"/>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Településrendezési szakági szakértői tevékenység</w:t>
            </w:r>
          </w:p>
        </w:tc>
        <w:tc>
          <w:tcPr>
            <w:tcW w:w="1891"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Településrendezési zöldfelületi és tájrendezési szakértői szakterület</w:t>
            </w:r>
          </w:p>
        </w:tc>
        <w:tc>
          <w:tcPr>
            <w:tcW w:w="155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SZT</w:t>
            </w:r>
          </w:p>
        </w:tc>
        <w:tc>
          <w:tcPr>
            <w:tcW w:w="162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SZT</w:t>
            </w:r>
          </w:p>
        </w:tc>
        <w:tc>
          <w:tcPr>
            <w:tcW w:w="5500" w:type="dxa"/>
            <w:vMerge w:val="restart"/>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szakterületnek megfelelően a településtervezési körbe tarozó tevékenységek szakmai véleményezése, jogi megfelelőség vizsgálata.</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Tervezetek, jóváhagyott tervek hiányosságainak, ellentmondásainak feltárása. A szakterülettel kapcsolatos tanácsadás.</w:t>
            </w:r>
          </w:p>
        </w:tc>
        <w:tc>
          <w:tcPr>
            <w:tcW w:w="212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tájépítész mérnök</w:t>
            </w:r>
          </w:p>
        </w:tc>
      </w:tr>
      <w:tr w:rsidR="005A7E08">
        <w:tblPrEx>
          <w:tblCellMar>
            <w:top w:w="0" w:type="dxa"/>
            <w:bottom w:w="0" w:type="dxa"/>
          </w:tblCellMar>
        </w:tblPrEx>
        <w:trPr>
          <w:cantSplit/>
          <w:trHeight w:val="561"/>
        </w:trPr>
        <w:tc>
          <w:tcPr>
            <w:tcW w:w="392"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w:t>
            </w:r>
          </w:p>
        </w:tc>
        <w:tc>
          <w:tcPr>
            <w:tcW w:w="1823" w:type="dxa"/>
            <w:vMerge/>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1891"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Településrendezési közlekedési szakértői szakterület</w:t>
            </w:r>
          </w:p>
        </w:tc>
        <w:tc>
          <w:tcPr>
            <w:tcW w:w="155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SZKö</w:t>
            </w:r>
          </w:p>
        </w:tc>
        <w:tc>
          <w:tcPr>
            <w:tcW w:w="162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SZK</w:t>
            </w:r>
          </w:p>
        </w:tc>
        <w:tc>
          <w:tcPr>
            <w:tcW w:w="5500"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közlekedés-építőmérnök,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közlekedésmérnök </w:t>
            </w:r>
          </w:p>
        </w:tc>
      </w:tr>
      <w:tr w:rsidR="005A7E08">
        <w:tblPrEx>
          <w:tblCellMar>
            <w:top w:w="0" w:type="dxa"/>
            <w:bottom w:w="0" w:type="dxa"/>
          </w:tblCellMar>
        </w:tblPrEx>
        <w:trPr>
          <w:cantSplit/>
          <w:trHeight w:val="561"/>
        </w:trPr>
        <w:tc>
          <w:tcPr>
            <w:tcW w:w="392"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w:t>
            </w:r>
          </w:p>
        </w:tc>
        <w:tc>
          <w:tcPr>
            <w:tcW w:w="1823" w:type="dxa"/>
            <w:vMerge/>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1891"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Településrendezési víziközmű szakértői szakterület</w:t>
            </w:r>
          </w:p>
        </w:tc>
        <w:tc>
          <w:tcPr>
            <w:tcW w:w="155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SZV</w:t>
            </w:r>
          </w:p>
        </w:tc>
        <w:tc>
          <w:tcPr>
            <w:tcW w:w="162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SZV</w:t>
            </w:r>
          </w:p>
        </w:tc>
        <w:tc>
          <w:tcPr>
            <w:tcW w:w="5500"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építőmérnök</w:t>
            </w:r>
          </w:p>
        </w:tc>
      </w:tr>
      <w:tr w:rsidR="005A7E08">
        <w:tblPrEx>
          <w:tblCellMar>
            <w:top w:w="0" w:type="dxa"/>
            <w:bottom w:w="0" w:type="dxa"/>
          </w:tblCellMar>
        </w:tblPrEx>
        <w:trPr>
          <w:cantSplit/>
          <w:trHeight w:val="561"/>
        </w:trPr>
        <w:tc>
          <w:tcPr>
            <w:tcW w:w="392"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w:t>
            </w:r>
          </w:p>
        </w:tc>
        <w:tc>
          <w:tcPr>
            <w:tcW w:w="1823" w:type="dxa"/>
            <w:vMerge/>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1891"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Településrendezési energia-közmű szakértői szakterület</w:t>
            </w:r>
          </w:p>
        </w:tc>
        <w:tc>
          <w:tcPr>
            <w:tcW w:w="155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SZE</w:t>
            </w:r>
          </w:p>
        </w:tc>
        <w:tc>
          <w:tcPr>
            <w:tcW w:w="162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SZE</w:t>
            </w:r>
          </w:p>
        </w:tc>
        <w:tc>
          <w:tcPr>
            <w:tcW w:w="5500"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energetikai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gépészmérnök,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villamosmérnök </w:t>
            </w:r>
          </w:p>
        </w:tc>
      </w:tr>
      <w:tr w:rsidR="005A7E08">
        <w:tblPrEx>
          <w:tblCellMar>
            <w:top w:w="0" w:type="dxa"/>
            <w:bottom w:w="0" w:type="dxa"/>
          </w:tblCellMar>
        </w:tblPrEx>
        <w:trPr>
          <w:cantSplit/>
          <w:trHeight w:val="561"/>
        </w:trPr>
        <w:tc>
          <w:tcPr>
            <w:tcW w:w="392"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w:t>
            </w:r>
          </w:p>
        </w:tc>
        <w:tc>
          <w:tcPr>
            <w:tcW w:w="1823" w:type="dxa"/>
            <w:vMerge/>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1891"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Településrendezési hírközlési szakértői szakterület</w:t>
            </w:r>
          </w:p>
        </w:tc>
        <w:tc>
          <w:tcPr>
            <w:tcW w:w="155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SZH</w:t>
            </w:r>
          </w:p>
        </w:tc>
        <w:tc>
          <w:tcPr>
            <w:tcW w:w="162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SZH</w:t>
            </w:r>
          </w:p>
        </w:tc>
        <w:tc>
          <w:tcPr>
            <w:tcW w:w="5500" w:type="dxa"/>
            <w:vMerge/>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villamosmérnök,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mérnök-informatikus </w:t>
            </w:r>
          </w:p>
        </w:tc>
      </w:tr>
    </w:tbl>
    <w:p w:rsidR="005A7E08" w:rsidRDefault="005A7E08" w:rsidP="005A7E08">
      <w:pPr>
        <w:autoSpaceDE w:val="0"/>
        <w:autoSpaceDN w:val="0"/>
        <w:adjustRightInd w:val="0"/>
        <w:spacing w:after="0" w:line="240" w:lineRule="auto"/>
        <w:rPr>
          <w:rFonts w:ascii="Times New Roman" w:hAnsi="Times New Roman" w:cs="Times New Roman"/>
          <w:sz w:val="20"/>
          <w:szCs w:val="20"/>
        </w:rPr>
        <w:sectPr w:rsidR="005A7E08">
          <w:footnotePr>
            <w:numStart w:val="63"/>
          </w:footnotePr>
          <w:pgSz w:w="16840" w:h="11907" w:orient="landscape"/>
          <w:pgMar w:top="851" w:right="1134" w:bottom="851" w:left="1134" w:header="708" w:footer="708" w:gutter="0"/>
          <w:cols w:space="708"/>
          <w:noEndnote/>
        </w:sectPr>
      </w:pPr>
    </w:p>
    <w:p w:rsidR="005A7E08" w:rsidRDefault="005A7E08" w:rsidP="005A7E08">
      <w:pPr>
        <w:widowControl w:val="0"/>
        <w:autoSpaceDE w:val="0"/>
        <w:autoSpaceDN w:val="0"/>
        <w:adjustRightInd w:val="0"/>
        <w:spacing w:before="240"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2.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Építésügyi műszaki szakértés</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410"/>
        <w:gridCol w:w="1418"/>
        <w:gridCol w:w="1842"/>
        <w:gridCol w:w="6508"/>
        <w:gridCol w:w="2110"/>
      </w:tblGrid>
      <w:tr w:rsidR="005A7E08">
        <w:tblPrEx>
          <w:tblCellMar>
            <w:top w:w="0" w:type="dxa"/>
            <w:bottom w:w="0" w:type="dxa"/>
          </w:tblCellMar>
        </w:tblPrEx>
        <w:trPr>
          <w:cantSplit/>
        </w:trPr>
        <w:tc>
          <w:tcPr>
            <w:tcW w:w="56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241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1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184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650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211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p>
        </w:tc>
      </w:tr>
      <w:tr w:rsidR="005A7E08">
        <w:tblPrEx>
          <w:tblCellMar>
            <w:top w:w="0" w:type="dxa"/>
            <w:bottom w:w="0" w:type="dxa"/>
          </w:tblCellMar>
        </w:tblPrEx>
        <w:trPr>
          <w:cantSplit/>
        </w:trPr>
        <w:tc>
          <w:tcPr>
            <w:tcW w:w="56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241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41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r>
              <w:rPr>
                <w:rFonts w:ascii="Times New Roman" w:hAnsi="Times New Roman" w:cs="Times New Roman"/>
                <w:sz w:val="20"/>
                <w:szCs w:val="20"/>
              </w:rPr>
              <w:br/>
              <w:t>részszakterület korábbi (mérnök/építész)</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650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11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r>
      <w:tr w:rsidR="005A7E08">
        <w:tblPrEx>
          <w:tblCellMar>
            <w:top w:w="0" w:type="dxa"/>
            <w:bottom w:w="0" w:type="dxa"/>
          </w:tblCellMar>
        </w:tblPrEx>
        <w:trPr>
          <w:cantSplit/>
          <w:trHeight w:val="15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Általános építmények építésügyi műszaki szakértői 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SZÉSZ</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SZÉSZ1</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építészeti tervezési terület körébe tartozó építmények szakértése építészeti vonatkozásban.</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tc>
      </w:tr>
      <w:tr w:rsidR="005A7E08">
        <w:tblPrEx>
          <w:tblCellMar>
            <w:top w:w="0" w:type="dxa"/>
            <w:bottom w:w="0" w:type="dxa"/>
          </w:tblCellMar>
        </w:tblPrEx>
        <w:trPr>
          <w:cantSplit/>
          <w:trHeight w:val="15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Általános építmények építésügyi műszaki szakértői szakterület belsőépítészeti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SZÉSZ-BÉ</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belsőépítészeti tervezési szakterület körébe tartozó feladatok szakértése belsőépítészeti vonatkozásban.</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 tervező művész MA,</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belsőépítész környezettervező művész MA</w:t>
            </w:r>
          </w:p>
        </w:tc>
      </w:tr>
      <w:tr w:rsidR="005A7E08">
        <w:tblPrEx>
          <w:tblCellMar>
            <w:top w:w="0" w:type="dxa"/>
            <w:bottom w:w="0" w:type="dxa"/>
          </w:tblCellMar>
        </w:tblPrEx>
        <w:trPr>
          <w:cantSplit/>
          <w:trHeight w:val="15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Sajátos építményfajtákkal összefüggő építésügyi műszaki szakértői 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SZÉM</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részszakterület szerint</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részszakterület szerint</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Sajátos építményfajtákkal összefüggő építésügyi műszaki szakértői szakterület közlekedési építmények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SZÉM1</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SZÉM1</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Közúti közlekedési, vasúti közlekedési, légiközlekedési, víziközlekedési építmények, továbbá különleges eszközök és pályák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közlekedés-építőmérnök,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közlekedésmérnök,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villamosmérnök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6.</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Sajátos építményfajtákkal összefüggő építésügyi műszaki szakértői szakterület hírközlési építmények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SZÉM2</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SZÉM2</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Vezetékes és vezeték nélküli infokommunikációs rendszerek és hálózatok, önálló vagy együttes rendszerekben, ezek építményeinek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villamosmérnök,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mérnök-informatikus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7.</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Sajátos építményfajtákkal összefüggő építésügyi műszaki szakértői szakterület vízgazdálkodási építmények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SZÉM3</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SZÉM3</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települési vízellátási, területi vízgazdálkodási, vízkészletgazdálkodás szakterület építményeinek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építőmérnök,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vízmérnök</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8.</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Sajátos építményfajtákkal összefüggő építésügyi műszaki szakértői szakterület bányászati építmények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SZÉM4</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SZÉM5</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Szilárdásványi nyersanyagok bányászatával kapcsolatos bányászati létesítmények, műtárgyak, bányaművelési üzemi technológiai és üzemeltetési tervei, nem bányászati célú, bányászati módszerekkel épülő földalatti létesítmények, közmű és közlekedési célú alagutak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bánya- és geotechnika 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9.</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Sajátos építményfajtákkal összefüggő építésügyi műszaki szakértői szakterület gáz- és olajipari építmények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SZÉM5</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SZÉM6</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Kőolaj- és földgáz bányászatához, valamint ezek és a kőolajtermékek szállításához, feldolgozásához, tárolásához szükséges építmények és vezetékhálózat, cseppfolyós gáz tárolás és töltés építményei, vezetékes földgáz és PB-gáz elosztás, egyéb természetben képződő vagy mesterségesen előállított gázok továbbítására szolgáló építmények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gáz-és olajipari mérnök</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10.</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Sajátos építményfajtákkal összefüggő építésügyi műszaki szakértői szakterület energetikai építmények szakértői részszakterület </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SZÉM6</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Energia előállító-átalakító és -tároló rendszerek építményeinek és berendezéseinek, energiaátviteli, elosztó és szolgáltató rendszerek építményeinek, az energiafogyasztó rendszerek, építmények és berendezések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gépészmérnök</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11.</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Szakági építésügyi műszaki szakértői 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SZÉS</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részszakterület szerint</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részszakterület szerint</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12.</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sz w:val="20"/>
                <w:szCs w:val="20"/>
              </w:rPr>
              <w:t>Szakági építésügyi műszaki szakértői szakterület</w:t>
            </w:r>
            <w:r>
              <w:rPr>
                <w:rFonts w:ascii="Times New Roman" w:hAnsi="Times New Roman" w:cs="Times New Roman"/>
                <w:b/>
                <w:bCs/>
                <w:sz w:val="20"/>
                <w:szCs w:val="20"/>
              </w:rPr>
              <w:t xml:space="preserve"> </w:t>
            </w:r>
            <w:r>
              <w:rPr>
                <w:rFonts w:ascii="Times New Roman" w:hAnsi="Times New Roman" w:cs="Times New Roman"/>
                <w:sz w:val="20"/>
                <w:szCs w:val="20"/>
              </w:rPr>
              <w:t>tartószerkezeti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sz w:val="20"/>
                <w:szCs w:val="20"/>
              </w:rPr>
              <w:t>SZÉS1</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SZÉS1</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Építmények tartószerkezeteinek mechanikai ellenállás és stabilitásra történő szakértése, beleértve a földrengés és tűzhatásra történő szakértést.</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szerkezet-építőmérnök,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építészmérnök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13.</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 épületszerkezeti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SZÉS2</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SZÉS2/SZÉSZ2</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Magas- és mélyépítési épületszerkezetek vizsgálata, amelyek  természetes anyagokból, előregyártott, vagy helyszínen előállított anyagstruktúrával kialakítottak, ezen szerkezetek elemeinek és építéstechnológiával összeépített és struktúráinak ok-okozati összefüggéseinek magas színvonalú értékelése az előírt teljesítményadatok alapján.</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szerkezet-építőmérnök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14.</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w:t>
            </w:r>
            <w:r>
              <w:rPr>
                <w:rFonts w:ascii="Times New Roman" w:hAnsi="Times New Roman" w:cs="Times New Roman"/>
                <w:b/>
                <w:bCs/>
                <w:sz w:val="20"/>
                <w:szCs w:val="20"/>
              </w:rPr>
              <w:t xml:space="preserve"> </w:t>
            </w:r>
            <w:r>
              <w:rPr>
                <w:rFonts w:ascii="Times New Roman" w:hAnsi="Times New Roman" w:cs="Times New Roman"/>
                <w:sz w:val="20"/>
                <w:szCs w:val="20"/>
              </w:rPr>
              <w:t>építmények gépészeti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SZÉS3</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SZÉS3</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Épületek vízellátó, valamint szenny- és csapadékvíz-elvezető hálózatai és berendezései, épületek gázellátó, hőellátó rendszerei, berendezései, energiaellátó központok szakértése, épület energiagazdálkodás szakértés, hűtési és hőszivattyús, lég- és klímatechnikai rendszerek szakértése, a környezeti (megújuló) energiák hasznosításával kapcsolatos rendszerek szakértése, medence és uszodatechnológiai rendszerek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épületgépész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gépészmérnök épületgépész szakirány,</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létesítménymérnök épületgépész szakirány</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r>
      <w:tr w:rsidR="005A7E08">
        <w:tblPrEx>
          <w:tblCellMar>
            <w:top w:w="0" w:type="dxa"/>
            <w:bottom w:w="0" w:type="dxa"/>
          </w:tblCellMar>
        </w:tblPrEx>
        <w:trPr>
          <w:cantSplit/>
          <w:trHeight w:val="1666"/>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15.</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w:t>
            </w:r>
            <w:r>
              <w:rPr>
                <w:rFonts w:ascii="Times New Roman" w:hAnsi="Times New Roman" w:cs="Times New Roman"/>
                <w:b/>
                <w:bCs/>
                <w:sz w:val="20"/>
                <w:szCs w:val="20"/>
              </w:rPr>
              <w:t xml:space="preserve"> </w:t>
            </w:r>
            <w:r>
              <w:rPr>
                <w:rFonts w:ascii="Times New Roman" w:hAnsi="Times New Roman" w:cs="Times New Roman"/>
                <w:sz w:val="20"/>
                <w:szCs w:val="20"/>
              </w:rPr>
              <w:t>építmények épületfizikai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SZÉS4</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SZÉS4/SZÉSZ3</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Épületfizikai (hő-, hang-, rezgés elleni védelmi) szakértés, helyszíni körülmények mérése, sajátosságok felmérése, kiindulási adatok rögzítése – hőszigetelése, nedvesség viszonyok, légáteresztés megítélése, akusztikai minőségek, szerkezetek, hangszigetelések különböző eseteinek elemzése, épületek, épületrészek, különböző szerkezetek komplex vizsgálatai, méretezései, szerkezeti kialakításai, megoldások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szerkezetépítő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gépészmérnök </w:t>
            </w:r>
          </w:p>
        </w:tc>
      </w:tr>
      <w:tr w:rsidR="005A7E08">
        <w:tblPrEx>
          <w:tblCellMar>
            <w:top w:w="0" w:type="dxa"/>
            <w:bottom w:w="0" w:type="dxa"/>
          </w:tblCellMar>
        </w:tblPrEx>
        <w:trPr>
          <w:cantSplit/>
          <w:trHeight w:val="1666"/>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16.</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w:t>
            </w:r>
            <w:r>
              <w:rPr>
                <w:rFonts w:ascii="Times New Roman" w:hAnsi="Times New Roman" w:cs="Times New Roman"/>
                <w:b/>
                <w:bCs/>
                <w:sz w:val="20"/>
                <w:szCs w:val="20"/>
              </w:rPr>
              <w:t xml:space="preserve"> </w:t>
            </w:r>
            <w:r>
              <w:rPr>
                <w:rFonts w:ascii="Times New Roman" w:hAnsi="Times New Roman" w:cs="Times New Roman"/>
                <w:sz w:val="20"/>
                <w:szCs w:val="20"/>
              </w:rPr>
              <w:t>építmények épületenergetikai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SZÉS6</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SZÉS6/SZÉSZ8</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Épületek energetikai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gépészmérnök</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17.</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 építményvillamossági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SZÉS7</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SZÉS5</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Építmények és szabad terek közép- és kisfeszültségű rendszereinek (kül- és beltéri világítás, villámvédelem, folyamatirányítás, építményautomatika, távközlési és informatikai hálózat, villamos energiaellátó rendszerek a fogyasztói oldaltól a közcélú csatlakozási pontig)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villamosmérnök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18.</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 geotechnikai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SZÉS8</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SZGT</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Talajvizsgálati jelentések, sík- és mélyalapok, alapmegerősítések földművek, sziklamunkák, víztelenítés, talajjavítás, talajerősítés, talajdinamika, dinamikus hatásoknak kitett szerkezetek, földalatti műtárgyak, mély munkagödrök, talajhorgonyzások támszerkezetek szakértése, geotechnikai szerkezetek mérése, próbaterhelése, geotechnikai monitoring.</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építőmérnök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19.</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 építési szakipari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SZÉS9</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SZASZ1</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 szakipari struktúrák anyagainak, elemeinek és technológiai rendszereinek vizsgálata, valamint kompatibilitás vizsgálat az épület csatlakozó szerkezeteihez, rendszereihez, ezek ok-okozati összefüggéseinek magas színvonalú értékelése az előírt teljesítményadatok alapján</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szerkezet-építőmérnök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20.</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Szakági építésügyi műszaki szakértői szakterület építési szerelőipari szakértői részszakterület </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SZÉS10</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SZASZ2</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 szerelőipari struktúrák anyagainak, elemeinek és technológiai rendszereinek vizsgálata, valamint kompatibilitás vizsgálat az épület csatlakozó szerkezeteihez, rendszereihez, ezek ok-okozati összefüggéseinek magas színvonalú értékelése az előírt teljesítményadatok alapján.</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szerkezet-építőmérnök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21.</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Szakági építésügyi műszaki szakértői szakterület építőanyag-ipari szakértői részszakterület </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SZÉS11</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SZASZ3</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építési anyagoknak, amelyek természetes anyagokból készültek, gyártott, vagy helyszínen előállított anyagstruktúrával kialakítottak, a teljesítményadatainak vizsgálata, magas színvonalú értékelése.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szerkezet-építőmérnök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lastRenderedPageBreak/>
              <w:t>22.</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w:t>
            </w:r>
            <w:r>
              <w:rPr>
                <w:rFonts w:ascii="Times New Roman" w:hAnsi="Times New Roman" w:cs="Times New Roman"/>
                <w:b/>
                <w:bCs/>
                <w:sz w:val="20"/>
                <w:szCs w:val="20"/>
              </w:rPr>
              <w:t xml:space="preserve"> </w:t>
            </w:r>
            <w:r>
              <w:rPr>
                <w:rFonts w:ascii="Times New Roman" w:hAnsi="Times New Roman" w:cs="Times New Roman"/>
                <w:sz w:val="20"/>
                <w:szCs w:val="20"/>
              </w:rPr>
              <w:t>hídszerkezeti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SZÉS12</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Építmények tartószerkezeteinek mechanikai ellenállás és stabilitásra történő szakértése, beleértve a földrengés és tűzhatásra történő szakértést, továbbá híd- és különleges szerkezetek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szerkezet-építőmérnök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(emelt szintű szakirányú kredit-tartalommal)</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23.</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Építési beruházási szakértői 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SZB</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SZB/SZÉSZ7</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Beruházások előkészítésének, megvalósítási folyamatok irányításának, kivitelezési munkák műszaki tartalmának szakértése.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építőmérnök </w:t>
            </w:r>
          </w:p>
        </w:tc>
      </w:tr>
      <w:tr w:rsidR="005A7E08">
        <w:tblPrEx>
          <w:tblCellMar>
            <w:top w:w="0" w:type="dxa"/>
            <w:bottom w:w="0" w:type="dxa"/>
          </w:tblCellMar>
        </w:tblPrEx>
        <w:trPr>
          <w:cantSplit/>
          <w:trHeight w:val="561"/>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24.</w:t>
            </w:r>
          </w:p>
        </w:tc>
        <w:tc>
          <w:tcPr>
            <w:tcW w:w="241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Szakági építésügyi műszaki szakértői szakterület műemlék építmények műszaki szakértői részszakterület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SZÉS5</w:t>
            </w:r>
          </w:p>
        </w:tc>
        <w:tc>
          <w:tcPr>
            <w:tcW w:w="184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SZÉSZ5</w:t>
            </w:r>
          </w:p>
        </w:tc>
        <w:tc>
          <w:tcPr>
            <w:tcW w:w="6508"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Műemlék építmények történeti épületszerkezetei, építőanyagai esetében a javító, konzerváló és fenntartó technológiák, anyaghasználat, szerkezeti megoldás az adott műemléken való alkalmazhatóságának szakvéleményezése.</w:t>
            </w:r>
          </w:p>
        </w:tc>
        <w:tc>
          <w:tcPr>
            <w:tcW w:w="21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építészmérnök és műemlékvédelmi szakmérnök </w:t>
            </w:r>
          </w:p>
        </w:tc>
      </w:tr>
    </w:tbl>
    <w:p w:rsidR="005A7E08" w:rsidRDefault="005A7E08" w:rsidP="005A7E08">
      <w:pPr>
        <w:widowControl w:val="0"/>
        <w:autoSpaceDE w:val="0"/>
        <w:autoSpaceDN w:val="0"/>
        <w:adjustRightInd w:val="0"/>
        <w:spacing w:before="240" w:after="120" w:line="240" w:lineRule="auto"/>
        <w:jc w:val="center"/>
        <w:rPr>
          <w:rFonts w:ascii="Times New Roman" w:hAnsi="Times New Roman" w:cs="Times New Roman"/>
          <w:b/>
          <w:bCs/>
          <w:sz w:val="24"/>
          <w:szCs w:val="24"/>
        </w:rPr>
      </w:pPr>
    </w:p>
    <w:p w:rsidR="005A7E08" w:rsidRDefault="005A7E08" w:rsidP="005A7E08">
      <w:pPr>
        <w:widowControl w:val="0"/>
        <w:autoSpaceDE w:val="0"/>
        <w:autoSpaceDN w:val="0"/>
        <w:adjustRightInd w:val="0"/>
        <w:spacing w:before="240" w:after="120" w:line="240" w:lineRule="auto"/>
        <w:jc w:val="center"/>
        <w:rPr>
          <w:rFonts w:ascii="Times New Roman" w:hAnsi="Times New Roman" w:cs="Times New Roman"/>
          <w:sz w:val="20"/>
          <w:szCs w:val="20"/>
        </w:rPr>
        <w:sectPr w:rsidR="005A7E08">
          <w:footnotePr>
            <w:numStart w:val="63"/>
          </w:footnotePr>
          <w:pgSz w:w="16840" w:h="11907" w:orient="landscape"/>
          <w:pgMar w:top="851" w:right="1134" w:bottom="851" w:left="1134" w:header="708" w:footer="708" w:gutter="0"/>
          <w:cols w:space="708"/>
          <w:noEndnote/>
        </w:sectPr>
      </w:pPr>
    </w:p>
    <w:p w:rsidR="005A7E08" w:rsidRDefault="005A7E08" w:rsidP="005A7E08">
      <w:pPr>
        <w:widowControl w:val="0"/>
        <w:autoSpaceDE w:val="0"/>
        <w:autoSpaceDN w:val="0"/>
        <w:adjustRightInd w:val="0"/>
        <w:spacing w:before="240"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III. Építési műszaki ellenőrzés</w:t>
      </w:r>
    </w:p>
    <w:p w:rsidR="005A7E08" w:rsidRDefault="005A7E08" w:rsidP="005A7E08">
      <w:pPr>
        <w:widowControl w:val="0"/>
        <w:autoSpaceDE w:val="0"/>
        <w:autoSpaceDN w:val="0"/>
        <w:adjustRightInd w:val="0"/>
        <w:spacing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Általános építmények építési műszaki ellenőri szakterületek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3"/>
        <w:gridCol w:w="2653"/>
        <w:gridCol w:w="1446"/>
        <w:gridCol w:w="6822"/>
        <w:gridCol w:w="2114"/>
        <w:gridCol w:w="1180"/>
      </w:tblGrid>
      <w:tr w:rsidR="005A7E08">
        <w:tblPrEx>
          <w:tblCellMar>
            <w:top w:w="0" w:type="dxa"/>
            <w:bottom w:w="0" w:type="dxa"/>
          </w:tblCellMar>
        </w:tblPrEx>
        <w:tc>
          <w:tcPr>
            <w:tcW w:w="46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265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4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682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11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118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p>
        </w:tc>
      </w:tr>
      <w:tr w:rsidR="005A7E08">
        <w:tblPrEx>
          <w:tblCellMar>
            <w:top w:w="0" w:type="dxa"/>
            <w:bottom w:w="0" w:type="dxa"/>
          </w:tblCellMar>
        </w:tblPrEx>
        <w:tc>
          <w:tcPr>
            <w:tcW w:w="46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1. </w:t>
            </w:r>
          </w:p>
        </w:tc>
        <w:tc>
          <w:tcPr>
            <w:tcW w:w="265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44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682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11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c>
          <w:tcPr>
            <w:tcW w:w="118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gyakorlati idő</w:t>
            </w:r>
          </w:p>
        </w:tc>
      </w:tr>
      <w:tr w:rsidR="005A7E08">
        <w:tblPrEx>
          <w:tblCellMar>
            <w:top w:w="0" w:type="dxa"/>
            <w:bottom w:w="0" w:type="dxa"/>
          </w:tblCellMar>
        </w:tblPrEx>
        <w:trPr>
          <w:trHeight w:val="1401"/>
        </w:trPr>
        <w:tc>
          <w:tcPr>
            <w:tcW w:w="46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2. </w:t>
            </w:r>
          </w:p>
        </w:tc>
        <w:tc>
          <w:tcPr>
            <w:tcW w:w="2653"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r>
              <w:rPr>
                <w:rFonts w:ascii="Times New Roman" w:hAnsi="Times New Roman" w:cs="Times New Roman"/>
                <w:b/>
                <w:bCs/>
                <w:sz w:val="20"/>
                <w:szCs w:val="20"/>
              </w:rPr>
              <w:t>Magasépítési szakterület</w:t>
            </w:r>
          </w:p>
        </w:tc>
        <w:tc>
          <w:tcPr>
            <w:tcW w:w="1446" w:type="dxa"/>
            <w:vAlign w:val="center"/>
          </w:tcPr>
          <w:p w:rsidR="005A7E08" w:rsidRDefault="005A7E08">
            <w:pPr>
              <w:widowControl w:val="0"/>
              <w:autoSpaceDE w:val="0"/>
              <w:autoSpaceDN w:val="0"/>
              <w:adjustRightInd w:val="0"/>
              <w:spacing w:after="0" w:line="240" w:lineRule="auto"/>
              <w:ind w:firstLine="1"/>
              <w:jc w:val="center"/>
              <w:rPr>
                <w:rFonts w:ascii="Times New Roman" w:hAnsi="Times New Roman" w:cs="Times New Roman"/>
                <w:b/>
                <w:bCs/>
                <w:sz w:val="20"/>
                <w:szCs w:val="20"/>
              </w:rPr>
            </w:pPr>
            <w:r>
              <w:rPr>
                <w:rFonts w:ascii="Times New Roman" w:hAnsi="Times New Roman" w:cs="Times New Roman"/>
                <w:b/>
                <w:bCs/>
                <w:sz w:val="20"/>
                <w:szCs w:val="20"/>
              </w:rPr>
              <w:t>ME-É</w:t>
            </w:r>
          </w:p>
        </w:tc>
        <w:tc>
          <w:tcPr>
            <w:tcW w:w="682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Az általános építmények építésére, átalakítására, bővítésére, felújítására, helyreállítására, korszerűsítésére, lebontására, elmozdítására irányuló építési munkák teljes körű építési műszaki ellenőrzése</w:t>
            </w:r>
            <w:r>
              <w:rPr>
                <w:rFonts w:ascii="Times New Roman" w:hAnsi="Times New Roman" w:cs="Times New Roman"/>
                <w:sz w:val="20"/>
                <w:szCs w:val="20"/>
              </w:rPr>
              <w:t xml:space="preserve">.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 xml:space="preserve">Az ellenőrzés az Épkiv. 22. § (4) bekezdés </w:t>
            </w:r>
            <w:r>
              <w:rPr>
                <w:rFonts w:ascii="Times New Roman" w:hAnsi="Times New Roman" w:cs="Times New Roman"/>
                <w:i/>
                <w:iCs/>
                <w:color w:val="000000"/>
                <w:sz w:val="20"/>
                <w:szCs w:val="20"/>
              </w:rPr>
              <w:t>b)</w:t>
            </w:r>
            <w:r>
              <w:rPr>
                <w:rFonts w:ascii="Times New Roman" w:hAnsi="Times New Roman" w:cs="Times New Roman"/>
                <w:color w:val="000000"/>
                <w:sz w:val="20"/>
                <w:szCs w:val="20"/>
              </w:rPr>
              <w:t>-</w:t>
            </w:r>
            <w:r>
              <w:rPr>
                <w:rFonts w:ascii="Times New Roman" w:hAnsi="Times New Roman" w:cs="Times New Roman"/>
                <w:i/>
                <w:iCs/>
                <w:color w:val="000000"/>
                <w:sz w:val="20"/>
                <w:szCs w:val="20"/>
              </w:rPr>
              <w:t>c)</w:t>
            </w:r>
            <w:r>
              <w:rPr>
                <w:rFonts w:ascii="Times New Roman" w:hAnsi="Times New Roman" w:cs="Times New Roman"/>
                <w:color w:val="000000"/>
                <w:sz w:val="20"/>
                <w:szCs w:val="20"/>
              </w:rPr>
              <w:t xml:space="preserve"> pontjában meghatározott méretet, jellemzőt meghaladó szakági munkára nem vonatkozik.</w:t>
            </w:r>
          </w:p>
        </w:tc>
        <w:tc>
          <w:tcPr>
            <w:tcW w:w="2114"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 xml:space="preserve">okleveles építőmérnök,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építészmérnök, </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építőmérnök,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építészmérnök </w:t>
            </w:r>
          </w:p>
        </w:tc>
        <w:tc>
          <w:tcPr>
            <w:tcW w:w="1180"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bl>
    <w:p w:rsidR="005A7E08" w:rsidRDefault="005A7E08" w:rsidP="005A7E08">
      <w:pPr>
        <w:widowControl w:val="0"/>
        <w:autoSpaceDE w:val="0"/>
        <w:autoSpaceDN w:val="0"/>
        <w:adjustRightInd w:val="0"/>
        <w:spacing w:before="240" w:after="0" w:line="240" w:lineRule="auto"/>
        <w:ind w:left="360"/>
        <w:jc w:val="center"/>
        <w:rPr>
          <w:rFonts w:ascii="Times New Roman" w:hAnsi="Times New Roman" w:cs="Times New Roman"/>
          <w:b/>
          <w:bCs/>
          <w:sz w:val="24"/>
          <w:szCs w:val="24"/>
        </w:rPr>
      </w:pPr>
      <w:r>
        <w:rPr>
          <w:rFonts w:ascii="Times New Roman" w:hAnsi="Times New Roman" w:cs="Times New Roman"/>
          <w:b/>
          <w:bCs/>
          <w:sz w:val="24"/>
          <w:szCs w:val="24"/>
        </w:rPr>
        <w:t>2.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sz w:val="24"/>
          <w:szCs w:val="24"/>
        </w:rPr>
      </w:pPr>
      <w:r>
        <w:rPr>
          <w:rFonts w:ascii="Times New Roman" w:hAnsi="Times New Roman" w:cs="Times New Roman"/>
          <w:b/>
          <w:bCs/>
          <w:sz w:val="24"/>
          <w:szCs w:val="24"/>
        </w:rPr>
        <w:t>Szakági építési műszaki ellenőri szakterületek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2691"/>
        <w:gridCol w:w="1420"/>
        <w:gridCol w:w="6802"/>
        <w:gridCol w:w="2130"/>
        <w:gridCol w:w="1274"/>
      </w:tblGrid>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269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2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680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13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127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w:t>
            </w:r>
          </w:p>
        </w:tc>
        <w:tc>
          <w:tcPr>
            <w:tcW w:w="269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42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680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13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c>
          <w:tcPr>
            <w:tcW w:w="127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gyakorlati idő</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2.</w:t>
            </w:r>
          </w:p>
        </w:tc>
        <w:tc>
          <w:tcPr>
            <w:tcW w:w="2691"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Mélyépítési és mélyépítési műtárgyak szakterület</w:t>
            </w:r>
          </w:p>
        </w:tc>
        <w:tc>
          <w:tcPr>
            <w:tcW w:w="1420" w:type="dxa"/>
            <w:vAlign w:val="center"/>
          </w:tcPr>
          <w:p w:rsidR="005A7E08" w:rsidRDefault="005A7E08">
            <w:pPr>
              <w:widowControl w:val="0"/>
              <w:autoSpaceDE w:val="0"/>
              <w:autoSpaceDN w:val="0"/>
              <w:adjustRightInd w:val="0"/>
              <w:spacing w:after="0" w:line="240" w:lineRule="auto"/>
              <w:ind w:firstLine="1"/>
              <w:jc w:val="center"/>
              <w:rPr>
                <w:rFonts w:ascii="Times New Roman" w:hAnsi="Times New Roman" w:cs="Times New Roman"/>
                <w:b/>
                <w:bCs/>
                <w:sz w:val="20"/>
                <w:szCs w:val="20"/>
              </w:rPr>
            </w:pPr>
            <w:r>
              <w:rPr>
                <w:rFonts w:ascii="Times New Roman" w:hAnsi="Times New Roman" w:cs="Times New Roman"/>
                <w:b/>
                <w:bCs/>
                <w:sz w:val="20"/>
                <w:szCs w:val="20"/>
              </w:rPr>
              <w:t>ME-M</w:t>
            </w:r>
          </w:p>
        </w:tc>
        <w:tc>
          <w:tcPr>
            <w:tcW w:w="680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magasépítési szakterületnél meghatározott építményhez szerkezetileg vagy funkciójában kapcsolódó alapozási, szennyvíztisztítási, szennyvíztárolási, szivárgó, víztelenítési, műtárgyépítési, föld- és tereprendezési, valamint felszíni vízelvezetési munkáinak ellenőrzése.</w:t>
            </w:r>
          </w:p>
        </w:tc>
        <w:tc>
          <w:tcPr>
            <w:tcW w:w="2130"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 xml:space="preserve">okleveles építőmérnök, </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építőmérnök</w:t>
            </w:r>
          </w:p>
        </w:tc>
        <w:tc>
          <w:tcPr>
            <w:tcW w:w="1274"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w:t>
            </w:r>
          </w:p>
        </w:tc>
        <w:tc>
          <w:tcPr>
            <w:tcW w:w="2691"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Építménygépészeti szakterület</w:t>
            </w:r>
          </w:p>
        </w:tc>
        <w:tc>
          <w:tcPr>
            <w:tcW w:w="1420"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w:t>
            </w:r>
          </w:p>
        </w:tc>
        <w:tc>
          <w:tcPr>
            <w:tcW w:w="680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Építmények fűtési, szellőzési, valamint az építményen, illetőleg telekhatáron belüli vízellátási, csatornázási és gázhálózat szerelési munkáinak ellenőrzése a mérőóráig. </w:t>
            </w:r>
          </w:p>
        </w:tc>
        <w:tc>
          <w:tcPr>
            <w:tcW w:w="213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gépészmérnök épületgépész szakirány,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létesítmény 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gépészmérnök épületgépészeti szakirány</w:t>
            </w:r>
          </w:p>
        </w:tc>
        <w:tc>
          <w:tcPr>
            <w:tcW w:w="1274"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Height w:val="478"/>
        </w:trPr>
        <w:tc>
          <w:tcPr>
            <w:tcW w:w="42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w:t>
            </w:r>
          </w:p>
        </w:tc>
        <w:tc>
          <w:tcPr>
            <w:tcW w:w="2691"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Építményvillamossági szakterület</w:t>
            </w:r>
          </w:p>
        </w:tc>
        <w:tc>
          <w:tcPr>
            <w:tcW w:w="1420"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ME-V</w:t>
            </w:r>
          </w:p>
        </w:tc>
        <w:tc>
          <w:tcPr>
            <w:tcW w:w="680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Építmények és szabad terek közép- és kisfeszültségű rendszerei (kül- és beltéri világítás, villámvédelem, folyamatirányítás, építményautomatika, távközlési és informatikai hálózat, villamos energiaellátó rendszerek szerelési munkáinak műszaki ellenőrzése a fogyasztói oldaltól a közcélú csatlakozási pontig)</w:t>
            </w:r>
          </w:p>
        </w:tc>
        <w:tc>
          <w:tcPr>
            <w:tcW w:w="213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villamosmérnök </w:t>
            </w:r>
          </w:p>
        </w:tc>
        <w:tc>
          <w:tcPr>
            <w:tcW w:w="1274"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bl>
    <w:p w:rsidR="005A7E08" w:rsidRDefault="005A7E08" w:rsidP="005A7E08">
      <w:pPr>
        <w:widowControl w:val="0"/>
        <w:autoSpaceDE w:val="0"/>
        <w:autoSpaceDN w:val="0"/>
        <w:adjustRightInd w:val="0"/>
        <w:spacing w:before="240" w:after="0" w:line="240" w:lineRule="auto"/>
        <w:ind w:left="357"/>
        <w:jc w:val="center"/>
        <w:rPr>
          <w:rFonts w:ascii="Times New Roman" w:hAnsi="Times New Roman" w:cs="Times New Roman"/>
          <w:b/>
          <w:bCs/>
          <w:sz w:val="24"/>
          <w:szCs w:val="24"/>
        </w:rPr>
      </w:pPr>
      <w:r>
        <w:rPr>
          <w:rFonts w:ascii="Times New Roman" w:hAnsi="Times New Roman" w:cs="Times New Roman"/>
          <w:b/>
          <w:bCs/>
          <w:sz w:val="24"/>
          <w:szCs w:val="24"/>
        </w:rPr>
        <w:t>3.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A sajátos építményfajták építési műszaki ellenőri szakterületei</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553"/>
        <w:gridCol w:w="1415"/>
        <w:gridCol w:w="6803"/>
        <w:gridCol w:w="2129"/>
        <w:gridCol w:w="1356"/>
      </w:tblGrid>
      <w:tr w:rsidR="005A7E08">
        <w:tblPrEx>
          <w:tblCellMar>
            <w:top w:w="0" w:type="dxa"/>
            <w:bottom w:w="0" w:type="dxa"/>
          </w:tblCellMar>
        </w:tblPrEx>
        <w:trPr>
          <w:cantSplit/>
          <w:trHeight w:val="284"/>
        </w:trPr>
        <w:tc>
          <w:tcPr>
            <w:tcW w:w="567"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255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15"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680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12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135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E</w:t>
            </w:r>
          </w:p>
        </w:tc>
      </w:tr>
      <w:tr w:rsidR="005A7E08">
        <w:tblPrEx>
          <w:tblCellMar>
            <w:top w:w="0" w:type="dxa"/>
            <w:bottom w:w="0" w:type="dxa"/>
          </w:tblCellMar>
        </w:tblPrEx>
        <w:trPr>
          <w:cantSplit/>
          <w:trHeight w:val="485"/>
        </w:trPr>
        <w:tc>
          <w:tcPr>
            <w:tcW w:w="567"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1.</w:t>
            </w:r>
          </w:p>
        </w:tc>
        <w:tc>
          <w:tcPr>
            <w:tcW w:w="255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415"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680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12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c>
          <w:tcPr>
            <w:tcW w:w="135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Szakmai gyakorlati idő</w:t>
            </w:r>
          </w:p>
        </w:tc>
      </w:tr>
      <w:tr w:rsidR="005A7E08">
        <w:tblPrEx>
          <w:tblCellMar>
            <w:top w:w="0" w:type="dxa"/>
            <w:bottom w:w="0" w:type="dxa"/>
          </w:tblCellMar>
        </w:tblPrEx>
        <w:trPr>
          <w:cantSplit/>
          <w:trHeight w:val="766"/>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Közlekedési építmények szakterület</w:t>
            </w:r>
          </w:p>
        </w:tc>
        <w:tc>
          <w:tcPr>
            <w:tcW w:w="1415" w:type="dxa"/>
            <w:vAlign w:val="center"/>
          </w:tcPr>
          <w:p w:rsidR="005A7E08" w:rsidRDefault="005A7E08">
            <w:pPr>
              <w:widowControl w:val="0"/>
              <w:autoSpaceDE w:val="0"/>
              <w:autoSpaceDN w:val="0"/>
              <w:adjustRightInd w:val="0"/>
              <w:spacing w:after="0" w:line="240" w:lineRule="auto"/>
              <w:ind w:firstLine="1"/>
              <w:jc w:val="center"/>
              <w:rPr>
                <w:rFonts w:ascii="Times New Roman" w:hAnsi="Times New Roman" w:cs="Times New Roman"/>
                <w:b/>
                <w:bCs/>
                <w:sz w:val="20"/>
                <w:szCs w:val="20"/>
              </w:rPr>
            </w:pPr>
            <w:r>
              <w:rPr>
                <w:rFonts w:ascii="Times New Roman" w:hAnsi="Times New Roman" w:cs="Times New Roman"/>
                <w:b/>
                <w:bCs/>
                <w:sz w:val="20"/>
                <w:szCs w:val="20"/>
              </w:rPr>
              <w:t>ME-KÉ</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Közúti, vasúti (közúti villamos vasút, földalatti vasút is), légi közlekedési, hajózási építmények (így különösen annak műtárgyai: híd, áteresz, alagút, aluljáró, támfal) berendezései, tartozékai, vízelvezetése és zajvédelme építési munkáinak műszaki ellenőrzése korlátozás nélkül.</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építőmérnök,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építőmérnök,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mélyépítő-,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közlekedés építőmérnök </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Height w:val="765"/>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Közlekedési építmények szakterület vasút-villamossági építmények részszakterület</w:t>
            </w:r>
          </w:p>
        </w:tc>
        <w:tc>
          <w:tcPr>
            <w:tcW w:w="1415"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ME-KÉ-VV</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Vasúti-villamossági építmények (vasút-villamosítás, villamosenergia-ellátás, energia távvezérlés villamossági berendezések létesítése) építési munkáinak műszaki ellenőrzése korlátozás nélkül.</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villamosmérnök</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Height w:val="545"/>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Hírközlési építmények szakterület </w:t>
            </w:r>
          </w:p>
        </w:tc>
        <w:tc>
          <w:tcPr>
            <w:tcW w:w="1415"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ME-HI</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részszakterület szerint</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részszakterület szerint</w:t>
            </w:r>
          </w:p>
        </w:tc>
        <w:tc>
          <w:tcPr>
            <w:tcW w:w="135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r>
      <w:tr w:rsidR="005A7E08">
        <w:tblPrEx>
          <w:tblCellMar>
            <w:top w:w="0" w:type="dxa"/>
            <w:bottom w:w="0" w:type="dxa"/>
          </w:tblCellMar>
        </w:tblPrEx>
        <w:trPr>
          <w:cantSplit/>
          <w:trHeight w:val="727"/>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Hírközlési építmények szakterület vezetékes hírközlési építmények részszakterület</w:t>
            </w:r>
          </w:p>
        </w:tc>
        <w:tc>
          <w:tcPr>
            <w:tcW w:w="1415" w:type="dxa"/>
            <w:vAlign w:val="center"/>
          </w:tcPr>
          <w:p w:rsidR="005A7E08" w:rsidRDefault="005A7E08">
            <w:pPr>
              <w:widowControl w:val="0"/>
              <w:autoSpaceDE w:val="0"/>
              <w:autoSpaceDN w:val="0"/>
              <w:adjustRightInd w:val="0"/>
              <w:spacing w:after="0" w:line="240" w:lineRule="auto"/>
              <w:ind w:firstLine="1"/>
              <w:jc w:val="center"/>
              <w:rPr>
                <w:rFonts w:ascii="Times New Roman" w:hAnsi="Times New Roman" w:cs="Times New Roman"/>
                <w:sz w:val="20"/>
                <w:szCs w:val="20"/>
              </w:rPr>
            </w:pPr>
            <w:r>
              <w:rPr>
                <w:rFonts w:ascii="Times New Roman" w:hAnsi="Times New Roman" w:cs="Times New Roman"/>
                <w:sz w:val="20"/>
                <w:szCs w:val="20"/>
              </w:rPr>
              <w:t>ME-HI-TÉ</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elektronikus hírközlési építmények, rendszerek létesítésének, felújításának és átalakításának, bontásának építési műszaki ellenőrzése korlátozás nélkül.</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villamosmérnök</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Height w:val="727"/>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Hírközlési építmények szakterület vezeték nélküli hírközlési építmények részszakterület</w:t>
            </w:r>
          </w:p>
        </w:tc>
        <w:tc>
          <w:tcPr>
            <w:tcW w:w="1415"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ME-HI-TV</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 hírközléshez szükséges olyan sajátos építmények villamos szerelési munkái, amelyek magukban foglalják a vezetékeket, a vezetékekkel és vezeték nélküli összeköttetésekkel összefüggő műtárgyakat.</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villamosmérnök</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7.</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Vízgazdálkodási építmények szakterület</w:t>
            </w:r>
          </w:p>
        </w:tc>
        <w:tc>
          <w:tcPr>
            <w:tcW w:w="1415"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ME-VZ</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Vízgazdálkodási építmények építésének műszaki ellenőrzése korlátozás nélkül</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építőmérnök,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vízmérnök,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építőmérnök,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vízépítő mérnök</w:t>
            </w:r>
          </w:p>
        </w:tc>
        <w:tc>
          <w:tcPr>
            <w:tcW w:w="135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r w:rsidR="005A7E08">
        <w:tblPrEx>
          <w:tblCellMar>
            <w:top w:w="0" w:type="dxa"/>
            <w:bottom w:w="0" w:type="dxa"/>
          </w:tblCellMar>
        </w:tblPrEx>
        <w:trPr>
          <w:cantSplit/>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8.</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Bányászati építmények szakterület </w:t>
            </w:r>
          </w:p>
        </w:tc>
        <w:tc>
          <w:tcPr>
            <w:tcW w:w="1415"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 B</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Szilárdásványi nyersanyagok bányászatával, kőolaj- és földgázbányászatával kapcsolatos, valamint hévízbányászati (termálvíz) építmények építésének műszaki ellenőrzése.</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bánya- és geotechnikai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gáz- és olajipari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bányagépészmérnök,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előkészítéstechnika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gépészmérnök,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bánya- és geotechnikai 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földtudomány 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gáz- és olajipari mérnök </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9.</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Szénhidrogén-szállító vezetékek, gázelosztó vezetékek, célvezetékek, egyéb gáz és gáztermék vezetékek,</w:t>
            </w:r>
            <w:r>
              <w:rPr>
                <w:rFonts w:ascii="Times New Roman" w:hAnsi="Times New Roman" w:cs="Times New Roman"/>
                <w:sz w:val="20"/>
                <w:szCs w:val="20"/>
              </w:rPr>
              <w:t xml:space="preserve"> </w:t>
            </w:r>
            <w:r>
              <w:rPr>
                <w:rFonts w:ascii="Times New Roman" w:hAnsi="Times New Roman" w:cs="Times New Roman"/>
                <w:b/>
                <w:bCs/>
                <w:sz w:val="20"/>
                <w:szCs w:val="20"/>
              </w:rPr>
              <w:t xml:space="preserve">propán-bután töltő telepek és tartozékainak építése szakterület </w:t>
            </w:r>
          </w:p>
        </w:tc>
        <w:tc>
          <w:tcPr>
            <w:tcW w:w="1415"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ME-GO</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Szénhidrogén-szállító vezetékek, gázelosztó vezetékek, célvezetékek, egyéb gáz és gáztermék vezetékek, propán-bután töltő telepek és tartozékainak építésének műszaki ellenőrzése.</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gáz- és olajipari 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gáz- és olajipari 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gépészmérnök </w:t>
            </w:r>
          </w:p>
        </w:tc>
        <w:tc>
          <w:tcPr>
            <w:tcW w:w="135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év</w:t>
            </w:r>
          </w:p>
        </w:tc>
      </w:tr>
      <w:tr w:rsidR="005A7E08">
        <w:tblPrEx>
          <w:tblCellMar>
            <w:top w:w="0" w:type="dxa"/>
            <w:bottom w:w="0" w:type="dxa"/>
          </w:tblCellMar>
        </w:tblPrEx>
        <w:trPr>
          <w:cantSplit/>
          <w:trHeight w:val="932"/>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10.</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Energiaellátási építmények szakterület </w:t>
            </w:r>
          </w:p>
        </w:tc>
        <w:tc>
          <w:tcPr>
            <w:tcW w:w="1415" w:type="dxa"/>
            <w:vAlign w:val="center"/>
          </w:tcPr>
          <w:p w:rsidR="005A7E08" w:rsidRDefault="005A7E08">
            <w:pPr>
              <w:widowControl w:val="0"/>
              <w:autoSpaceDE w:val="0"/>
              <w:autoSpaceDN w:val="0"/>
              <w:adjustRightInd w:val="0"/>
              <w:spacing w:after="0" w:line="240" w:lineRule="auto"/>
              <w:ind w:firstLine="1"/>
              <w:jc w:val="center"/>
              <w:rPr>
                <w:rFonts w:ascii="Times New Roman" w:hAnsi="Times New Roman" w:cs="Times New Roman"/>
                <w:b/>
                <w:bCs/>
                <w:sz w:val="20"/>
                <w:szCs w:val="20"/>
              </w:rPr>
            </w:pPr>
            <w:r>
              <w:rPr>
                <w:rFonts w:ascii="Times New Roman" w:hAnsi="Times New Roman" w:cs="Times New Roman"/>
                <w:b/>
                <w:bCs/>
                <w:sz w:val="20"/>
                <w:szCs w:val="20"/>
              </w:rPr>
              <w:t>ME- EN</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Energetikai, szénhidrogén-ipari építmények építésének műszaki ellenőrzése korlátozás nélkül.</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gépészmérnök,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energiamérnök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gépészmérnök</w:t>
            </w:r>
          </w:p>
        </w:tc>
        <w:tc>
          <w:tcPr>
            <w:tcW w:w="135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Height w:val="921"/>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11.</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Energiaellátási építmények szakterület vegyipari építményeinek építése részszakterület</w:t>
            </w:r>
          </w:p>
        </w:tc>
        <w:tc>
          <w:tcPr>
            <w:tcW w:w="1415" w:type="dxa"/>
            <w:vAlign w:val="center"/>
          </w:tcPr>
          <w:p w:rsidR="005A7E08" w:rsidRDefault="005A7E08">
            <w:pPr>
              <w:widowControl w:val="0"/>
              <w:autoSpaceDE w:val="0"/>
              <w:autoSpaceDN w:val="0"/>
              <w:adjustRightInd w:val="0"/>
              <w:spacing w:after="0" w:line="240" w:lineRule="auto"/>
              <w:ind w:firstLine="1"/>
              <w:jc w:val="center"/>
              <w:rPr>
                <w:rFonts w:ascii="Times New Roman" w:hAnsi="Times New Roman" w:cs="Times New Roman"/>
                <w:sz w:val="20"/>
                <w:szCs w:val="20"/>
              </w:rPr>
            </w:pPr>
            <w:r>
              <w:rPr>
                <w:rFonts w:ascii="Times New Roman" w:hAnsi="Times New Roman" w:cs="Times New Roman"/>
                <w:sz w:val="20"/>
                <w:szCs w:val="20"/>
              </w:rPr>
              <w:t>ME-EN-VE</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Vegyipari építmények építésének műszaki ellenőrzése.</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vegyészmérnök,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vegyészmérnök</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Height w:val="1289"/>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12.</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Energiaellátási építmények szakterület távhő termelésre és szállításra szolgáló sajátos műszaki építmények építése részszakterület</w:t>
            </w:r>
          </w:p>
        </w:tc>
        <w:tc>
          <w:tcPr>
            <w:tcW w:w="1415" w:type="dxa"/>
            <w:vAlign w:val="center"/>
          </w:tcPr>
          <w:p w:rsidR="005A7E08" w:rsidRDefault="005A7E08">
            <w:pPr>
              <w:widowControl w:val="0"/>
              <w:autoSpaceDE w:val="0"/>
              <w:autoSpaceDN w:val="0"/>
              <w:adjustRightInd w:val="0"/>
              <w:spacing w:after="0" w:line="240" w:lineRule="auto"/>
              <w:ind w:firstLine="1"/>
              <w:jc w:val="center"/>
              <w:rPr>
                <w:rFonts w:ascii="Times New Roman" w:hAnsi="Times New Roman" w:cs="Times New Roman"/>
                <w:sz w:val="20"/>
                <w:szCs w:val="20"/>
              </w:rPr>
            </w:pPr>
            <w:r>
              <w:rPr>
                <w:rFonts w:ascii="Times New Roman" w:hAnsi="Times New Roman" w:cs="Times New Roman"/>
                <w:sz w:val="20"/>
                <w:szCs w:val="20"/>
              </w:rPr>
              <w:t>ME-EN-TH</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 feletti és föld alatti távhővezetékek, azok tartozékai és védőberendezései építésének műszaki ellenőrzése korlátozás nélkül.</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gépészmérnök,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energetikai 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energetikai mérnök</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Height w:val="762"/>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13.</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Energiaellátási építmények szakterület villamosenergetikai részszakterület</w:t>
            </w:r>
          </w:p>
        </w:tc>
        <w:tc>
          <w:tcPr>
            <w:tcW w:w="1415"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ME-EN-VI</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 feletti és föld alatti vezetékek, átalakító- és kapcsolóberendezések (nagy-, középfeszültség, kisfeszültségű hálózatoknál) építésének műszaki ellenőrzése korlátozás nélkül.</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villamosmérnök</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rPr>
          <w:cantSplit/>
          <w:trHeight w:val="762"/>
        </w:trPr>
        <w:tc>
          <w:tcPr>
            <w:tcW w:w="567"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14.</w:t>
            </w:r>
          </w:p>
        </w:tc>
        <w:tc>
          <w:tcPr>
            <w:tcW w:w="255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Energiaellátási építmények szakterület atomenergia építmények részszakterület </w:t>
            </w:r>
          </w:p>
        </w:tc>
        <w:tc>
          <w:tcPr>
            <w:tcW w:w="1415"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ME-EN-A</w:t>
            </w:r>
          </w:p>
        </w:tc>
        <w:tc>
          <w:tcPr>
            <w:tcW w:w="680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Atomenergia építmények építésének építési műszaki ellenőrzése</w:t>
            </w:r>
          </w:p>
        </w:tc>
        <w:tc>
          <w:tcPr>
            <w:tcW w:w="212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építőmérnök </w:t>
            </w:r>
          </w:p>
        </w:tc>
        <w:tc>
          <w:tcPr>
            <w:tcW w:w="1356"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 xml:space="preserve">5 év </w:t>
            </w:r>
          </w:p>
        </w:tc>
      </w:tr>
    </w:tbl>
    <w:p w:rsidR="005A7E08" w:rsidRDefault="005A7E08" w:rsidP="005A7E08">
      <w:pPr>
        <w:widowControl w:val="0"/>
        <w:autoSpaceDE w:val="0"/>
        <w:autoSpaceDN w:val="0"/>
        <w:adjustRightInd w:val="0"/>
        <w:spacing w:before="240" w:after="0" w:line="240" w:lineRule="auto"/>
        <w:jc w:val="center"/>
        <w:rPr>
          <w:rFonts w:ascii="Times New Roman" w:hAnsi="Times New Roman" w:cs="Times New Roman"/>
          <w:b/>
          <w:bCs/>
          <w:sz w:val="24"/>
          <w:szCs w:val="24"/>
        </w:rPr>
      </w:pPr>
    </w:p>
    <w:p w:rsidR="005A7E08" w:rsidRDefault="005A7E08" w:rsidP="005A7E08">
      <w:pPr>
        <w:pageBreakBefore/>
        <w:widowControl w:val="0"/>
        <w:autoSpaceDE w:val="0"/>
        <w:autoSpaceDN w:val="0"/>
        <w:adjustRightInd w:val="0"/>
        <w:spacing w:before="240"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IV. Felelős műszaki vezetés</w:t>
      </w:r>
    </w:p>
    <w:p w:rsidR="005A7E08" w:rsidRDefault="005A7E08" w:rsidP="005A7E08">
      <w:pPr>
        <w:widowControl w:val="0"/>
        <w:autoSpaceDE w:val="0"/>
        <w:autoSpaceDN w:val="0"/>
        <w:adjustRightInd w:val="0"/>
        <w:spacing w:before="240" w:after="0" w:line="240" w:lineRule="auto"/>
        <w:ind w:left="357"/>
        <w:jc w:val="center"/>
        <w:rPr>
          <w:rFonts w:ascii="Times New Roman" w:hAnsi="Times New Roman" w:cs="Times New Roman"/>
          <w:b/>
          <w:bCs/>
          <w:sz w:val="24"/>
          <w:szCs w:val="24"/>
        </w:rPr>
      </w:pPr>
      <w:r>
        <w:rPr>
          <w:rFonts w:ascii="Times New Roman" w:hAnsi="Times New Roman" w:cs="Times New Roman"/>
          <w:b/>
          <w:bCs/>
          <w:sz w:val="24"/>
          <w:szCs w:val="24"/>
        </w:rPr>
        <w:t>1. rész</w:t>
      </w:r>
    </w:p>
    <w:p w:rsidR="005A7E08" w:rsidRDefault="005A7E08" w:rsidP="005A7E08">
      <w:pPr>
        <w:widowControl w:val="0"/>
        <w:autoSpaceDE w:val="0"/>
        <w:autoSpaceDN w:val="0"/>
        <w:adjustRightInd w:val="0"/>
        <w:spacing w:after="120" w:line="240" w:lineRule="auto"/>
        <w:ind w:left="720"/>
        <w:jc w:val="center"/>
        <w:rPr>
          <w:rFonts w:ascii="Times New Roman" w:hAnsi="Times New Roman" w:cs="Times New Roman"/>
          <w:b/>
          <w:bCs/>
          <w:sz w:val="24"/>
          <w:szCs w:val="24"/>
        </w:rPr>
      </w:pPr>
      <w:r>
        <w:rPr>
          <w:rFonts w:ascii="Times New Roman" w:hAnsi="Times New Roman" w:cs="Times New Roman"/>
          <w:b/>
          <w:bCs/>
          <w:sz w:val="24"/>
          <w:szCs w:val="24"/>
        </w:rPr>
        <w:t>Általános építmények felelős műszaki vezetői szakterületek</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11"/>
        <w:gridCol w:w="2764"/>
        <w:gridCol w:w="1329"/>
        <w:gridCol w:w="6390"/>
        <w:gridCol w:w="2564"/>
        <w:gridCol w:w="1294"/>
      </w:tblGrid>
      <w:tr w:rsidR="005A7E08">
        <w:tblPrEx>
          <w:tblCellMar>
            <w:top w:w="0" w:type="dxa"/>
            <w:bottom w:w="0" w:type="dxa"/>
          </w:tblCellMar>
        </w:tblPrEx>
        <w:trPr>
          <w:jc w:val="center"/>
        </w:trPr>
        <w:tc>
          <w:tcPr>
            <w:tcW w:w="511" w:type="dxa"/>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276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32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639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56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1294"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w:t>
            </w:r>
          </w:p>
        </w:tc>
      </w:tr>
      <w:tr w:rsidR="005A7E08">
        <w:tblPrEx>
          <w:tblCellMar>
            <w:top w:w="0" w:type="dxa"/>
            <w:bottom w:w="0" w:type="dxa"/>
          </w:tblCellMar>
        </w:tblPrEx>
        <w:trPr>
          <w:trHeight w:val="695"/>
          <w:jc w:val="center"/>
        </w:trPr>
        <w:tc>
          <w:tcPr>
            <w:tcW w:w="511"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1. </w:t>
            </w:r>
          </w:p>
        </w:tc>
        <w:tc>
          <w:tcPr>
            <w:tcW w:w="2764"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32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6390"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564"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c>
          <w:tcPr>
            <w:tcW w:w="1294"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gyakorlati idő</w:t>
            </w:r>
          </w:p>
        </w:tc>
      </w:tr>
      <w:tr w:rsidR="005A7E08">
        <w:tblPrEx>
          <w:tblCellMar>
            <w:top w:w="0" w:type="dxa"/>
            <w:bottom w:w="0" w:type="dxa"/>
          </w:tblCellMar>
        </w:tblPrEx>
        <w:trPr>
          <w:trHeight w:val="1449"/>
          <w:jc w:val="center"/>
        </w:trPr>
        <w:tc>
          <w:tcPr>
            <w:tcW w:w="511"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 </w:t>
            </w:r>
          </w:p>
        </w:tc>
        <w:tc>
          <w:tcPr>
            <w:tcW w:w="2764"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Építési szakterület </w:t>
            </w:r>
          </w:p>
        </w:tc>
        <w:tc>
          <w:tcPr>
            <w:tcW w:w="132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MV-É</w:t>
            </w:r>
          </w:p>
        </w:tc>
        <w:tc>
          <w:tcPr>
            <w:tcW w:w="6390"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Általános építmények építésére, átalakítására, bővítésére, felújítására, helyreállítására, korszerűsítésére, lebontására, elmozdítására irányuló építési-szerelési munkák felelős műszaki vezetése. </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 xml:space="preserve">A műszaki vezetés az Épkiv. 22. § (4) bekezdés </w:t>
            </w:r>
            <w:r>
              <w:rPr>
                <w:rFonts w:ascii="Times New Roman" w:hAnsi="Times New Roman" w:cs="Times New Roman"/>
                <w:i/>
                <w:iCs/>
                <w:color w:val="000000"/>
                <w:sz w:val="20"/>
                <w:szCs w:val="20"/>
              </w:rPr>
              <w:t>b)</w:t>
            </w:r>
            <w:r>
              <w:rPr>
                <w:rFonts w:ascii="Times New Roman" w:hAnsi="Times New Roman" w:cs="Times New Roman"/>
                <w:color w:val="000000"/>
                <w:sz w:val="20"/>
                <w:szCs w:val="20"/>
              </w:rPr>
              <w:t>-</w:t>
            </w:r>
            <w:r>
              <w:rPr>
                <w:rFonts w:ascii="Times New Roman" w:hAnsi="Times New Roman" w:cs="Times New Roman"/>
                <w:i/>
                <w:iCs/>
                <w:color w:val="000000"/>
                <w:sz w:val="20"/>
                <w:szCs w:val="20"/>
              </w:rPr>
              <w:t>c)</w:t>
            </w:r>
            <w:r>
              <w:rPr>
                <w:rFonts w:ascii="Times New Roman" w:hAnsi="Times New Roman" w:cs="Times New Roman"/>
                <w:color w:val="000000"/>
                <w:sz w:val="20"/>
                <w:szCs w:val="20"/>
              </w:rPr>
              <w:t xml:space="preserve"> pontjában meghatározott méretet, jellemzőt meghaladó szakági munkára nem vonatkozik.</w:t>
            </w:r>
          </w:p>
        </w:tc>
        <w:tc>
          <w:tcPr>
            <w:tcW w:w="256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okleveles építészmérnök,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okleveles építőmérnök,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építészmérnök,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építőmérnök,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c>
          <w:tcPr>
            <w:tcW w:w="129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r w:rsidR="005A7E08">
        <w:tblPrEx>
          <w:tblCellMar>
            <w:top w:w="0" w:type="dxa"/>
            <w:bottom w:w="0" w:type="dxa"/>
          </w:tblCellMar>
        </w:tblPrEx>
        <w:trPr>
          <w:jc w:val="center"/>
        </w:trPr>
        <w:tc>
          <w:tcPr>
            <w:tcW w:w="511"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3. </w:t>
            </w:r>
          </w:p>
        </w:tc>
        <w:tc>
          <w:tcPr>
            <w:tcW w:w="2764"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Építési szakterület részszakterülete</w:t>
            </w:r>
          </w:p>
        </w:tc>
        <w:tc>
          <w:tcPr>
            <w:tcW w:w="132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MV-É-R</w:t>
            </w:r>
          </w:p>
        </w:tc>
        <w:tc>
          <w:tcPr>
            <w:tcW w:w="6390"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 xml:space="preserve">Az építési szakterület (MV-É) szerinti </w:t>
            </w:r>
            <w:r>
              <w:rPr>
                <w:rFonts w:ascii="Times New Roman" w:hAnsi="Times New Roman" w:cs="Times New Roman"/>
                <w:color w:val="000000"/>
                <w:sz w:val="20"/>
                <w:szCs w:val="20"/>
              </w:rPr>
              <w:t xml:space="preserve">építési-szerelési munkák felelős műszaki vezetése </w:t>
            </w:r>
            <w:r>
              <w:rPr>
                <w:rFonts w:ascii="Times New Roman" w:hAnsi="Times New Roman" w:cs="Times New Roman"/>
                <w:sz w:val="20"/>
                <w:szCs w:val="20"/>
              </w:rPr>
              <w:t xml:space="preserve">az Épkiv. 22. § (3) bekezdés </w:t>
            </w:r>
            <w:r>
              <w:rPr>
                <w:rFonts w:ascii="Times New Roman" w:hAnsi="Times New Roman" w:cs="Times New Roman"/>
                <w:i/>
                <w:iCs/>
                <w:sz w:val="20"/>
                <w:szCs w:val="20"/>
              </w:rPr>
              <w:t>a)</w:t>
            </w:r>
            <w:r>
              <w:rPr>
                <w:rFonts w:ascii="Times New Roman" w:hAnsi="Times New Roman" w:cs="Times New Roman"/>
                <w:sz w:val="20"/>
                <w:szCs w:val="20"/>
              </w:rPr>
              <w:t xml:space="preserve"> pontjában meghatározott méretet, jellemzőt meg nem haladó építmény esetén. </w:t>
            </w:r>
          </w:p>
        </w:tc>
        <w:tc>
          <w:tcPr>
            <w:tcW w:w="256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szakirányú építőipari technikusi,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szakirányú építőipari szakközépiskola</w:t>
            </w:r>
          </w:p>
        </w:tc>
        <w:tc>
          <w:tcPr>
            <w:tcW w:w="1294" w:type="dxa"/>
          </w:tcPr>
          <w:p w:rsidR="005A7E08" w:rsidRDefault="005A7E08">
            <w:pPr>
              <w:widowControl w:val="0"/>
              <w:autoSpaceDE w:val="0"/>
              <w:autoSpaceDN w:val="0"/>
              <w:adjustRightInd w:val="0"/>
              <w:spacing w:after="0" w:line="240" w:lineRule="auto"/>
              <w:ind w:left="1"/>
              <w:rPr>
                <w:rFonts w:ascii="Times New Roman" w:hAnsi="Times New Roman" w:cs="Times New Roman"/>
                <w:color w:val="000000"/>
                <w:sz w:val="20"/>
                <w:szCs w:val="20"/>
              </w:rPr>
            </w:pPr>
            <w:r>
              <w:rPr>
                <w:rFonts w:ascii="Times New Roman" w:hAnsi="Times New Roman" w:cs="Times New Roman"/>
                <w:color w:val="000000"/>
                <w:sz w:val="20"/>
                <w:szCs w:val="20"/>
              </w:rPr>
              <w:t>5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r w:rsidR="005A7E08">
        <w:tblPrEx>
          <w:tblCellMar>
            <w:top w:w="0" w:type="dxa"/>
            <w:bottom w:w="0" w:type="dxa"/>
          </w:tblCellMar>
        </w:tblPrEx>
        <w:trPr>
          <w:jc w:val="center"/>
        </w:trPr>
        <w:tc>
          <w:tcPr>
            <w:tcW w:w="511"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4.</w:t>
            </w:r>
          </w:p>
        </w:tc>
        <w:tc>
          <w:tcPr>
            <w:tcW w:w="2764"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Építési szakterület műemléki részszakterülete</w:t>
            </w:r>
          </w:p>
        </w:tc>
        <w:tc>
          <w:tcPr>
            <w:tcW w:w="132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MV-É-M</w:t>
            </w:r>
          </w:p>
        </w:tc>
        <w:tc>
          <w:tcPr>
            <w:tcW w:w="6390"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építési szakterület (MV-É) szerinti építési-szerelési munkák felelős műszaki vezetése műemlék építmény esetén.</w:t>
            </w:r>
          </w:p>
        </w:tc>
        <w:tc>
          <w:tcPr>
            <w:tcW w:w="256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építészmérnök</w:t>
            </w:r>
          </w:p>
        </w:tc>
        <w:tc>
          <w:tcPr>
            <w:tcW w:w="1294"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5 év</w:t>
            </w:r>
          </w:p>
        </w:tc>
      </w:tr>
    </w:tbl>
    <w:p w:rsidR="005A7E08" w:rsidRDefault="005A7E08" w:rsidP="005A7E08">
      <w:pPr>
        <w:widowControl w:val="0"/>
        <w:autoSpaceDE w:val="0"/>
        <w:autoSpaceDN w:val="0"/>
        <w:adjustRightInd w:val="0"/>
        <w:spacing w:before="240" w:after="0" w:line="240" w:lineRule="auto"/>
        <w:ind w:left="360"/>
        <w:jc w:val="center"/>
        <w:rPr>
          <w:rFonts w:ascii="Times New Roman" w:hAnsi="Times New Roman" w:cs="Times New Roman"/>
          <w:b/>
          <w:bCs/>
          <w:sz w:val="24"/>
          <w:szCs w:val="24"/>
        </w:rPr>
      </w:pPr>
      <w:r>
        <w:rPr>
          <w:rFonts w:ascii="Times New Roman" w:hAnsi="Times New Roman" w:cs="Times New Roman"/>
          <w:b/>
          <w:bCs/>
          <w:sz w:val="24"/>
          <w:szCs w:val="24"/>
        </w:rPr>
        <w:t>2.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Szakági felelős műszaki vezetői szakterületek</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96"/>
        <w:gridCol w:w="2694"/>
        <w:gridCol w:w="1417"/>
        <w:gridCol w:w="6379"/>
        <w:gridCol w:w="2551"/>
        <w:gridCol w:w="1277"/>
      </w:tblGrid>
      <w:tr w:rsidR="005A7E08">
        <w:tblPrEx>
          <w:tblCellMar>
            <w:top w:w="0" w:type="dxa"/>
            <w:bottom w:w="0" w:type="dxa"/>
          </w:tblCellMar>
        </w:tblPrEx>
        <w:tc>
          <w:tcPr>
            <w:tcW w:w="496" w:type="dxa"/>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p>
        </w:tc>
        <w:tc>
          <w:tcPr>
            <w:tcW w:w="2694"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1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637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551"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127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w:t>
            </w:r>
          </w:p>
        </w:tc>
      </w:tr>
      <w:tr w:rsidR="005A7E08">
        <w:tblPrEx>
          <w:tblCellMar>
            <w:top w:w="0" w:type="dxa"/>
            <w:bottom w:w="0" w:type="dxa"/>
          </w:tblCellMar>
        </w:tblPrEx>
        <w:trPr>
          <w:trHeight w:val="695"/>
        </w:trPr>
        <w:tc>
          <w:tcPr>
            <w:tcW w:w="496" w:type="dxa"/>
          </w:tcPr>
          <w:p w:rsidR="005A7E08" w:rsidRDefault="005A7E08">
            <w:pPr>
              <w:widowControl w:val="0"/>
              <w:autoSpaceDE w:val="0"/>
              <w:autoSpaceDN w:val="0"/>
              <w:adjustRightInd w:val="0"/>
              <w:spacing w:after="0" w:line="240" w:lineRule="auto"/>
              <w:ind w:left="361" w:hanging="360"/>
              <w:jc w:val="center"/>
              <w:rPr>
                <w:rFonts w:ascii="Times New Roman" w:hAnsi="Times New Roman" w:cs="Times New Roman"/>
                <w:color w:val="000000"/>
                <w:sz w:val="20"/>
                <w:szCs w:val="20"/>
              </w:rPr>
            </w:pPr>
            <w:r>
              <w:rPr>
                <w:rFonts w:ascii="Times New Roman" w:hAnsi="Times New Roman" w:cs="Times New Roman"/>
                <w:color w:val="000000"/>
                <w:sz w:val="20"/>
                <w:szCs w:val="20"/>
              </w:rPr>
              <w:t>1.</w:t>
            </w:r>
          </w:p>
        </w:tc>
        <w:tc>
          <w:tcPr>
            <w:tcW w:w="2694"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637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551"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c>
          <w:tcPr>
            <w:tcW w:w="127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gyakorlati idő</w:t>
            </w:r>
          </w:p>
        </w:tc>
      </w:tr>
      <w:tr w:rsidR="005A7E08">
        <w:tblPrEx>
          <w:tblCellMar>
            <w:top w:w="0" w:type="dxa"/>
            <w:bottom w:w="0" w:type="dxa"/>
          </w:tblCellMar>
        </w:tblPrEx>
        <w:tc>
          <w:tcPr>
            <w:tcW w:w="496" w:type="dxa"/>
            <w:vAlign w:val="center"/>
          </w:tcPr>
          <w:p w:rsidR="005A7E08" w:rsidRDefault="005A7E08">
            <w:pPr>
              <w:widowControl w:val="0"/>
              <w:autoSpaceDE w:val="0"/>
              <w:autoSpaceDN w:val="0"/>
              <w:adjustRightInd w:val="0"/>
              <w:spacing w:after="0" w:line="240" w:lineRule="auto"/>
              <w:ind w:left="361" w:hanging="360"/>
              <w:jc w:val="both"/>
              <w:rPr>
                <w:rFonts w:ascii="Times New Roman" w:hAnsi="Times New Roman" w:cs="Times New Roman"/>
                <w:sz w:val="20"/>
                <w:szCs w:val="20"/>
              </w:rPr>
            </w:pPr>
            <w:r>
              <w:rPr>
                <w:rFonts w:ascii="Times New Roman" w:hAnsi="Times New Roman" w:cs="Times New Roman"/>
                <w:sz w:val="20"/>
                <w:szCs w:val="20"/>
              </w:rPr>
              <w:t>2.</w:t>
            </w:r>
          </w:p>
        </w:tc>
        <w:tc>
          <w:tcPr>
            <w:tcW w:w="2694"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Mélyépítési és mélyépítési műtárgyak szakterület</w:t>
            </w:r>
          </w:p>
        </w:tc>
        <w:tc>
          <w:tcPr>
            <w:tcW w:w="1417" w:type="dxa"/>
            <w:vAlign w:val="center"/>
          </w:tcPr>
          <w:p w:rsidR="005A7E08" w:rsidRDefault="005A7E08">
            <w:pPr>
              <w:widowControl w:val="0"/>
              <w:autoSpaceDE w:val="0"/>
              <w:autoSpaceDN w:val="0"/>
              <w:adjustRightInd w:val="0"/>
              <w:spacing w:after="0" w:line="240" w:lineRule="auto"/>
              <w:ind w:firstLine="1"/>
              <w:jc w:val="center"/>
              <w:rPr>
                <w:rFonts w:ascii="Times New Roman" w:hAnsi="Times New Roman" w:cs="Times New Roman"/>
                <w:b/>
                <w:bCs/>
                <w:sz w:val="20"/>
                <w:szCs w:val="20"/>
              </w:rPr>
            </w:pPr>
            <w:r>
              <w:rPr>
                <w:rFonts w:ascii="Times New Roman" w:hAnsi="Times New Roman" w:cs="Times New Roman"/>
                <w:b/>
                <w:bCs/>
                <w:sz w:val="20"/>
                <w:szCs w:val="20"/>
              </w:rPr>
              <w:t>MV-M</w:t>
            </w:r>
          </w:p>
        </w:tc>
        <w:tc>
          <w:tcPr>
            <w:tcW w:w="637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építményhez szerkezetileg vagy funkciójában kapcsolódó alapozási, szennyvíztisztítási, szennyvíztárolási, szivárgó, víztelenítési, műtárgyépítési, föld- és tereprendezési, valamint felszíni vízelvezetési munkáinak felelős műszaki vezetése.</w:t>
            </w:r>
          </w:p>
        </w:tc>
        <w:tc>
          <w:tcPr>
            <w:tcW w:w="2551"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 xml:space="preserve">okleveles építőmérnök, </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építőmérnök</w:t>
            </w:r>
          </w:p>
        </w:tc>
        <w:tc>
          <w:tcPr>
            <w:tcW w:w="1277"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3 év</w:t>
            </w: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4 év</w:t>
            </w:r>
          </w:p>
        </w:tc>
      </w:tr>
      <w:tr w:rsidR="005A7E08">
        <w:tblPrEx>
          <w:tblCellMar>
            <w:top w:w="0" w:type="dxa"/>
            <w:bottom w:w="0" w:type="dxa"/>
          </w:tblCellMar>
        </w:tblPrEx>
        <w:tc>
          <w:tcPr>
            <w:tcW w:w="496" w:type="dxa"/>
            <w:vAlign w:val="center"/>
          </w:tcPr>
          <w:p w:rsidR="005A7E08" w:rsidRDefault="005A7E08">
            <w:pPr>
              <w:widowControl w:val="0"/>
              <w:autoSpaceDE w:val="0"/>
              <w:autoSpaceDN w:val="0"/>
              <w:adjustRightInd w:val="0"/>
              <w:spacing w:after="0" w:line="240" w:lineRule="auto"/>
              <w:ind w:left="361" w:hanging="360"/>
              <w:jc w:val="both"/>
              <w:rPr>
                <w:rFonts w:ascii="Times New Roman" w:hAnsi="Times New Roman" w:cs="Times New Roman"/>
                <w:sz w:val="20"/>
                <w:szCs w:val="20"/>
              </w:rPr>
            </w:pPr>
            <w:r>
              <w:rPr>
                <w:rFonts w:ascii="Times New Roman" w:hAnsi="Times New Roman" w:cs="Times New Roman"/>
                <w:sz w:val="20"/>
                <w:szCs w:val="20"/>
              </w:rPr>
              <w:t>3.</w:t>
            </w:r>
          </w:p>
        </w:tc>
        <w:tc>
          <w:tcPr>
            <w:tcW w:w="2694"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Építménygépészeti szakterület </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MV-ÉG</w:t>
            </w:r>
          </w:p>
        </w:tc>
        <w:tc>
          <w:tcPr>
            <w:tcW w:w="6379"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Építmények fűtési, szellőzési, valamint az építményen, illetőleg telekhatáron belüli vízellátási, csatornázási és gázhálózat-szerelési központi, klímaberendezéseinek építés-szerelési munkáinak felelős műszaki vezetése a mérőóráig korlátozás nélkül.</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gépészmérnök épületgépészeti szakirány,</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létesítmény mérnök épületgépészeti szakirány,</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gépészmérnök épületgépész szakirány</w:t>
            </w:r>
          </w:p>
        </w:tc>
        <w:tc>
          <w:tcPr>
            <w:tcW w:w="127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tc>
      </w:tr>
      <w:tr w:rsidR="005A7E08">
        <w:tblPrEx>
          <w:tblCellMar>
            <w:top w:w="0" w:type="dxa"/>
            <w:bottom w:w="0" w:type="dxa"/>
          </w:tblCellMar>
        </w:tblPrEx>
        <w:tc>
          <w:tcPr>
            <w:tcW w:w="496" w:type="dxa"/>
            <w:vAlign w:val="center"/>
          </w:tcPr>
          <w:p w:rsidR="005A7E08" w:rsidRDefault="005A7E08">
            <w:pPr>
              <w:widowControl w:val="0"/>
              <w:autoSpaceDE w:val="0"/>
              <w:autoSpaceDN w:val="0"/>
              <w:adjustRightInd w:val="0"/>
              <w:spacing w:after="0" w:line="240" w:lineRule="auto"/>
              <w:ind w:left="361" w:hanging="360"/>
              <w:jc w:val="both"/>
              <w:rPr>
                <w:rFonts w:ascii="Times New Roman" w:hAnsi="Times New Roman" w:cs="Times New Roman"/>
                <w:sz w:val="20"/>
                <w:szCs w:val="20"/>
              </w:rPr>
            </w:pPr>
            <w:r>
              <w:rPr>
                <w:rFonts w:ascii="Times New Roman" w:hAnsi="Times New Roman" w:cs="Times New Roman"/>
                <w:sz w:val="20"/>
                <w:szCs w:val="20"/>
              </w:rPr>
              <w:t>4.</w:t>
            </w:r>
          </w:p>
        </w:tc>
        <w:tc>
          <w:tcPr>
            <w:tcW w:w="2694"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Építménygépészeti szakterület részszakterülete</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MV-ÉG-R</w:t>
            </w:r>
          </w:p>
        </w:tc>
        <w:tc>
          <w:tcPr>
            <w:tcW w:w="637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Az építési szakterület részszakterületénél</w:t>
            </w:r>
            <w:r>
              <w:rPr>
                <w:rFonts w:ascii="Times New Roman" w:hAnsi="Times New Roman" w:cs="Times New Roman"/>
                <w:sz w:val="20"/>
                <w:szCs w:val="20"/>
              </w:rPr>
              <w:t xml:space="preserve"> (</w:t>
            </w:r>
            <w:r>
              <w:rPr>
                <w:rFonts w:ascii="Times New Roman" w:hAnsi="Times New Roman" w:cs="Times New Roman"/>
                <w:color w:val="000000"/>
                <w:sz w:val="20"/>
                <w:szCs w:val="20"/>
              </w:rPr>
              <w:t>MV-É-R)</w:t>
            </w:r>
            <w:r>
              <w:rPr>
                <w:rFonts w:ascii="Times New Roman" w:hAnsi="Times New Roman" w:cs="Times New Roman"/>
                <w:sz w:val="20"/>
                <w:szCs w:val="20"/>
              </w:rPr>
              <w:t xml:space="preserve"> </w:t>
            </w:r>
            <w:r>
              <w:rPr>
                <w:rFonts w:ascii="Times New Roman" w:hAnsi="Times New Roman" w:cs="Times New Roman"/>
                <w:color w:val="000000"/>
                <w:sz w:val="20"/>
                <w:szCs w:val="20"/>
              </w:rPr>
              <w:t xml:space="preserve">meghatározott építmények fűtési, szellőzési, valamint az építményen, illetőleg telekhatáron </w:t>
            </w:r>
            <w:r>
              <w:rPr>
                <w:rFonts w:ascii="Times New Roman" w:hAnsi="Times New Roman" w:cs="Times New Roman"/>
                <w:color w:val="000000"/>
                <w:sz w:val="20"/>
                <w:szCs w:val="20"/>
              </w:rPr>
              <w:lastRenderedPageBreak/>
              <w:t>belüli vízellátási, csatornázási és gázhálózat-szerelési központi, klímaberendezéseinek építés-szerelési munkáinak felelős műszaki vezetése a mérőóráig.</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 xml:space="preserve">szakirányú építőipari technikusi,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szakirányú építőipari szakközépiskola</w:t>
            </w:r>
          </w:p>
        </w:tc>
        <w:tc>
          <w:tcPr>
            <w:tcW w:w="127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lastRenderedPageBreak/>
              <w:t>5 év</w:t>
            </w:r>
          </w:p>
        </w:tc>
      </w:tr>
      <w:tr w:rsidR="005A7E08">
        <w:tblPrEx>
          <w:tblCellMar>
            <w:top w:w="0" w:type="dxa"/>
            <w:bottom w:w="0" w:type="dxa"/>
          </w:tblCellMar>
        </w:tblPrEx>
        <w:trPr>
          <w:trHeight w:val="984"/>
        </w:trPr>
        <w:tc>
          <w:tcPr>
            <w:tcW w:w="496" w:type="dxa"/>
            <w:vAlign w:val="center"/>
          </w:tcPr>
          <w:p w:rsidR="005A7E08" w:rsidRDefault="005A7E08">
            <w:pPr>
              <w:widowControl w:val="0"/>
              <w:autoSpaceDE w:val="0"/>
              <w:autoSpaceDN w:val="0"/>
              <w:adjustRightInd w:val="0"/>
              <w:spacing w:after="0" w:line="240" w:lineRule="auto"/>
              <w:ind w:left="361" w:hanging="360"/>
              <w:jc w:val="both"/>
              <w:rPr>
                <w:rFonts w:ascii="Times New Roman" w:hAnsi="Times New Roman" w:cs="Times New Roman"/>
                <w:sz w:val="20"/>
                <w:szCs w:val="20"/>
              </w:rPr>
            </w:pPr>
            <w:r>
              <w:rPr>
                <w:rFonts w:ascii="Times New Roman" w:hAnsi="Times New Roman" w:cs="Times New Roman"/>
                <w:sz w:val="20"/>
                <w:szCs w:val="20"/>
              </w:rPr>
              <w:lastRenderedPageBreak/>
              <w:t>5.</w:t>
            </w:r>
          </w:p>
        </w:tc>
        <w:tc>
          <w:tcPr>
            <w:tcW w:w="2694"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Építményvillamossági szakterület</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MV-ÉV</w:t>
            </w:r>
          </w:p>
        </w:tc>
        <w:tc>
          <w:tcPr>
            <w:tcW w:w="637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Építmények és szabad terek közép- és kisfeszültségű rendszerei (kül- és beltéri világítás, villámvédelem, folyamatirányítás, építményautomatika, távközlési és informatikai hálózat, villamos energiaellátó rendszerek a fogyasztói oldaltól a közcélú csatlakozási pontig) szerelési munkáinak felelős műszaki vezetése.</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villamosmérnök</w:t>
            </w:r>
          </w:p>
        </w:tc>
        <w:tc>
          <w:tcPr>
            <w:tcW w:w="127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tc>
      </w:tr>
      <w:tr w:rsidR="005A7E08">
        <w:tblPrEx>
          <w:tblCellMar>
            <w:top w:w="0" w:type="dxa"/>
            <w:bottom w:w="0" w:type="dxa"/>
          </w:tblCellMar>
        </w:tblPrEx>
        <w:trPr>
          <w:trHeight w:val="972"/>
        </w:trPr>
        <w:tc>
          <w:tcPr>
            <w:tcW w:w="496" w:type="dxa"/>
            <w:vAlign w:val="center"/>
          </w:tcPr>
          <w:p w:rsidR="005A7E08" w:rsidRDefault="005A7E08">
            <w:pPr>
              <w:widowControl w:val="0"/>
              <w:autoSpaceDE w:val="0"/>
              <w:autoSpaceDN w:val="0"/>
              <w:adjustRightInd w:val="0"/>
              <w:spacing w:after="0" w:line="240" w:lineRule="auto"/>
              <w:ind w:left="361" w:hanging="360"/>
              <w:jc w:val="both"/>
              <w:rPr>
                <w:rFonts w:ascii="Times New Roman" w:hAnsi="Times New Roman" w:cs="Times New Roman"/>
                <w:sz w:val="20"/>
                <w:szCs w:val="20"/>
              </w:rPr>
            </w:pPr>
            <w:r>
              <w:rPr>
                <w:rFonts w:ascii="Times New Roman" w:hAnsi="Times New Roman" w:cs="Times New Roman"/>
                <w:sz w:val="20"/>
                <w:szCs w:val="20"/>
              </w:rPr>
              <w:t>6.</w:t>
            </w:r>
          </w:p>
        </w:tc>
        <w:tc>
          <w:tcPr>
            <w:tcW w:w="2694"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Építményvillamossági szakterület részszakterülete</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MV-ÉV-R</w:t>
            </w:r>
          </w:p>
        </w:tc>
        <w:tc>
          <w:tcPr>
            <w:tcW w:w="6379"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Az építési szakterület részszakterületénél</w:t>
            </w:r>
            <w:r>
              <w:rPr>
                <w:rFonts w:ascii="Times New Roman" w:hAnsi="Times New Roman" w:cs="Times New Roman"/>
                <w:sz w:val="20"/>
                <w:szCs w:val="20"/>
              </w:rPr>
              <w:t xml:space="preserve"> (</w:t>
            </w:r>
            <w:r>
              <w:rPr>
                <w:rFonts w:ascii="Times New Roman" w:hAnsi="Times New Roman" w:cs="Times New Roman"/>
                <w:color w:val="000000"/>
                <w:sz w:val="20"/>
                <w:szCs w:val="20"/>
              </w:rPr>
              <w:t xml:space="preserve">MV-É-R) </w:t>
            </w:r>
            <w:r>
              <w:rPr>
                <w:rFonts w:ascii="Times New Roman" w:hAnsi="Times New Roman" w:cs="Times New Roman"/>
                <w:sz w:val="20"/>
                <w:szCs w:val="20"/>
              </w:rPr>
              <w:t xml:space="preserve">meghatározott építmények </w:t>
            </w:r>
            <w:r>
              <w:rPr>
                <w:rFonts w:ascii="Times New Roman" w:hAnsi="Times New Roman" w:cs="Times New Roman"/>
                <w:color w:val="000000"/>
                <w:sz w:val="20"/>
                <w:szCs w:val="20"/>
              </w:rPr>
              <w:t xml:space="preserve">villamos, hírközlő és épületfelügyeleti rendszer berendezései – az épület fogyasztásmérő készülékéig – szerelési munkáinak felelős műszaki vezetése </w:t>
            </w:r>
          </w:p>
        </w:tc>
        <w:tc>
          <w:tcPr>
            <w:tcW w:w="2551"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szakirányú felsőfokú technikus,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villamosipari technikus </w:t>
            </w:r>
          </w:p>
        </w:tc>
        <w:tc>
          <w:tcPr>
            <w:tcW w:w="127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bl>
    <w:p w:rsidR="005A7E08" w:rsidRDefault="005A7E08" w:rsidP="005A7E08">
      <w:pPr>
        <w:autoSpaceDE w:val="0"/>
        <w:autoSpaceDN w:val="0"/>
        <w:adjustRightInd w:val="0"/>
        <w:spacing w:after="0" w:line="240" w:lineRule="auto"/>
        <w:rPr>
          <w:rFonts w:ascii="Times New Roman" w:hAnsi="Times New Roman" w:cs="Times New Roman"/>
          <w:sz w:val="20"/>
          <w:szCs w:val="20"/>
        </w:rPr>
        <w:sectPr w:rsidR="005A7E08">
          <w:footnotePr>
            <w:numStart w:val="63"/>
          </w:footnotePr>
          <w:pgSz w:w="16840" w:h="11907" w:orient="landscape"/>
          <w:pgMar w:top="851" w:right="1134" w:bottom="851" w:left="1134" w:header="708" w:footer="708" w:gutter="0"/>
          <w:cols w:space="708"/>
          <w:noEndnote/>
        </w:sectPr>
      </w:pPr>
    </w:p>
    <w:p w:rsidR="005A7E08" w:rsidRDefault="005A7E08" w:rsidP="005A7E08">
      <w:pPr>
        <w:widowControl w:val="0"/>
        <w:autoSpaceDE w:val="0"/>
        <w:autoSpaceDN w:val="0"/>
        <w:adjustRightInd w:val="0"/>
        <w:spacing w:before="240" w:after="0" w:line="240" w:lineRule="auto"/>
        <w:ind w:left="357"/>
        <w:jc w:val="center"/>
        <w:rPr>
          <w:rFonts w:ascii="Times New Roman" w:hAnsi="Times New Roman" w:cs="Times New Roman"/>
          <w:b/>
          <w:bCs/>
          <w:sz w:val="24"/>
          <w:szCs w:val="24"/>
        </w:rPr>
      </w:pPr>
      <w:r>
        <w:rPr>
          <w:rFonts w:ascii="Times New Roman" w:hAnsi="Times New Roman" w:cs="Times New Roman"/>
          <w:b/>
          <w:bCs/>
          <w:sz w:val="24"/>
          <w:szCs w:val="24"/>
        </w:rPr>
        <w:lastRenderedPageBreak/>
        <w:t>3.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A sajátos építményfajták felelős műszaki vezetői szakterületek</w:t>
      </w: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8"/>
        <w:gridCol w:w="2693"/>
        <w:gridCol w:w="1419"/>
        <w:gridCol w:w="6432"/>
        <w:gridCol w:w="2497"/>
        <w:gridCol w:w="1274"/>
      </w:tblGrid>
      <w:tr w:rsidR="005A7E08">
        <w:tblPrEx>
          <w:tblCellMar>
            <w:top w:w="0" w:type="dxa"/>
            <w:bottom w:w="0" w:type="dxa"/>
          </w:tblCellMar>
        </w:tblPrEx>
        <w:trPr>
          <w:cantSplit/>
          <w:trHeight w:val="212"/>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color w:val="000000"/>
                <w:sz w:val="20"/>
                <w:szCs w:val="20"/>
              </w:rPr>
            </w:pPr>
          </w:p>
        </w:tc>
        <w:tc>
          <w:tcPr>
            <w:tcW w:w="269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1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643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c>
          <w:tcPr>
            <w:tcW w:w="249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D</w:t>
            </w:r>
          </w:p>
        </w:tc>
        <w:tc>
          <w:tcPr>
            <w:tcW w:w="1274"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E</w:t>
            </w:r>
          </w:p>
        </w:tc>
      </w:tr>
      <w:tr w:rsidR="005A7E08">
        <w:tblPrEx>
          <w:tblCellMar>
            <w:top w:w="0" w:type="dxa"/>
            <w:bottom w:w="0" w:type="dxa"/>
          </w:tblCellMar>
        </w:tblPrEx>
        <w:trPr>
          <w:cantSplit/>
          <w:trHeight w:val="780"/>
        </w:trPr>
        <w:tc>
          <w:tcPr>
            <w:tcW w:w="428"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1. </w:t>
            </w:r>
          </w:p>
        </w:tc>
        <w:tc>
          <w:tcPr>
            <w:tcW w:w="2693"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megnevezése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részszakterület</w:t>
            </w:r>
          </w:p>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643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c>
          <w:tcPr>
            <w:tcW w:w="249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és az ezzel egyenértékű szakképzettség</w:t>
            </w:r>
          </w:p>
        </w:tc>
        <w:tc>
          <w:tcPr>
            <w:tcW w:w="1274"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Szakmai gyakorlati idő</w:t>
            </w:r>
          </w:p>
        </w:tc>
      </w:tr>
      <w:tr w:rsidR="005A7E08">
        <w:tblPrEx>
          <w:tblCellMar>
            <w:top w:w="0" w:type="dxa"/>
            <w:bottom w:w="0" w:type="dxa"/>
          </w:tblCellMar>
        </w:tblPrEx>
        <w:trPr>
          <w:trHeight w:val="3018"/>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Közlekedési építmények szakterület</w:t>
            </w:r>
            <w:r>
              <w:rPr>
                <w:rFonts w:ascii="Times New Roman" w:hAnsi="Times New Roman" w:cs="Times New Roman"/>
                <w:color w:val="000000"/>
                <w:sz w:val="20"/>
                <w:szCs w:val="20"/>
              </w:rPr>
              <w:t xml:space="preserve"> </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MV-KÉ</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 xml:space="preserve">Közlekedési építmények és az azokhoz szerkezetileg vagy funkcionálisan kapcsolódó építményrészek, mérnöki létesítmények – az 1. részbe tartozó építmények kivételével – építés-szerelési </w:t>
            </w:r>
            <w:r>
              <w:rPr>
                <w:rFonts w:ascii="Times New Roman" w:hAnsi="Times New Roman" w:cs="Times New Roman"/>
                <w:sz w:val="20"/>
                <w:szCs w:val="20"/>
              </w:rPr>
              <w:t>munkáinak felelős műszaki vezetése.</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alábbi építmények építés-szerelési munkáinak felelős műszaki vezetése korlátozás nélkül:</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út, kerékpárút, gyalogosút, térburkolat,</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vasút, földalatti vasút, sikló, függőpálya, sífelvonó,</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c) </w:t>
            </w:r>
            <w:r>
              <w:rPr>
                <w:rFonts w:ascii="Times New Roman" w:hAnsi="Times New Roman" w:cs="Times New Roman"/>
                <w:sz w:val="20"/>
                <w:szCs w:val="20"/>
              </w:rPr>
              <w:t>repülőtér, kikötő,</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d) </w:t>
            </w:r>
            <w:r>
              <w:rPr>
                <w:rFonts w:ascii="Times New Roman" w:hAnsi="Times New Roman" w:cs="Times New Roman"/>
                <w:sz w:val="20"/>
                <w:szCs w:val="20"/>
              </w:rPr>
              <w:t xml:space="preserve">az </w:t>
            </w:r>
            <w:r>
              <w:rPr>
                <w:rFonts w:ascii="Times New Roman" w:hAnsi="Times New Roman" w:cs="Times New Roman"/>
                <w:i/>
                <w:iCs/>
                <w:sz w:val="20"/>
                <w:szCs w:val="20"/>
              </w:rPr>
              <w:t xml:space="preserve">a)-c) </w:t>
            </w:r>
            <w:r>
              <w:rPr>
                <w:rFonts w:ascii="Times New Roman" w:hAnsi="Times New Roman" w:cs="Times New Roman"/>
                <w:sz w:val="20"/>
                <w:szCs w:val="20"/>
              </w:rPr>
              <w:t>pontban meghatározott építmények műtárgyai (híd, áteresz, alagút, aluljáró, támfal stb.),</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sz w:val="20"/>
                <w:szCs w:val="20"/>
              </w:rPr>
              <w:t xml:space="preserve">e) </w:t>
            </w:r>
            <w:r>
              <w:rPr>
                <w:rFonts w:ascii="Times New Roman" w:hAnsi="Times New Roman" w:cs="Times New Roman"/>
                <w:sz w:val="20"/>
                <w:szCs w:val="20"/>
              </w:rPr>
              <w:t xml:space="preserve">az </w:t>
            </w:r>
            <w:r>
              <w:rPr>
                <w:rFonts w:ascii="Times New Roman" w:hAnsi="Times New Roman" w:cs="Times New Roman"/>
                <w:i/>
                <w:iCs/>
                <w:sz w:val="20"/>
                <w:szCs w:val="20"/>
              </w:rPr>
              <w:t xml:space="preserve">a)-c) </w:t>
            </w:r>
            <w:r>
              <w:rPr>
                <w:rFonts w:ascii="Times New Roman" w:hAnsi="Times New Roman" w:cs="Times New Roman"/>
                <w:sz w:val="20"/>
                <w:szCs w:val="20"/>
              </w:rPr>
              <w:t>pontban meghatározott építmények berendezései, tartozékai, zajvédelmi létesítményei és vízelvezetése a befogadóig.</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építőmérnök,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építőmérnök,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mélyépítési mérnök, közlekedésépítési mérnök,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vízellátási mérnök,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csatornázási mérnök, vízgazdálkodási 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r w:rsidR="005A7E08">
        <w:tblPrEx>
          <w:tblCellMar>
            <w:top w:w="0" w:type="dxa"/>
            <w:bottom w:w="0" w:type="dxa"/>
          </w:tblCellMar>
        </w:tblPrEx>
        <w:trPr>
          <w:trHeight w:val="2383"/>
        </w:trPr>
        <w:tc>
          <w:tcPr>
            <w:tcW w:w="428"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3.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Közlekedési építmények szakterület részszakterülete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MV-KÉ-R</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közlekedési építmények szakterületnél (MV-KÉ) meghatározott építmények építési-szerelési munkáinál az alábbi korlátozásokkal:</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a) </w:t>
            </w:r>
            <w:r>
              <w:rPr>
                <w:rFonts w:ascii="Times New Roman" w:hAnsi="Times New Roman" w:cs="Times New Roman"/>
                <w:color w:val="000000"/>
                <w:sz w:val="20"/>
                <w:szCs w:val="20"/>
              </w:rPr>
              <w:t>út: gyorsforgalmi utak és létesítményeik kivételével,</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b) </w:t>
            </w:r>
            <w:r>
              <w:rPr>
                <w:rFonts w:ascii="Times New Roman" w:hAnsi="Times New Roman" w:cs="Times New Roman"/>
                <w:color w:val="000000"/>
                <w:sz w:val="20"/>
                <w:szCs w:val="20"/>
              </w:rPr>
              <w:t>közúti műtárgy: szabadnyílású híd 4 m-ig, áteresz 2 m átmérőig, támfal 3 m magasságig,</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c) </w:t>
            </w:r>
            <w:r>
              <w:rPr>
                <w:rFonts w:ascii="Times New Roman" w:hAnsi="Times New Roman" w:cs="Times New Roman"/>
                <w:color w:val="000000"/>
                <w:sz w:val="20"/>
                <w:szCs w:val="20"/>
              </w:rPr>
              <w:t>vasút: 1000 m vágányhosszúságig és 5 csoport kitérőig,</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d) </w:t>
            </w:r>
            <w:r>
              <w:rPr>
                <w:rFonts w:ascii="Times New Roman" w:hAnsi="Times New Roman" w:cs="Times New Roman"/>
                <w:color w:val="000000"/>
                <w:sz w:val="20"/>
                <w:szCs w:val="20"/>
              </w:rPr>
              <w:t>vasúti műtárgy: a vasúti építmények engedélyezéséről szóló jogszabályban a hatósági engedély nélkül létesíthető műtárgyak,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e) </w:t>
            </w:r>
            <w:r>
              <w:rPr>
                <w:rFonts w:ascii="Times New Roman" w:hAnsi="Times New Roman" w:cs="Times New Roman"/>
                <w:color w:val="000000"/>
                <w:sz w:val="20"/>
                <w:szCs w:val="20"/>
              </w:rPr>
              <w:t>felújítás, átalakítás, bővítés, javítás-karbantartás, elbontás építési-szerelési korlátozás nélkül.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közlekedésépítő technikus,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útépítő technikus,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vasútépítő 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hídépítő technikus,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mélyépítő technikus</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5A7E08">
        <w:tblPrEx>
          <w:tblCellMar>
            <w:top w:w="0" w:type="dxa"/>
            <w:bottom w:w="0" w:type="dxa"/>
          </w:tblCellMar>
        </w:tblPrEx>
        <w:trPr>
          <w:trHeight w:val="1281"/>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4.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sz w:val="20"/>
                <w:szCs w:val="20"/>
              </w:rPr>
              <w:t>Vasútvillamossági építmények szakterület</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MV-VV</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vasút villamosítás, villamosenergia-ellátás, energia-távvezérlés és villamos üzemű biztosítóberendezések építményei, berendezései építés-szerelési munkáinak felelős műszaki vezetése korlátozás nélkül.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okleveles villamosmérnök,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közlekedésmérnök,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villamosmérnök, közlekedésmérnök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r w:rsidR="005A7E08">
        <w:tblPrEx>
          <w:tblCellMar>
            <w:top w:w="0" w:type="dxa"/>
            <w:bottom w:w="0" w:type="dxa"/>
          </w:tblCellMar>
        </w:tblPrEx>
        <w:trPr>
          <w:trHeight w:val="1752"/>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5.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Vasútvillamossági építmények szakterület részszakterülete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MV-VV-R</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w:t>
            </w:r>
            <w:r>
              <w:rPr>
                <w:rFonts w:ascii="Times New Roman" w:hAnsi="Times New Roman" w:cs="Times New Roman"/>
                <w:sz w:val="20"/>
                <w:szCs w:val="20"/>
              </w:rPr>
              <w:t xml:space="preserve">vasútvillamossági építmények szakterületnél (MV-VV) </w:t>
            </w:r>
            <w:r>
              <w:rPr>
                <w:rFonts w:ascii="Times New Roman" w:hAnsi="Times New Roman" w:cs="Times New Roman"/>
                <w:color w:val="000000"/>
                <w:sz w:val="20"/>
                <w:szCs w:val="20"/>
              </w:rPr>
              <w:t>meghatározott építmények építés-szerelési munkáinak felelős műszaki vezetése, az alábbi korlátozásokkal:</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a) </w:t>
            </w:r>
            <w:r>
              <w:rPr>
                <w:rFonts w:ascii="Times New Roman" w:hAnsi="Times New Roman" w:cs="Times New Roman"/>
                <w:color w:val="000000"/>
                <w:sz w:val="20"/>
                <w:szCs w:val="20"/>
              </w:rPr>
              <w:t>vasúti villamos felsővezeték, illetve vasúti biztosítóberendezések létesítése, átalakítása, amelyek a vasúti építmények engedélyezéséről szóló jogszabályban hatósági engedély nélkül létesíthetők,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b) </w:t>
            </w:r>
            <w:r>
              <w:rPr>
                <w:rFonts w:ascii="Times New Roman" w:hAnsi="Times New Roman" w:cs="Times New Roman"/>
                <w:color w:val="000000"/>
                <w:sz w:val="20"/>
                <w:szCs w:val="20"/>
              </w:rPr>
              <w:t>felújítás, átalakítás, bővítés, javítás-karbantartás, elbontás esetében korlátozás nélkül.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vasút-villamossági 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vasútgépészeti 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r w:rsidR="005A7E08">
        <w:tblPrEx>
          <w:tblCellMar>
            <w:top w:w="0" w:type="dxa"/>
            <w:bottom w:w="0" w:type="dxa"/>
          </w:tblCellMar>
        </w:tblPrEx>
        <w:trPr>
          <w:trHeight w:val="1677"/>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6.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Hírközlési építmények szakterület</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MV-TE</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hírközléshez szükséges olyan sajátos építmények építési-szerelési munkáinak felelős műszaki vezetése, amelyek magukba foglalják a vezetékeket, a vezetékekkel és vezeték nélküli összeköttetésekkel összefüggő (burkoló, tartó, védő, jelző stb.) műtárgyakat, különösen a tartozékokat és tartószerkezeteket, az antennatartó-szerkezeteket (tornyokat), antennákat, oszlopokat, alagutakat, kábelszekrényeket, csatornákat, föld alatti és föld feletti jelzőket, védőműtárgyakat.</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építőmérnök,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építőmérnök,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mérnök-informatikus</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tc>
      </w:tr>
      <w:tr w:rsidR="005A7E08">
        <w:tblPrEx>
          <w:tblCellMar>
            <w:top w:w="0" w:type="dxa"/>
            <w:bottom w:w="0" w:type="dxa"/>
          </w:tblCellMar>
        </w:tblPrEx>
        <w:trPr>
          <w:trHeight w:val="993"/>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7.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Hírközlési építmények szakterület részszakterülete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MV-TE-R</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hírközlési építmények szakterületnél (MV-TE-R) meghatározott építmények építési-szerelési munkáinak felelős műszaki vezetése, kivéve a kettőnél több alrendszert (pl. autópálya), valamint vezetékes és vezeték nélküli rendszereket integráló építménynél.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szakirányú építőipari technikus, szakirányú építőipari szakközépiskola,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távközlési technikus</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5A7E08">
        <w:tblPrEx>
          <w:tblCellMar>
            <w:top w:w="0" w:type="dxa"/>
            <w:bottom w:w="0" w:type="dxa"/>
          </w:tblCellMar>
        </w:tblPrEx>
        <w:trPr>
          <w:trHeight w:val="1695"/>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8.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Távközlési építmények villamos-szerelése szakterület</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MV-TV</w:t>
            </w:r>
          </w:p>
        </w:tc>
        <w:tc>
          <w:tcPr>
            <w:tcW w:w="6432"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távközléshez szükséges olyan sajátos építmények villamos-szerelési munkáinak felelős műszaki vezetése, amelyek magukba foglalják a vezetékeket, a vezetékekkel és vezeték nélküli összeköttetésekkel összefüggő (burkoló, tartó, védő, jelző stb.) műtárgyakat, különösen a tartozékokat és tartószerkezeteket, az antennatartó-szerkezeteket (tornyokat), antennákat, oszlopokat, alagutakat, kábelszekrényeket, csatornákat, föld alatti és föld feletti jelzőket, védőműtárgyakat.</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tc>
      </w:tr>
      <w:tr w:rsidR="005A7E08">
        <w:tblPrEx>
          <w:tblCellMar>
            <w:top w:w="0" w:type="dxa"/>
            <w:bottom w:w="0" w:type="dxa"/>
          </w:tblCellMar>
        </w:tblPrEx>
        <w:trPr>
          <w:trHeight w:val="590"/>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9.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Távközlési építmények villamos-szerelése szakterület részszakterülete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MV-TV-R</w:t>
            </w:r>
          </w:p>
        </w:tc>
        <w:tc>
          <w:tcPr>
            <w:tcW w:w="6432"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távközlési építmények villamos-szerelése szakterületnél (MV-TV) meghatározott építmények szerelési munkáinak felelős műszaki vezetése, beleértve az URH sáv szerelését, de kivéve a kettőnél több alrendszer (pl. autópályák), továbbá vezeték nélküli rendszer villamos szerelését.</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villamosipari 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távközlési 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villamosipari szakközépiskola</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5A7E08">
        <w:tblPrEx>
          <w:tblCellMar>
            <w:top w:w="0" w:type="dxa"/>
            <w:bottom w:w="0" w:type="dxa"/>
          </w:tblCellMar>
        </w:tblPrEx>
        <w:trPr>
          <w:trHeight w:val="4965"/>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10.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Vízgazdálkodási építmények szakterület </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MV-VZ</w:t>
            </w:r>
          </w:p>
        </w:tc>
        <w:tc>
          <w:tcPr>
            <w:tcW w:w="6432"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Vízgazdálkodási építmények (vízi létesítmények) és az azokhoz szerkezetileg vagy funkcionálisan kapcsolódó építményrészek, mérnöki létesítmények – az 1. részbe tartozó építmények kivételével – építési-szerelési munkáinak felelős műszaki vezetése.</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Korlátozás nélkül végezhető a felelős műszaki vezetői tevékenység az alábbi építmények építési-szerelési munkái esetén:</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a) </w:t>
            </w:r>
            <w:r>
              <w:rPr>
                <w:rFonts w:ascii="Times New Roman" w:hAnsi="Times New Roman" w:cs="Times New Roman"/>
                <w:color w:val="000000"/>
                <w:sz w:val="20"/>
                <w:szCs w:val="20"/>
              </w:rPr>
              <w:t>duzzasztó- és vízerőmű, hajózsilip, árvízkapu, kikötői partfal,</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b) </w:t>
            </w:r>
            <w:r>
              <w:rPr>
                <w:rFonts w:ascii="Times New Roman" w:hAnsi="Times New Roman" w:cs="Times New Roman"/>
                <w:color w:val="000000"/>
                <w:sz w:val="20"/>
                <w:szCs w:val="20"/>
              </w:rPr>
              <w:t>öntözőtelep, öntözőcsatorna, halastó, tógazdaság,</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c) </w:t>
            </w:r>
            <w:r>
              <w:rPr>
                <w:rFonts w:ascii="Times New Roman" w:hAnsi="Times New Roman" w:cs="Times New Roman"/>
                <w:color w:val="000000"/>
                <w:sz w:val="20"/>
                <w:szCs w:val="20"/>
              </w:rPr>
              <w:t>víziközművek közüzemi hálózatai, beleértve az ipari, ivó- és tűzivíz hálózatot, az egyesített és elválasztott rendszerű csatornahálózatot, a nyílt és zárt rendszerű csapadékvíz-elvezető hálózatot,</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d) </w:t>
            </w:r>
            <w:r>
              <w:rPr>
                <w:rFonts w:ascii="Times New Roman" w:hAnsi="Times New Roman" w:cs="Times New Roman"/>
                <w:color w:val="000000"/>
                <w:sz w:val="20"/>
                <w:szCs w:val="20"/>
              </w:rPr>
              <w:t>szennyvíztisztító telep, víztermelő telep, vízkezelő építmény, víztároló, hévízhasznosítási építmény,</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e) </w:t>
            </w:r>
            <w:r>
              <w:rPr>
                <w:rFonts w:ascii="Times New Roman" w:hAnsi="Times New Roman" w:cs="Times New Roman"/>
                <w:color w:val="000000"/>
                <w:sz w:val="20"/>
                <w:szCs w:val="20"/>
              </w:rPr>
              <w:t>árvízvédelmi töltés, árvízvédelmi fal és műtárgyai,</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f) </w:t>
            </w:r>
            <w:r>
              <w:rPr>
                <w:rFonts w:ascii="Times New Roman" w:hAnsi="Times New Roman" w:cs="Times New Roman"/>
                <w:color w:val="000000"/>
                <w:sz w:val="20"/>
                <w:szCs w:val="20"/>
              </w:rPr>
              <w:t>belvízvédelmi csatorna és műtárgyai, szivattyútelep,</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g) </w:t>
            </w:r>
            <w:r>
              <w:rPr>
                <w:rFonts w:ascii="Times New Roman" w:hAnsi="Times New Roman" w:cs="Times New Roman"/>
                <w:color w:val="000000"/>
                <w:sz w:val="20"/>
                <w:szCs w:val="20"/>
              </w:rPr>
              <w:t>folyó- és tószabályozási mű, partvédmű,</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h)</w:t>
            </w:r>
            <w:r>
              <w:rPr>
                <w:rFonts w:ascii="Times New Roman" w:hAnsi="Times New Roman" w:cs="Times New Roman"/>
                <w:sz w:val="20"/>
                <w:szCs w:val="20"/>
              </w:rPr>
              <w:t xml:space="preserve"> </w:t>
            </w:r>
            <w:r>
              <w:rPr>
                <w:rFonts w:ascii="Times New Roman" w:hAnsi="Times New Roman" w:cs="Times New Roman"/>
                <w:color w:val="000000"/>
                <w:sz w:val="20"/>
                <w:szCs w:val="20"/>
              </w:rPr>
              <w:t>vízrendezési és vízkormányzó földmű és műtárgyai,</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i)</w:t>
            </w:r>
            <w:r>
              <w:rPr>
                <w:rFonts w:ascii="Times New Roman" w:hAnsi="Times New Roman" w:cs="Times New Roman"/>
                <w:sz w:val="20"/>
                <w:szCs w:val="20"/>
              </w:rPr>
              <w:t xml:space="preserve"> </w:t>
            </w:r>
            <w:r>
              <w:rPr>
                <w:rFonts w:ascii="Times New Roman" w:hAnsi="Times New Roman" w:cs="Times New Roman"/>
                <w:color w:val="000000"/>
                <w:sz w:val="20"/>
                <w:szCs w:val="20"/>
              </w:rPr>
              <w:t>árvízvédelmi szükségtározó, tározó, záportározó és műtárgyai, és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j)</w:t>
            </w:r>
            <w:r>
              <w:rPr>
                <w:rFonts w:ascii="Times New Roman" w:hAnsi="Times New Roman" w:cs="Times New Roman"/>
                <w:sz w:val="20"/>
                <w:szCs w:val="20"/>
              </w:rPr>
              <w:t xml:space="preserve"> </w:t>
            </w:r>
            <w:r>
              <w:rPr>
                <w:rFonts w:ascii="Times New Roman" w:hAnsi="Times New Roman" w:cs="Times New Roman"/>
                <w:color w:val="000000"/>
                <w:sz w:val="20"/>
                <w:szCs w:val="20"/>
              </w:rPr>
              <w:t>közüzemi ivóvízellátást, továbbá ásvány- és gyógyvíz beszerzést szolgáló kút, hévízkút műtárgya és minden 100 m-nél mélyebb kútnak minősülő építmény.</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építőmérnök,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építőmérnök,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mélyépítés mérnök, közlekedésépítés 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vízellátás mérnök,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csatornázás 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r w:rsidR="005A7E08">
        <w:tblPrEx>
          <w:tblCellMar>
            <w:top w:w="0" w:type="dxa"/>
            <w:bottom w:w="0" w:type="dxa"/>
          </w:tblCellMar>
        </w:tblPrEx>
        <w:trPr>
          <w:trHeight w:val="555"/>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11.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Vízgazdálkodási építmények szakterület részszakterülete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MV-VZ-R</w:t>
            </w:r>
          </w:p>
        </w:tc>
        <w:tc>
          <w:tcPr>
            <w:tcW w:w="6432"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vízgazdálkodási építmények szakterületnél (MV-VZ) meghatározott építmények építés-szerelési munkáinak felelős műszaki vezetése az alábbi korlátozásokkal:</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a) </w:t>
            </w:r>
            <w:r>
              <w:rPr>
                <w:rFonts w:ascii="Times New Roman" w:hAnsi="Times New Roman" w:cs="Times New Roman"/>
                <w:color w:val="000000"/>
                <w:sz w:val="20"/>
                <w:szCs w:val="20"/>
              </w:rPr>
              <w:t>olyan vízi létesítmények építés-szerelési munkái, amelyek tönkremenetele életveszélyt nem idéz elő, vagy rendkívüli védelmi intézkedést nem követel, továbbá</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b) </w:t>
            </w:r>
            <w:r>
              <w:rPr>
                <w:rFonts w:ascii="Times New Roman" w:hAnsi="Times New Roman" w:cs="Times New Roman"/>
                <w:color w:val="000000"/>
                <w:sz w:val="20"/>
                <w:szCs w:val="20"/>
              </w:rPr>
              <w:t>vízi létesítmények építés jellegű felújítása, javítása, karbantartása.</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vízügyi 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vízközműépítő technikus, mélyépítő technikus</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5A7E08">
        <w:tblPrEx>
          <w:tblCellMar>
            <w:top w:w="0" w:type="dxa"/>
            <w:bottom w:w="0" w:type="dxa"/>
          </w:tblCellMar>
        </w:tblPrEx>
        <w:trPr>
          <w:trHeight w:val="2133"/>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12.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Bányászati építmények szakterület </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MV-B</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Szilárdásvány-bányászati, kőolaj- és földgázbányászati, illetve egyéb bányászati építmények építési-szerelési munkáinak felelős műszaki vezetése korlátozás nélkül.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okleveles bánya- és geotechnikai mérnöki,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okleveles gáz- és olajipari mérnök, </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gépészmérnök,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bánya- és geotechnikai mérnök, gáz- és olajipari mérnök, gépészmérnök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tc>
      </w:tr>
      <w:tr w:rsidR="005A7E08">
        <w:tblPrEx>
          <w:tblCellMar>
            <w:top w:w="0" w:type="dxa"/>
            <w:bottom w:w="0" w:type="dxa"/>
          </w:tblCellMar>
        </w:tblPrEx>
        <w:trPr>
          <w:trHeight w:val="615"/>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13.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Bányászati építmények szakterület részszakterület</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MV-B-R</w:t>
            </w:r>
          </w:p>
        </w:tc>
        <w:tc>
          <w:tcPr>
            <w:tcW w:w="6432"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 bányászati építmények szakterületnél (MV-B) meghatározott építmények építési-szerelési munkáinak felelős műszaki vezetése a mélyművelésű bányák kivételével.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gépipari 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gépipari szakközépiskola</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5A7E08">
        <w:tblPrEx>
          <w:tblCellMar>
            <w:top w:w="0" w:type="dxa"/>
            <w:bottom w:w="0" w:type="dxa"/>
          </w:tblCellMar>
        </w:tblPrEx>
        <w:trPr>
          <w:trHeight w:val="1267"/>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 xml:space="preserve">14.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Szénhidrogén-szállító vezetékek, gázelosztó vezetékek, </w:t>
            </w:r>
            <w:r>
              <w:rPr>
                <w:rFonts w:ascii="Times New Roman" w:hAnsi="Times New Roman" w:cs="Times New Roman"/>
                <w:b/>
                <w:bCs/>
                <w:sz w:val="20"/>
                <w:szCs w:val="20"/>
              </w:rPr>
              <w:t xml:space="preserve">célvezetékek, egyéb gáz és gáztermék vezetékek, </w:t>
            </w:r>
            <w:r>
              <w:rPr>
                <w:rFonts w:ascii="Times New Roman" w:hAnsi="Times New Roman" w:cs="Times New Roman"/>
                <w:b/>
                <w:bCs/>
                <w:color w:val="000000"/>
                <w:sz w:val="20"/>
                <w:szCs w:val="20"/>
              </w:rPr>
              <w:t>propán-bután töltő telepek és tartozékainak építése szakterület</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MV-GO</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szénhidrogén-szállító vezetékek, gázelosztó vezetékek, </w:t>
            </w:r>
            <w:r>
              <w:rPr>
                <w:rFonts w:ascii="Times New Roman" w:hAnsi="Times New Roman" w:cs="Times New Roman"/>
                <w:sz w:val="20"/>
                <w:szCs w:val="20"/>
              </w:rPr>
              <w:t xml:space="preserve">célvezetékek, egyéb gáz és gáztermék vezetékek, </w:t>
            </w:r>
            <w:r>
              <w:rPr>
                <w:rFonts w:ascii="Times New Roman" w:hAnsi="Times New Roman" w:cs="Times New Roman"/>
                <w:color w:val="000000"/>
                <w:sz w:val="20"/>
                <w:szCs w:val="20"/>
              </w:rPr>
              <w:t>propán-bután töltő telepek és tartozékaik építési-szerelési munkának felelős műszaki vezetése korlátozás nélkül.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gáz- és olajipari 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gépészmérnök,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gáz- és olajipari 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tc>
      </w:tr>
      <w:tr w:rsidR="005A7E08">
        <w:tblPrEx>
          <w:tblCellMar>
            <w:top w:w="0" w:type="dxa"/>
            <w:bottom w:w="0" w:type="dxa"/>
          </w:tblCellMar>
        </w:tblPrEx>
        <w:trPr>
          <w:trHeight w:val="330"/>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15.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Szénhidrogén-szállító vezetékek, gázelosztó vezetékek, </w:t>
            </w:r>
            <w:r>
              <w:rPr>
                <w:rFonts w:ascii="Times New Roman" w:hAnsi="Times New Roman" w:cs="Times New Roman"/>
                <w:sz w:val="20"/>
                <w:szCs w:val="20"/>
              </w:rPr>
              <w:t xml:space="preserve">célvezetékek, egyéb gáz és gáztermék vezetékek, </w:t>
            </w:r>
            <w:r>
              <w:rPr>
                <w:rFonts w:ascii="Times New Roman" w:hAnsi="Times New Roman" w:cs="Times New Roman"/>
                <w:color w:val="000000"/>
                <w:sz w:val="20"/>
                <w:szCs w:val="20"/>
              </w:rPr>
              <w:t>propán-bután töltő telepek és tartozékainak építése szakterület részszakterülete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MV-GO-R</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 xml:space="preserve">A szénhidrogén-szállító vezetékek, gázelosztó vezetékek, </w:t>
            </w:r>
            <w:r>
              <w:rPr>
                <w:rFonts w:ascii="Times New Roman" w:hAnsi="Times New Roman" w:cs="Times New Roman"/>
                <w:sz w:val="20"/>
                <w:szCs w:val="20"/>
              </w:rPr>
              <w:t xml:space="preserve">célvezetékek, egyéb gáz és gáztermék vezetékek, </w:t>
            </w:r>
            <w:r>
              <w:rPr>
                <w:rFonts w:ascii="Times New Roman" w:hAnsi="Times New Roman" w:cs="Times New Roman"/>
                <w:color w:val="000000"/>
                <w:sz w:val="20"/>
                <w:szCs w:val="20"/>
              </w:rPr>
              <w:t>propán-bután töltő telepek és tartozékaik építési-szerelési munkának felelős műszaki vezetése, kivéve gázátadó és gázfogadó állomások, kompresszorállomások, szivattyúállomások, tartályparkok, DN 300 mm méretnél nagyobb átmérőjű csővezetékek szerelési munkái, az elkészült rendszerek</w:t>
            </w:r>
            <w:r>
              <w:rPr>
                <w:rFonts w:ascii="Times New Roman" w:hAnsi="Times New Roman" w:cs="Times New Roman"/>
                <w:sz w:val="20"/>
                <w:szCs w:val="20"/>
              </w:rPr>
              <w:t xml:space="preserve"> részszakterület szerint</w:t>
            </w:r>
            <w:r>
              <w:rPr>
                <w:rFonts w:ascii="Times New Roman" w:hAnsi="Times New Roman" w:cs="Times New Roman"/>
                <w:color w:val="000000"/>
                <w:sz w:val="20"/>
                <w:szCs w:val="20"/>
              </w:rPr>
              <w:t xml:space="preserve"> üzembe helyezése és próbaüzeme, valamint ezekhez kapcsolódó feladatok.</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gáz- és olajipari 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gépésztechnikus,</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gépipari szakközépiskola</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r w:rsidR="005A7E08">
        <w:tblPrEx>
          <w:tblCellMar>
            <w:top w:w="0" w:type="dxa"/>
            <w:bottom w:w="0" w:type="dxa"/>
          </w:tblCellMar>
        </w:tblPrEx>
        <w:trPr>
          <w:trHeight w:val="974"/>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16.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Energiaellátási építmények szakterület</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MV-EN</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Energetikai, vegyipari, szénhidrogén-ipari berendezések építményei építésének felelős műszaki vezetése korlátozás nélkül.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gépészmérnök,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okleveles energetikai 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 xml:space="preserve">okleveles </w:t>
            </w:r>
            <w:r>
              <w:rPr>
                <w:rFonts w:ascii="Times New Roman" w:hAnsi="Times New Roman" w:cs="Times New Roman"/>
                <w:sz w:val="20"/>
                <w:szCs w:val="20"/>
              </w:rPr>
              <w:t>vegyészmérnök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gépészmérnök,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energetikai 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sz w:val="20"/>
                <w:szCs w:val="20"/>
              </w:rPr>
              <w:t>vegyészmérnök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tc>
      </w:tr>
      <w:tr w:rsidR="005A7E08">
        <w:tblPrEx>
          <w:tblCellMar>
            <w:top w:w="0" w:type="dxa"/>
            <w:bottom w:w="0" w:type="dxa"/>
          </w:tblCellMar>
        </w:tblPrEx>
        <w:trPr>
          <w:trHeight w:val="922"/>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17.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Energiaellátási építmények szakterület</w:t>
            </w:r>
            <w:r>
              <w:rPr>
                <w:rFonts w:ascii="Times New Roman" w:hAnsi="Times New Roman" w:cs="Times New Roman"/>
                <w:sz w:val="20"/>
                <w:szCs w:val="20"/>
              </w:rPr>
              <w:t xml:space="preserve"> részszakterülete </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MV-EN-R</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Energetikai, vegyipari, szénhidrogén-ipari berendezések építményei építésének felelős műszaki vezetése 50 bar nyomásig és nyomás alatti vezetékek és berendezések 600 mm belső átmérőig.</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vegyész technikus, gépésztechnikus, vagy szakközépiskola</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5A7E08">
        <w:tblPrEx>
          <w:tblCellMar>
            <w:top w:w="0" w:type="dxa"/>
            <w:bottom w:w="0" w:type="dxa"/>
          </w:tblCellMar>
        </w:tblPrEx>
        <w:trPr>
          <w:trHeight w:val="922"/>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18.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Energiaellátási építmények szakterület atomenergia építmények részszakterület </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MV-EN-A</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Atomenergia építmények építésének felelős műszaki vezetése.</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okleveles építőmérnök </w:t>
            </w:r>
          </w:p>
        </w:tc>
        <w:tc>
          <w:tcPr>
            <w:tcW w:w="1274" w:type="dxa"/>
          </w:tcPr>
          <w:p w:rsidR="005A7E08" w:rsidRDefault="005A7E08">
            <w:pPr>
              <w:widowControl w:val="0"/>
              <w:autoSpaceDE w:val="0"/>
              <w:autoSpaceDN w:val="0"/>
              <w:adjustRightInd w:val="0"/>
              <w:spacing w:after="0" w:line="240" w:lineRule="auto"/>
              <w:ind w:firstLine="1"/>
              <w:rPr>
                <w:rFonts w:ascii="Times New Roman" w:hAnsi="Times New Roman" w:cs="Times New Roman"/>
                <w:sz w:val="20"/>
                <w:szCs w:val="20"/>
              </w:rPr>
            </w:pPr>
            <w:r>
              <w:rPr>
                <w:rFonts w:ascii="Times New Roman" w:hAnsi="Times New Roman" w:cs="Times New Roman"/>
                <w:sz w:val="20"/>
                <w:szCs w:val="20"/>
              </w:rPr>
              <w:t xml:space="preserve">5 év </w:t>
            </w:r>
          </w:p>
        </w:tc>
      </w:tr>
      <w:tr w:rsidR="005A7E08">
        <w:tblPrEx>
          <w:tblCellMar>
            <w:top w:w="0" w:type="dxa"/>
            <w:bottom w:w="0" w:type="dxa"/>
          </w:tblCellMar>
        </w:tblPrEx>
        <w:trPr>
          <w:trHeight w:val="693"/>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19.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Távhővezetékek és berendezések építése</w:t>
            </w:r>
          </w:p>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szakterület </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MV-TH</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Föld feletti és föld alatti távhővezeték, azok tartozékai és védőberendezései építésének felelős műszaki vezetése.</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gépészmérnök,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energetikai 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energetikai 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tc>
      </w:tr>
    </w:tbl>
    <w:p w:rsidR="005A7E08" w:rsidRDefault="005A7E08" w:rsidP="005A7E08">
      <w:pPr>
        <w:autoSpaceDE w:val="0"/>
        <w:autoSpaceDN w:val="0"/>
        <w:adjustRightInd w:val="0"/>
        <w:spacing w:after="0" w:line="240" w:lineRule="auto"/>
        <w:rPr>
          <w:rFonts w:ascii="Times New Roman" w:hAnsi="Times New Roman" w:cs="Times New Roman"/>
          <w:sz w:val="20"/>
          <w:szCs w:val="20"/>
        </w:rPr>
        <w:sectPr w:rsidR="005A7E08">
          <w:footnotePr>
            <w:numStart w:val="63"/>
          </w:footnotePr>
          <w:pgSz w:w="16840" w:h="11907" w:orient="landscape"/>
          <w:pgMar w:top="851" w:right="1134" w:bottom="851" w:left="1134" w:header="708" w:footer="708" w:gutter="0"/>
          <w:cols w:space="708"/>
          <w:noEndnote/>
        </w:sectPr>
      </w:pPr>
    </w:p>
    <w:p w:rsidR="005A7E08" w:rsidRDefault="005A7E08" w:rsidP="005A7E08">
      <w:pPr>
        <w:autoSpaceDE w:val="0"/>
        <w:autoSpaceDN w:val="0"/>
        <w:adjustRightInd w:val="0"/>
        <w:spacing w:after="0" w:line="240" w:lineRule="auto"/>
        <w:jc w:val="both"/>
        <w:rPr>
          <w:rFonts w:ascii="Times New Roman" w:hAnsi="Times New Roman" w:cs="Times New Roman"/>
          <w:sz w:val="20"/>
          <w:szCs w:val="20"/>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28"/>
        <w:gridCol w:w="2693"/>
        <w:gridCol w:w="1419"/>
        <w:gridCol w:w="6432"/>
        <w:gridCol w:w="2497"/>
        <w:gridCol w:w="1274"/>
      </w:tblGrid>
      <w:tr w:rsidR="005A7E08">
        <w:tblPrEx>
          <w:tblCellMar>
            <w:top w:w="0" w:type="dxa"/>
            <w:bottom w:w="0" w:type="dxa"/>
          </w:tblCellMar>
        </w:tblPrEx>
        <w:trPr>
          <w:trHeight w:val="195"/>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20.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Távhővezetékek és berendezések építése szakterület részszakterülete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MV-TH-R</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Föld feletti távhővezeték, azok tartozékai és védőberendezéseinek építésének felelős műszaki vezetése.</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gépész felsőfokú technikus</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r w:rsidR="005A7E08">
        <w:tblPrEx>
          <w:tblCellMar>
            <w:top w:w="0" w:type="dxa"/>
            <w:bottom w:w="0" w:type="dxa"/>
          </w:tblCellMar>
        </w:tblPrEx>
        <w:trPr>
          <w:trHeight w:val="579"/>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21.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Villamosság szakterület </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MV-VI</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color w:val="000000"/>
                <w:sz w:val="20"/>
                <w:szCs w:val="20"/>
              </w:rPr>
              <w:t>Erősáramú föld feletti és föld alatti vezetékek, átalakító- és kapcsolóberendezések építésének felelős műszaki vezetése korlátozás nélkül.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okleveles villamosmérnök,</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villamosmérnök</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3 év</w:t>
            </w: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p>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4 év</w:t>
            </w:r>
          </w:p>
        </w:tc>
      </w:tr>
      <w:tr w:rsidR="005A7E08">
        <w:tblPrEx>
          <w:tblCellMar>
            <w:top w:w="0" w:type="dxa"/>
            <w:bottom w:w="0" w:type="dxa"/>
          </w:tblCellMar>
        </w:tblPrEx>
        <w:trPr>
          <w:trHeight w:val="325"/>
        </w:trPr>
        <w:tc>
          <w:tcPr>
            <w:tcW w:w="428"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22. </w:t>
            </w:r>
          </w:p>
        </w:tc>
        <w:tc>
          <w:tcPr>
            <w:tcW w:w="2693" w:type="dxa"/>
            <w:vAlign w:val="center"/>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Villamosság szakterület részszakterülete</w:t>
            </w:r>
          </w:p>
        </w:tc>
        <w:tc>
          <w:tcPr>
            <w:tcW w:w="141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color w:val="000000"/>
                <w:sz w:val="20"/>
                <w:szCs w:val="20"/>
              </w:rPr>
            </w:pPr>
            <w:r>
              <w:rPr>
                <w:rFonts w:ascii="Times New Roman" w:hAnsi="Times New Roman" w:cs="Times New Roman"/>
                <w:color w:val="000000"/>
                <w:sz w:val="20"/>
                <w:szCs w:val="20"/>
              </w:rPr>
              <w:t>MV-VI-R</w:t>
            </w:r>
          </w:p>
        </w:tc>
        <w:tc>
          <w:tcPr>
            <w:tcW w:w="6432"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Erősáramú föld feletti és föld alatti vezetékek, átalakító- és kapcsolóberendezések építésének felelős műszaki vezetése kisfeszültségű hálózatoknál.</w:t>
            </w:r>
          </w:p>
        </w:tc>
        <w:tc>
          <w:tcPr>
            <w:tcW w:w="2497"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villamosipari technikus</w:t>
            </w:r>
          </w:p>
        </w:tc>
        <w:tc>
          <w:tcPr>
            <w:tcW w:w="1274" w:type="dxa"/>
          </w:tcPr>
          <w:p w:rsidR="005A7E08" w:rsidRDefault="005A7E08">
            <w:pPr>
              <w:widowControl w:val="0"/>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5 év</w:t>
            </w:r>
          </w:p>
        </w:tc>
      </w:tr>
    </w:tbl>
    <w:p w:rsidR="005A7E08" w:rsidRDefault="005A7E08" w:rsidP="005A7E08">
      <w:pPr>
        <w:widowControl w:val="0"/>
        <w:autoSpaceDE w:val="0"/>
        <w:autoSpaceDN w:val="0"/>
        <w:adjustRightInd w:val="0"/>
        <w:spacing w:after="0" w:line="240" w:lineRule="auto"/>
        <w:jc w:val="both"/>
        <w:rPr>
          <w:rFonts w:ascii="Times New Roman" w:hAnsi="Times New Roman" w:cs="Times New Roman"/>
          <w:sz w:val="20"/>
          <w:szCs w:val="20"/>
        </w:rPr>
      </w:pPr>
    </w:p>
    <w:p w:rsidR="005A7E08" w:rsidRDefault="005A7E08" w:rsidP="005A7E08">
      <w:pPr>
        <w:widowControl w:val="0"/>
        <w:autoSpaceDE w:val="0"/>
        <w:autoSpaceDN w:val="0"/>
        <w:adjustRightInd w:val="0"/>
        <w:spacing w:after="0" w:line="240" w:lineRule="auto"/>
        <w:jc w:val="both"/>
        <w:rPr>
          <w:rFonts w:ascii="Times New Roman" w:hAnsi="Times New Roman" w:cs="Times New Roman"/>
          <w:sz w:val="20"/>
          <w:szCs w:val="20"/>
        </w:rPr>
        <w:sectPr w:rsidR="005A7E08">
          <w:footnotePr>
            <w:numStart w:val="63"/>
          </w:footnotePr>
          <w:pgSz w:w="16840" w:h="11907" w:orient="landscape"/>
          <w:pgMar w:top="851" w:right="1134" w:bottom="851" w:left="1134" w:header="708" w:footer="708" w:gutter="0"/>
          <w:cols w:space="708"/>
          <w:noEndnote/>
        </w:sect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2. melléklet a 266/2013. (VII. 11.) Korm. rendelethez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sectPr w:rsidR="005A7E08">
          <w:footnotePr>
            <w:numStart w:val="63"/>
          </w:footnotePr>
          <w:pgSz w:w="11906" w:h="16838"/>
          <w:pgMar w:top="1417" w:right="1417" w:bottom="1134" w:left="1417" w:header="708" w:footer="708" w:gutter="0"/>
          <w:cols w:space="708"/>
          <w:noEndnote/>
        </w:sectPr>
      </w:pPr>
    </w:p>
    <w:p w:rsidR="005A7E08" w:rsidRDefault="005A7E08" w:rsidP="005A7E08">
      <w:pPr>
        <w:widowControl w:val="0"/>
        <w:autoSpaceDE w:val="0"/>
        <w:autoSpaceDN w:val="0"/>
        <w:adjustRightInd w:val="0"/>
        <w:spacing w:before="240" w:after="0" w:line="240" w:lineRule="auto"/>
        <w:jc w:val="center"/>
        <w:rPr>
          <w:rFonts w:ascii="Times New Roman" w:hAnsi="Times New Roman" w:cs="Times New Roman"/>
          <w:sz w:val="20"/>
          <w:szCs w:val="20"/>
        </w:rPr>
      </w:pPr>
      <w:r>
        <w:rPr>
          <w:rFonts w:ascii="Times New Roman" w:hAnsi="Times New Roman" w:cs="Times New Roman"/>
          <w:b/>
          <w:bCs/>
          <w:sz w:val="24"/>
          <w:szCs w:val="24"/>
        </w:rPr>
        <w:lastRenderedPageBreak/>
        <w:t>I. Az építész kamarák által nyilvántartott, korábbi jogszabály alapján megállapított építészeti tervezési jogosultságok és a hozzájuk tartozó építészeti-műszaki tervezési tevékenységek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3352"/>
        <w:gridCol w:w="10823"/>
      </w:tblGrid>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335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0823"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p>
        </w:tc>
        <w:tc>
          <w:tcPr>
            <w:tcW w:w="335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Korlátozott szakterület (tervezői fokozat) megnevezése, jelölése</w:t>
            </w:r>
          </w:p>
        </w:tc>
        <w:tc>
          <w:tcPr>
            <w:tcW w:w="10823"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r>
      <w:tr w:rsidR="005A7E08">
        <w:tblPrEx>
          <w:tblCellMar>
            <w:top w:w="0" w:type="dxa"/>
            <w:bottom w:w="0" w:type="dxa"/>
          </w:tblCellMar>
        </w:tblPrEx>
        <w:trPr>
          <w:cantSplit/>
          <w:trHeight w:val="1672"/>
        </w:trPr>
        <w:tc>
          <w:tcPr>
            <w:tcW w:w="426" w:type="dxa"/>
          </w:tcPr>
          <w:p w:rsidR="005A7E08" w:rsidRDefault="005A7E0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p>
        </w:tc>
        <w:tc>
          <w:tcPr>
            <w:tcW w:w="3352" w:type="dxa"/>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b/>
                <w:bCs/>
                <w:sz w:val="20"/>
                <w:szCs w:val="20"/>
              </w:rPr>
              <w:t>É2</w:t>
            </w:r>
            <w:r>
              <w:rPr>
                <w:rFonts w:ascii="Times New Roman" w:hAnsi="Times New Roman" w:cs="Times New Roman"/>
                <w:sz w:val="20"/>
                <w:szCs w:val="20"/>
              </w:rPr>
              <w:t xml:space="preserve"> jelű építész tervezői fokozat</w:t>
            </w:r>
          </w:p>
        </w:tc>
        <w:tc>
          <w:tcPr>
            <w:tcW w:w="10823" w:type="dxa"/>
          </w:tcPr>
          <w:p w:rsidR="005A7E08" w:rsidRDefault="005A7E08">
            <w:pPr>
              <w:autoSpaceDE w:val="0"/>
              <w:autoSpaceDN w:val="0"/>
              <w:adjustRightInd w:val="0"/>
              <w:spacing w:after="0" w:line="240" w:lineRule="auto"/>
              <w:ind w:left="56" w:right="56"/>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Építmények építészeti tervezése terepszint fölött legfeljebb öt szint magasságig és összesen 2000 m</w:t>
            </w:r>
            <w:r>
              <w:rPr>
                <w:rFonts w:ascii="Times New Roman" w:hAnsi="Times New Roman" w:cs="Times New Roman"/>
                <w:sz w:val="20"/>
                <w:szCs w:val="20"/>
                <w:vertAlign w:val="superscript"/>
              </w:rPr>
              <w:t xml:space="preserve">2 </w:t>
            </w:r>
            <w:r>
              <w:rPr>
                <w:rFonts w:ascii="Times New Roman" w:hAnsi="Times New Roman" w:cs="Times New Roman"/>
                <w:sz w:val="20"/>
                <w:szCs w:val="20"/>
              </w:rPr>
              <w:t>szintterület nagyságig.</w:t>
            </w:r>
            <w:r>
              <w:rPr>
                <w:rFonts w:ascii="Times New Roman" w:hAnsi="Times New Roman" w:cs="Times New Roman"/>
                <w:sz w:val="20"/>
                <w:szCs w:val="20"/>
              </w:rPr>
              <w:br/>
            </w:r>
            <w:r>
              <w:rPr>
                <w:rFonts w:ascii="Times New Roman" w:hAnsi="Times New Roman" w:cs="Times New Roman"/>
                <w:i/>
                <w:iCs/>
                <w:sz w:val="20"/>
                <w:szCs w:val="20"/>
              </w:rPr>
              <w:t xml:space="preserve">b) </w:t>
            </w:r>
            <w:r>
              <w:rPr>
                <w:rFonts w:ascii="Times New Roman" w:hAnsi="Times New Roman" w:cs="Times New Roman"/>
                <w:sz w:val="20"/>
                <w:szCs w:val="20"/>
              </w:rPr>
              <w:t>Meglévő építmény bővítése maximum 2000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összes szintterület nagyságig.</w:t>
            </w:r>
            <w:r>
              <w:rPr>
                <w:rFonts w:ascii="Times New Roman" w:hAnsi="Times New Roman" w:cs="Times New Roman"/>
                <w:sz w:val="20"/>
                <w:szCs w:val="20"/>
              </w:rPr>
              <w:br/>
            </w:r>
            <w:r>
              <w:rPr>
                <w:rFonts w:ascii="Times New Roman" w:hAnsi="Times New Roman" w:cs="Times New Roman"/>
                <w:i/>
                <w:iCs/>
                <w:sz w:val="20"/>
                <w:szCs w:val="20"/>
              </w:rPr>
              <w:t xml:space="preserve">c) </w:t>
            </w:r>
            <w:r>
              <w:rPr>
                <w:rFonts w:ascii="Times New Roman" w:hAnsi="Times New Roman" w:cs="Times New Roman"/>
                <w:sz w:val="20"/>
                <w:szCs w:val="20"/>
              </w:rPr>
              <w:t>Bontási, felújítási, korszerűsítési és helyreállítási tervek, korlátozás nélkül.</w:t>
            </w:r>
            <w:r>
              <w:rPr>
                <w:rFonts w:ascii="Times New Roman" w:hAnsi="Times New Roman" w:cs="Times New Roman"/>
                <w:sz w:val="20"/>
                <w:szCs w:val="20"/>
              </w:rPr>
              <w:br/>
              <w:t>Az É2 jelű tervezői fokozat tevékenységi köre nem terjed ki a helyi vagy műemléki védelem alatt álló építménnyel kapcsolatos, valamint jogszabállyal védetté nyilvánított területen (világörökség, műemléki jelentőségű területen, műemléki környezetben, tájvédelem vagy helyi védelem alatt álló területen) új építmény létesítésével és meglévő építmény tömegét megváltoztató átalakításával kapcsolatos építészeti-műszaki terveinek készítésére.</w:t>
            </w:r>
          </w:p>
        </w:tc>
      </w:tr>
      <w:tr w:rsidR="005A7E08">
        <w:tblPrEx>
          <w:tblCellMar>
            <w:top w:w="0" w:type="dxa"/>
            <w:bottom w:w="0" w:type="dxa"/>
          </w:tblCellMar>
        </w:tblPrEx>
        <w:trPr>
          <w:cantSplit/>
          <w:trHeight w:val="289"/>
        </w:trPr>
        <w:tc>
          <w:tcPr>
            <w:tcW w:w="426" w:type="dxa"/>
          </w:tcPr>
          <w:p w:rsidR="005A7E08" w:rsidRDefault="005A7E0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p>
        </w:tc>
        <w:tc>
          <w:tcPr>
            <w:tcW w:w="3352"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K2</w:t>
            </w:r>
            <w:r>
              <w:rPr>
                <w:rFonts w:ascii="Times New Roman" w:hAnsi="Times New Roman" w:cs="Times New Roman"/>
                <w:sz w:val="20"/>
                <w:szCs w:val="20"/>
              </w:rPr>
              <w:t xml:space="preserve"> jelű tervezői fokozat</w:t>
            </w:r>
          </w:p>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1082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1. mellékletben foglalt I. Tervezés 2. rész Építészeti-műszaki tervezés táblázatban a táj- és kertépítészeti területnél (K) meghatározott tervezés 2 hektár terület nagyságig, továbbá az É2 jelű tervezői fokozatban tervezhető épületekkel összefüggő egyéb táj- és kertépítészeti tervezés.</w:t>
            </w:r>
          </w:p>
        </w:tc>
      </w:tr>
      <w:tr w:rsidR="005A7E08">
        <w:tblPrEx>
          <w:tblCellMar>
            <w:top w:w="0" w:type="dxa"/>
            <w:bottom w:w="0" w:type="dxa"/>
          </w:tblCellMar>
        </w:tblPrEx>
        <w:trPr>
          <w:cantSplit/>
          <w:trHeight w:val="1184"/>
        </w:trPr>
        <w:tc>
          <w:tcPr>
            <w:tcW w:w="426" w:type="dxa"/>
          </w:tcPr>
          <w:p w:rsidR="005A7E08" w:rsidRDefault="005A7E08">
            <w:pPr>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p>
        </w:tc>
        <w:tc>
          <w:tcPr>
            <w:tcW w:w="3352"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b/>
                <w:bCs/>
                <w:sz w:val="20"/>
                <w:szCs w:val="20"/>
              </w:rPr>
              <w:t>É3</w:t>
            </w:r>
            <w:r>
              <w:rPr>
                <w:rFonts w:ascii="Times New Roman" w:hAnsi="Times New Roman" w:cs="Times New Roman"/>
                <w:sz w:val="20"/>
                <w:szCs w:val="20"/>
              </w:rPr>
              <w:t xml:space="preserve"> jelű tervezői fokozat</w:t>
            </w:r>
          </w:p>
          <w:p w:rsidR="005A7E08" w:rsidRDefault="005A7E08">
            <w:pPr>
              <w:widowControl w:val="0"/>
              <w:autoSpaceDE w:val="0"/>
              <w:autoSpaceDN w:val="0"/>
              <w:adjustRightInd w:val="0"/>
              <w:spacing w:after="0" w:line="240" w:lineRule="auto"/>
              <w:jc w:val="both"/>
              <w:rPr>
                <w:rFonts w:ascii="Times New Roman" w:hAnsi="Times New Roman" w:cs="Times New Roman"/>
                <w:b/>
                <w:bCs/>
                <w:sz w:val="20"/>
                <w:szCs w:val="20"/>
              </w:rPr>
            </w:pPr>
          </w:p>
        </w:tc>
        <w:tc>
          <w:tcPr>
            <w:tcW w:w="10823"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a) </w:t>
            </w:r>
            <w:r>
              <w:rPr>
                <w:rFonts w:ascii="Times New Roman" w:hAnsi="Times New Roman" w:cs="Times New Roman"/>
                <w:sz w:val="20"/>
                <w:szCs w:val="20"/>
              </w:rPr>
              <w:t>Két rendeltetési egységet magába foglaló lakó- és üdülőépület és az ezekhez tartozó 7,5 m építménymagasságot meg nem haladó tároló, gazdasági és gazdálkodási építmények építészeti tervezése.</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b) </w:t>
            </w:r>
            <w:r>
              <w:rPr>
                <w:rFonts w:ascii="Times New Roman" w:hAnsi="Times New Roman" w:cs="Times New Roman"/>
                <w:sz w:val="20"/>
                <w:szCs w:val="20"/>
              </w:rPr>
              <w:t>Ipari, mezőgazdasági (állattartás, növénytermesztés, tárolás) rendeltetésű épület építészeti tervezése összesen legfeljebb 1200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szintterületig, két szint magasságig.</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 xml:space="preserve">c) </w:t>
            </w:r>
            <w:r>
              <w:rPr>
                <w:rFonts w:ascii="Times New Roman" w:hAnsi="Times New Roman" w:cs="Times New Roman"/>
                <w:sz w:val="20"/>
                <w:szCs w:val="20"/>
              </w:rPr>
              <w:t xml:space="preserve">Állapotfelmérés, bővítési, bontási, felújítási, korszerűsítési terv az </w:t>
            </w:r>
            <w:r>
              <w:rPr>
                <w:rFonts w:ascii="Times New Roman" w:hAnsi="Times New Roman" w:cs="Times New Roman"/>
                <w:i/>
                <w:iCs/>
                <w:sz w:val="20"/>
                <w:szCs w:val="20"/>
              </w:rPr>
              <w:t xml:space="preserve">a) </w:t>
            </w:r>
            <w:r>
              <w:rPr>
                <w:rFonts w:ascii="Times New Roman" w:hAnsi="Times New Roman" w:cs="Times New Roman"/>
                <w:sz w:val="20"/>
                <w:szCs w:val="20"/>
              </w:rPr>
              <w:t xml:space="preserve">és </w:t>
            </w:r>
            <w:r>
              <w:rPr>
                <w:rFonts w:ascii="Times New Roman" w:hAnsi="Times New Roman" w:cs="Times New Roman"/>
                <w:i/>
                <w:iCs/>
                <w:sz w:val="20"/>
                <w:szCs w:val="20"/>
              </w:rPr>
              <w:t xml:space="preserve">b) </w:t>
            </w:r>
            <w:r>
              <w:rPr>
                <w:rFonts w:ascii="Times New Roman" w:hAnsi="Times New Roman" w:cs="Times New Roman"/>
                <w:sz w:val="20"/>
                <w:szCs w:val="20"/>
              </w:rPr>
              <w:t>pontban meghatározott körben.</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É3-as tevékenységi kör nem terjed ki a két rendeltetési egységet (lakás, üdülő) meghaladó együttes építészeti tervezésére, továbbá a jogszabállyal védetté nyilvánított építménnyel kapcsolatos, valamint jogszabállyal védetté nyilvánított területen (világörökség, műemléki jelentőségű területen, műemléki környezetben, tájvédelem vagy helyi védelem alatt álló területen) új építmény létesítésével és meglévő építmény tömegét megváltoztató átalakításával kapcsolatos építészeti-műszaki terveinek készítésére.</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w:t>
            </w:r>
            <w:r>
              <w:rPr>
                <w:rFonts w:ascii="Times New Roman" w:hAnsi="Times New Roman" w:cs="Times New Roman"/>
                <w:sz w:val="20"/>
                <w:szCs w:val="20"/>
              </w:rPr>
              <w:t xml:space="preserve"> pontban foglalt lakó-, illetve üdülőegység - rendeltetési egységenként - az alapterület 50%-át meg nem haladó, de legfeljebb 150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méretű egyéb, kereskedelmi vagy szolgáltató funkciót tartalmazhat.</w:t>
            </w:r>
          </w:p>
        </w:tc>
      </w:tr>
      <w:tr w:rsidR="005A7E08">
        <w:tblPrEx>
          <w:tblCellMar>
            <w:top w:w="0" w:type="dxa"/>
            <w:bottom w:w="0" w:type="dxa"/>
          </w:tblCellMar>
        </w:tblPrEx>
        <w:trPr>
          <w:cantSplit/>
          <w:trHeight w:val="561"/>
        </w:trPr>
        <w:tc>
          <w:tcPr>
            <w:tcW w:w="426"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p>
        </w:tc>
        <w:tc>
          <w:tcPr>
            <w:tcW w:w="335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ÉKE</w:t>
            </w:r>
            <w:r>
              <w:rPr>
                <w:rFonts w:ascii="Times New Roman" w:hAnsi="Times New Roman" w:cs="Times New Roman"/>
                <w:sz w:val="20"/>
                <w:szCs w:val="20"/>
              </w:rPr>
              <w:t xml:space="preserve"> jelű tervezői fokozat</w:t>
            </w:r>
          </w:p>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p>
        </w:tc>
        <w:tc>
          <w:tcPr>
            <w:tcW w:w="1082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Két rendeltetési egységet tartalmazó lakó- és üdülőépület építészeti tervezése összesen legfeljebb 200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 nagyságig, továbbá az ezekhez tartozó kiszolgáló, tároló és gazdálkodási épületek építészeti tervezése 4,5 m építménymagasságig és összesen 200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szintterületig.</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Állapotfelmérési és bontási, felújítási, korszerűsítési tervek készítése az </w:t>
            </w:r>
            <w:r>
              <w:rPr>
                <w:rFonts w:ascii="Times New Roman" w:hAnsi="Times New Roman" w:cs="Times New Roman"/>
                <w:i/>
                <w:iCs/>
                <w:sz w:val="20"/>
                <w:szCs w:val="20"/>
              </w:rPr>
              <w:t>a)</w:t>
            </w:r>
            <w:r>
              <w:rPr>
                <w:rFonts w:ascii="Times New Roman" w:hAnsi="Times New Roman" w:cs="Times New Roman"/>
                <w:sz w:val="20"/>
                <w:szCs w:val="20"/>
              </w:rPr>
              <w:t xml:space="preserve"> pontban meghatározott körben.</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 xml:space="preserve">Az </w:t>
            </w:r>
            <w:r>
              <w:rPr>
                <w:rFonts w:ascii="Times New Roman" w:hAnsi="Times New Roman" w:cs="Times New Roman"/>
                <w:i/>
                <w:iCs/>
                <w:sz w:val="20"/>
                <w:szCs w:val="20"/>
              </w:rPr>
              <w:t>a)</w:t>
            </w:r>
            <w:r>
              <w:rPr>
                <w:rFonts w:ascii="Times New Roman" w:hAnsi="Times New Roman" w:cs="Times New Roman"/>
                <w:sz w:val="20"/>
                <w:szCs w:val="20"/>
              </w:rPr>
              <w:t xml:space="preserve"> pontban foglalt lakó-, illetve üdülőegység - rendeltetési egységenként - 50 m</w:t>
            </w:r>
            <w:r>
              <w:rPr>
                <w:rFonts w:ascii="Times New Roman" w:hAnsi="Times New Roman" w:cs="Times New Roman"/>
                <w:sz w:val="20"/>
                <w:szCs w:val="20"/>
                <w:vertAlign w:val="superscript"/>
              </w:rPr>
              <w:t>2</w:t>
            </w:r>
            <w:r>
              <w:rPr>
                <w:rFonts w:ascii="Times New Roman" w:hAnsi="Times New Roman" w:cs="Times New Roman"/>
                <w:sz w:val="20"/>
                <w:szCs w:val="20"/>
              </w:rPr>
              <w:t>-t meg nem haladó alapterületen tartalmazhat egyéb, kereskedelmi vagy szolgáltató funkciót.</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ÉKE tevékenységi kör nem terjed ki a két rendeltetési egységet (lakás, üdülő) meghaladó együttes építészeti tervezésére, továbbá a jogszabállyal védetté nyilvánított építménnyel kapcsolatos, valamint jogszabállyal védetté nyilvánított területen (világörökség, műemléki jelentőségű területen, műemléki környezetben, tájvédelem vagy helyi védelem alatt álló területen) új építmény létesítésével és meglévő építmény tömegét megváltoztató átalakításával kapcsolatos építési munkák építészeti-műszaki terveinek készítésére.</w:t>
            </w:r>
          </w:p>
        </w:tc>
      </w:tr>
      <w:tr w:rsidR="005A7E08">
        <w:tblPrEx>
          <w:tblCellMar>
            <w:top w:w="0" w:type="dxa"/>
            <w:bottom w:w="0" w:type="dxa"/>
          </w:tblCellMar>
        </w:tblPrEx>
        <w:trPr>
          <w:cantSplit/>
          <w:trHeight w:val="2264"/>
        </w:trPr>
        <w:tc>
          <w:tcPr>
            <w:tcW w:w="426" w:type="dxa"/>
            <w:vAlign w:val="center"/>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6.</w:t>
            </w:r>
          </w:p>
        </w:tc>
        <w:tc>
          <w:tcPr>
            <w:tcW w:w="3352"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b/>
                <w:bCs/>
                <w:sz w:val="20"/>
                <w:szCs w:val="20"/>
              </w:rPr>
              <w:t>ÉK</w:t>
            </w:r>
            <w:r>
              <w:rPr>
                <w:rFonts w:ascii="Times New Roman" w:hAnsi="Times New Roman" w:cs="Times New Roman"/>
                <w:sz w:val="20"/>
                <w:szCs w:val="20"/>
              </w:rPr>
              <w:t xml:space="preserve"> jelű építész tervezői fokozat</w:t>
            </w:r>
          </w:p>
        </w:tc>
        <w:tc>
          <w:tcPr>
            <w:tcW w:w="10823" w:type="dxa"/>
            <w:vAlign w:val="center"/>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a)</w:t>
            </w:r>
            <w:r>
              <w:rPr>
                <w:rFonts w:ascii="Times New Roman" w:hAnsi="Times New Roman" w:cs="Times New Roman"/>
                <w:sz w:val="20"/>
                <w:szCs w:val="20"/>
              </w:rPr>
              <w:t xml:space="preserve"> Meglévő, legfeljebb kétlakásos lakóépület, illetve két rendeltetési egységet tartalmazó üdülőépület bővítésének, belső átalakításának, felújításának építészeti tervezése összesen legfeljebb 200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 nagyságig és 4,5 m építménymagasságig, amennyiben ezáltal új lakás vagy új rendeltetési egység nem keletkezik.</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b)</w:t>
            </w:r>
            <w:r>
              <w:rPr>
                <w:rFonts w:ascii="Times New Roman" w:hAnsi="Times New Roman" w:cs="Times New Roman"/>
                <w:sz w:val="20"/>
                <w:szCs w:val="20"/>
              </w:rPr>
              <w:t xml:space="preserve"> Az a) pontban meghatározottakhoz, illetve a háztartáshoz kapcsolódó kiszolgáló, tároló és gazdálkodási épületek építészeti tervezése legfeljebb 4,5 m építménymagasságig és összesen 200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szintterületig.</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i/>
                <w:iCs/>
                <w:sz w:val="20"/>
                <w:szCs w:val="20"/>
              </w:rPr>
              <w:t>c)</w:t>
            </w:r>
            <w:r>
              <w:rPr>
                <w:rFonts w:ascii="Times New Roman" w:hAnsi="Times New Roman" w:cs="Times New Roman"/>
                <w:sz w:val="20"/>
                <w:szCs w:val="20"/>
              </w:rPr>
              <w:t xml:space="preserve"> Állapotfelmérési és bontási tervek készítése az </w:t>
            </w:r>
            <w:r>
              <w:rPr>
                <w:rFonts w:ascii="Times New Roman" w:hAnsi="Times New Roman" w:cs="Times New Roman"/>
                <w:i/>
                <w:iCs/>
                <w:sz w:val="20"/>
                <w:szCs w:val="20"/>
              </w:rPr>
              <w:t>a)</w:t>
            </w:r>
            <w:r>
              <w:rPr>
                <w:rFonts w:ascii="Times New Roman" w:hAnsi="Times New Roman" w:cs="Times New Roman"/>
                <w:sz w:val="20"/>
                <w:szCs w:val="20"/>
              </w:rPr>
              <w:t xml:space="preserve"> és </w:t>
            </w:r>
            <w:r>
              <w:rPr>
                <w:rFonts w:ascii="Times New Roman" w:hAnsi="Times New Roman" w:cs="Times New Roman"/>
                <w:i/>
                <w:iCs/>
                <w:sz w:val="20"/>
                <w:szCs w:val="20"/>
              </w:rPr>
              <w:t>b)</w:t>
            </w:r>
            <w:r>
              <w:rPr>
                <w:rFonts w:ascii="Times New Roman" w:hAnsi="Times New Roman" w:cs="Times New Roman"/>
                <w:sz w:val="20"/>
                <w:szCs w:val="20"/>
              </w:rPr>
              <w:t xml:space="preserve"> pontban meghatározott körben.</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ÉK jelű tevékenységi kör nem terjed ki a két rendeltetési egységet (lakás, üdülő) meghaladó együttes építészeti tervezésére, továbbá a jogszabállyal védetté nyilvánított építménnyel kapcsolatos, valamint jogszabállyal védetté nyilvánított területen (világörökség, műemléki jelentőségű területen, műemléki környezetben, tájvédelem vagy helyi védelem alatt álló területen) új építmény létesítésével és meglévő építmény tömegét megváltoztató átalakításával kapcsolatos építési munkák építészeti-műszaki terveinek készítésére.</w:t>
            </w:r>
          </w:p>
        </w:tc>
      </w:tr>
    </w:tbl>
    <w:p w:rsidR="005A7E08" w:rsidRDefault="005A7E08" w:rsidP="005A7E08">
      <w:pPr>
        <w:autoSpaceDE w:val="0"/>
        <w:autoSpaceDN w:val="0"/>
        <w:adjustRightInd w:val="0"/>
        <w:spacing w:after="0" w:line="240" w:lineRule="auto"/>
        <w:rPr>
          <w:rFonts w:ascii="Times New Roman" w:hAnsi="Times New Roman" w:cs="Times New Roman"/>
          <w:sz w:val="20"/>
          <w:szCs w:val="20"/>
        </w:rPr>
        <w:sectPr w:rsidR="005A7E08">
          <w:footnotePr>
            <w:numStart w:val="64"/>
          </w:footnotePr>
          <w:pgSz w:w="16840" w:h="11907" w:orient="landscape"/>
          <w:pgMar w:top="851" w:right="1134" w:bottom="851" w:left="1134" w:header="708" w:footer="708" w:gutter="0"/>
          <w:cols w:space="708"/>
          <w:noEndnote/>
        </w:sectPr>
      </w:pPr>
    </w:p>
    <w:p w:rsidR="005A7E08" w:rsidRDefault="005A7E08" w:rsidP="005A7E08">
      <w:pPr>
        <w:widowControl w:val="0"/>
        <w:autoSpaceDE w:val="0"/>
        <w:autoSpaceDN w:val="0"/>
        <w:adjustRightInd w:val="0"/>
        <w:spacing w:before="240"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II. Az építész és a mérnöki kamarák által nyilvántartott, korábbi jogszabály alapján megállapított építési műszaki ellenőri jogosultságok és a hozzájuk tartozó tevékenység</w:t>
      </w:r>
    </w:p>
    <w:p w:rsidR="005A7E08" w:rsidRDefault="005A7E08" w:rsidP="005A7E08">
      <w:pPr>
        <w:widowControl w:val="0"/>
        <w:autoSpaceDE w:val="0"/>
        <w:autoSpaceDN w:val="0"/>
        <w:adjustRightInd w:val="0"/>
        <w:spacing w:before="120"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1.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sz w:val="20"/>
          <w:szCs w:val="20"/>
        </w:rPr>
      </w:pPr>
      <w:r>
        <w:rPr>
          <w:rFonts w:ascii="Times New Roman" w:hAnsi="Times New Roman" w:cs="Times New Roman"/>
          <w:b/>
          <w:bCs/>
          <w:sz w:val="24"/>
          <w:szCs w:val="24"/>
        </w:rPr>
        <w:t>Épületek, továbbá a 2. részben foglaltak kivételével egyéb építmények építési műszaki ellenőri szakterületek</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3363"/>
        <w:gridCol w:w="1479"/>
        <w:gridCol w:w="9410"/>
      </w:tblGrid>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336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7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941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363"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 megnevezése</w:t>
            </w:r>
          </w:p>
        </w:tc>
        <w:tc>
          <w:tcPr>
            <w:tcW w:w="1479"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Jelölése a névjegyzékben </w:t>
            </w:r>
          </w:p>
        </w:tc>
        <w:tc>
          <w:tcPr>
            <w:tcW w:w="9410"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r>
      <w:tr w:rsidR="005A7E08">
        <w:tblPrEx>
          <w:tblCellMar>
            <w:top w:w="0" w:type="dxa"/>
            <w:bottom w:w="0" w:type="dxa"/>
          </w:tblCellMar>
        </w:tblPrEx>
        <w:trPr>
          <w:cantSplit/>
        </w:trPr>
        <w:tc>
          <w:tcPr>
            <w:tcW w:w="42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336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Magasépítés szakterület (É-II.)</w:t>
            </w:r>
          </w:p>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p>
        </w:tc>
        <w:tc>
          <w:tcPr>
            <w:tcW w:w="147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ME-É-II.</w:t>
            </w:r>
          </w:p>
        </w:tc>
        <w:tc>
          <w:tcPr>
            <w:tcW w:w="94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Szokványos funkciójú és szerkezetű pince, földszint és további kétszintű, legfeljebb 6,6 m falköz (oszlopköz) méretű, 6,5 m építménymagasságú, maximum 500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szintterületű épület építésével, felújításával, átépítésével, bontásával összefüggően a teherhordó, térelhatároló és szakipari szerkezetek ellenőrzése.</w:t>
            </w:r>
          </w:p>
        </w:tc>
      </w:tr>
      <w:tr w:rsidR="005A7E08">
        <w:tblPrEx>
          <w:tblCellMar>
            <w:top w:w="0" w:type="dxa"/>
            <w:bottom w:w="0" w:type="dxa"/>
          </w:tblCellMar>
        </w:tblPrEx>
        <w:trPr>
          <w:cantSplit/>
        </w:trPr>
        <w:tc>
          <w:tcPr>
            <w:tcW w:w="42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336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 Mélyépítés és mélyépítési műtárgyak (ÉM-II) szakterület</w:t>
            </w:r>
          </w:p>
        </w:tc>
        <w:tc>
          <w:tcPr>
            <w:tcW w:w="147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ME-ÉM-II.</w:t>
            </w:r>
          </w:p>
        </w:tc>
        <w:tc>
          <w:tcPr>
            <w:tcW w:w="94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É-II. szakterületen meghatározott épülethez szerkezetileg vagy funkciójában kapcsolódó (alapozási, szennyvíztisztítási, szennyvíztárolási, szivárgó, víztelenítési stb.) műtárgyépítési, föld- és tereprendezési, valamint felszíni vízelvezetési munkáinak ellenőrzése.</w:t>
            </w:r>
          </w:p>
        </w:tc>
      </w:tr>
      <w:tr w:rsidR="005A7E08">
        <w:tblPrEx>
          <w:tblCellMar>
            <w:top w:w="0" w:type="dxa"/>
            <w:bottom w:w="0" w:type="dxa"/>
          </w:tblCellMar>
        </w:tblPrEx>
        <w:trPr>
          <w:cantSplit/>
        </w:trPr>
        <w:tc>
          <w:tcPr>
            <w:tcW w:w="42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336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Építmény- és épületgépészet (ÉG-II.) szakterület</w:t>
            </w:r>
          </w:p>
        </w:tc>
        <w:tc>
          <w:tcPr>
            <w:tcW w:w="147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ME-ÉG-II.</w:t>
            </w:r>
          </w:p>
        </w:tc>
        <w:tc>
          <w:tcPr>
            <w:tcW w:w="94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É-II. és ÉM-II. kategóriákban meghatározott építmények fűtési, szellőzési, valamint az építményen, illetve telekhatáron belüli vízellátási, csatornázási és gázhálózat-szerelési munkáinak ellenőrzése a mérőóráig.</w:t>
            </w:r>
          </w:p>
        </w:tc>
      </w:tr>
      <w:tr w:rsidR="005A7E08">
        <w:tblPrEx>
          <w:tblCellMar>
            <w:top w:w="0" w:type="dxa"/>
            <w:bottom w:w="0" w:type="dxa"/>
          </w:tblCellMar>
        </w:tblPrEx>
        <w:trPr>
          <w:cantSplit/>
        </w:trPr>
        <w:tc>
          <w:tcPr>
            <w:tcW w:w="42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3363"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Építmény- és épületvillamosság (ÉV-II.) szakterület</w:t>
            </w:r>
          </w:p>
        </w:tc>
        <w:tc>
          <w:tcPr>
            <w:tcW w:w="1479"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ME-ÉV-II.</w:t>
            </w:r>
          </w:p>
        </w:tc>
        <w:tc>
          <w:tcPr>
            <w:tcW w:w="9410"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 É-II. és ÉM-II. kategóriában meghatározott építményen belüli világítási és erőátviteli hálózatok szerelésének ellenőrzése a mérőóráig, az épületfelügyeleti rendszerek szerelésének ellenőrzése.</w:t>
            </w:r>
          </w:p>
        </w:tc>
      </w:tr>
    </w:tbl>
    <w:p w:rsidR="005A7E08" w:rsidRDefault="005A7E08" w:rsidP="005A7E08">
      <w:pPr>
        <w:widowControl w:val="0"/>
        <w:autoSpaceDE w:val="0"/>
        <w:autoSpaceDN w:val="0"/>
        <w:adjustRightInd w:val="0"/>
        <w:spacing w:before="240" w:after="0" w:line="240" w:lineRule="auto"/>
        <w:jc w:val="center"/>
        <w:rPr>
          <w:rFonts w:ascii="Times New Roman" w:hAnsi="Times New Roman" w:cs="Times New Roman"/>
          <w:b/>
          <w:bCs/>
          <w:sz w:val="24"/>
          <w:szCs w:val="24"/>
        </w:rPr>
      </w:pPr>
      <w:r>
        <w:rPr>
          <w:rFonts w:ascii="Times New Roman" w:hAnsi="Times New Roman" w:cs="Times New Roman"/>
          <w:b/>
          <w:bCs/>
          <w:sz w:val="24"/>
          <w:szCs w:val="24"/>
        </w:rPr>
        <w:t>2. rész</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0"/>
          <w:szCs w:val="20"/>
        </w:rPr>
      </w:pPr>
      <w:r>
        <w:rPr>
          <w:rFonts w:ascii="Times New Roman" w:hAnsi="Times New Roman" w:cs="Times New Roman"/>
          <w:b/>
          <w:bCs/>
          <w:sz w:val="24"/>
          <w:szCs w:val="24"/>
        </w:rPr>
        <w:t xml:space="preserve">A sajátos építményfajták építési műszaki ellenőri szakterületei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3402"/>
        <w:gridCol w:w="1418"/>
        <w:gridCol w:w="9355"/>
      </w:tblGrid>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p>
        </w:tc>
        <w:tc>
          <w:tcPr>
            <w:tcW w:w="340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1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9355"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1.</w:t>
            </w:r>
          </w:p>
        </w:tc>
        <w:tc>
          <w:tcPr>
            <w:tcW w:w="340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 megnevezése</w:t>
            </w:r>
          </w:p>
        </w:tc>
        <w:tc>
          <w:tcPr>
            <w:tcW w:w="1418"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Jelölése a névjegyzékben </w:t>
            </w:r>
          </w:p>
        </w:tc>
        <w:tc>
          <w:tcPr>
            <w:tcW w:w="9355"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2.</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Közlekedési szakterület (KÉ/II.)</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ME-KÉ/II.</w:t>
            </w:r>
          </w:p>
        </w:tc>
        <w:tc>
          <w:tcPr>
            <w:tcW w:w="935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Utak, vasutak (közúti villamos vasút, földalatti vasút is), repülőtér, kikötő, ezek műtárgyai, zajvédelmi berendezései, tartozékai, vízelvezetése, építési munkáinak műszaki ellenőrzése gyorsforgalmi utak, nagysebességű vasutak, polgári repülőterek kivételével, híd 4,0 m szabadnyílásig, támfal 3 m-ig.</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3.</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Vasút-villamossági szakterület (VV/II.)</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ME-VV/II.</w:t>
            </w:r>
          </w:p>
        </w:tc>
        <w:tc>
          <w:tcPr>
            <w:tcW w:w="935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Vasút-villamossági építmények építése (hatósági engedély nélkül létesíthető berendezések és létesítmények építési munkái), felújítás, átalakítás, bővítés, javítás-karbantartás, elbontás.</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4.</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Elektronikus hírközlési (infokommunikációs) építmények (TÉ/II.) szakterület</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ME-TÉ/II.</w:t>
            </w:r>
          </w:p>
        </w:tc>
        <w:tc>
          <w:tcPr>
            <w:tcW w:w="935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Azon elektronikus hírközlési építmények, rendszerek létesítésének, felújításának és átalakításának, bontásának, műszaki ellenőrzése, mely rendszerek közvetlenül nem szolgálnak kettőnél több szolgáltatót, nem tartalmaznak egyszerre vezetékes, és vezeték nélküli megoldásokat (kivéve URH sáv), és nem szolgálják kettőnél több infokommunikációs alrendszer üzemeltethetőségét.</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5.</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Szilárdásvány-bányászati, kőolaj- és földgázbányászati építmények szakterület (BÁ/II.)</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ME-BÁ/II.</w:t>
            </w:r>
          </w:p>
        </w:tc>
        <w:tc>
          <w:tcPr>
            <w:tcW w:w="935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Szilárdásvány-bányászati (nem engedély köteles) építmények építésének műszaki ellenőrzése.</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6.</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Energetikai, vegyipari, szénhidrogén-ipari berendezések építményeinek építése szakterület (EN/II.)</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ME-EN/II.</w:t>
            </w:r>
          </w:p>
        </w:tc>
        <w:tc>
          <w:tcPr>
            <w:tcW w:w="935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Energetikai, vegyipari, szénhidrogén-ipari berendezések építményei 50 bar nyomásig és nyomás alatti vezetékek és berendezések 600 mm belső átmérőig.</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lastRenderedPageBreak/>
              <w:t>7.</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Távhő termelésre és szállításra szolgáló sajátos műszaki építmények építése (TH/II.)</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ME-TH-II.</w:t>
            </w:r>
          </w:p>
        </w:tc>
        <w:tc>
          <w:tcPr>
            <w:tcW w:w="935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Föld feletti távhővezeték, azok tartozékai és védőberendezéseinek építése.</w:t>
            </w:r>
          </w:p>
        </w:tc>
      </w:tr>
      <w:tr w:rsidR="005A7E08">
        <w:tblPrEx>
          <w:tblCellMar>
            <w:top w:w="0" w:type="dxa"/>
            <w:bottom w:w="0" w:type="dxa"/>
          </w:tblCellMar>
        </w:tblPrEx>
        <w:trPr>
          <w:cantSplit/>
        </w:trPr>
        <w:tc>
          <w:tcPr>
            <w:tcW w:w="426" w:type="dxa"/>
          </w:tcPr>
          <w:p w:rsidR="005A7E08" w:rsidRDefault="005A7E08">
            <w:pPr>
              <w:widowControl w:val="0"/>
              <w:autoSpaceDE w:val="0"/>
              <w:autoSpaceDN w:val="0"/>
              <w:adjustRightInd w:val="0"/>
              <w:spacing w:after="0" w:line="240" w:lineRule="auto"/>
              <w:jc w:val="both"/>
              <w:rPr>
                <w:rFonts w:ascii="Times New Roman" w:hAnsi="Times New Roman" w:cs="Times New Roman"/>
                <w:sz w:val="20"/>
                <w:szCs w:val="20"/>
              </w:rPr>
            </w:pPr>
            <w:r>
              <w:rPr>
                <w:rFonts w:ascii="Times New Roman" w:hAnsi="Times New Roman" w:cs="Times New Roman"/>
                <w:sz w:val="20"/>
                <w:szCs w:val="20"/>
              </w:rPr>
              <w:t>8.</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Villamos energia termelésre, elosztásra és szállításra szolgáló sajátos műszaki építmények építése (VI/II.)</w:t>
            </w:r>
          </w:p>
        </w:tc>
        <w:tc>
          <w:tcPr>
            <w:tcW w:w="1418"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ME-VI/II.</w:t>
            </w:r>
          </w:p>
        </w:tc>
        <w:tc>
          <w:tcPr>
            <w:tcW w:w="9355"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Erősáramú föld feletti és föld alatti vezetékek, átalakító- és kapcsolóberendezések szerelési munkái 69 kV feszültségig.</w:t>
            </w:r>
          </w:p>
          <w:p w:rsidR="005A7E08" w:rsidRDefault="005A7E08">
            <w:pPr>
              <w:widowControl w:val="0"/>
              <w:autoSpaceDE w:val="0"/>
              <w:autoSpaceDN w:val="0"/>
              <w:adjustRightInd w:val="0"/>
              <w:spacing w:after="0" w:line="240" w:lineRule="auto"/>
              <w:rPr>
                <w:rFonts w:ascii="Times New Roman" w:hAnsi="Times New Roman" w:cs="Times New Roman"/>
                <w:sz w:val="20"/>
                <w:szCs w:val="20"/>
              </w:rPr>
            </w:pPr>
          </w:p>
        </w:tc>
      </w:tr>
    </w:tbl>
    <w:p w:rsidR="005A7E08" w:rsidRDefault="005A7E08" w:rsidP="005A7E08">
      <w:pPr>
        <w:widowControl w:val="0"/>
        <w:autoSpaceDE w:val="0"/>
        <w:autoSpaceDN w:val="0"/>
        <w:adjustRightInd w:val="0"/>
        <w:spacing w:before="240" w:after="120" w:line="240" w:lineRule="auto"/>
        <w:jc w:val="center"/>
        <w:rPr>
          <w:rFonts w:ascii="Times New Roman" w:hAnsi="Times New Roman" w:cs="Times New Roman"/>
          <w:b/>
          <w:bCs/>
          <w:sz w:val="24"/>
          <w:szCs w:val="24"/>
        </w:rPr>
      </w:pPr>
      <w:r>
        <w:rPr>
          <w:rFonts w:ascii="Times New Roman" w:hAnsi="Times New Roman" w:cs="Times New Roman"/>
          <w:b/>
          <w:bCs/>
          <w:sz w:val="24"/>
          <w:szCs w:val="24"/>
        </w:rPr>
        <w:t>III. Az építész és a mérnöki kamarák által nyilvántartott, korábbi jogszabály alapján megállapított felelős műszaki vezetői jogosultságok és a hozzájuk tartozó tevékenység</w:t>
      </w:r>
    </w:p>
    <w:p w:rsidR="005A7E08" w:rsidRDefault="005A7E08" w:rsidP="005A7E08">
      <w:pPr>
        <w:widowControl w:val="0"/>
        <w:autoSpaceDE w:val="0"/>
        <w:autoSpaceDN w:val="0"/>
        <w:adjustRightInd w:val="0"/>
        <w:spacing w:after="120" w:line="240" w:lineRule="auto"/>
        <w:jc w:val="center"/>
        <w:rPr>
          <w:rFonts w:ascii="Times New Roman" w:hAnsi="Times New Roman" w:cs="Times New Roman"/>
          <w:b/>
          <w:bCs/>
          <w:sz w:val="20"/>
          <w:szCs w:val="2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26"/>
        <w:gridCol w:w="3402"/>
        <w:gridCol w:w="1417"/>
        <w:gridCol w:w="9356"/>
      </w:tblGrid>
      <w:tr w:rsidR="005A7E08">
        <w:tblPrEx>
          <w:tblCellMar>
            <w:top w:w="0" w:type="dxa"/>
            <w:bottom w:w="0" w:type="dxa"/>
          </w:tblCellMar>
        </w:tblPrEx>
        <w:tc>
          <w:tcPr>
            <w:tcW w:w="42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p>
        </w:tc>
        <w:tc>
          <w:tcPr>
            <w:tcW w:w="340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1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935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5A7E08">
        <w:tblPrEx>
          <w:tblCellMar>
            <w:top w:w="0" w:type="dxa"/>
            <w:bottom w:w="0" w:type="dxa"/>
          </w:tblCellMar>
        </w:tblPrEx>
        <w:tc>
          <w:tcPr>
            <w:tcW w:w="42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3402"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Szakterület megnevezése</w:t>
            </w:r>
          </w:p>
        </w:tc>
        <w:tc>
          <w:tcPr>
            <w:tcW w:w="1417"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 xml:space="preserve">Jelölése a névjegyzékben </w:t>
            </w:r>
          </w:p>
        </w:tc>
        <w:tc>
          <w:tcPr>
            <w:tcW w:w="9356" w:type="dxa"/>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Feladatok, amelyeket az adott szakterületi jogosultsággal lehet végezni</w:t>
            </w:r>
          </w:p>
        </w:tc>
      </w:tr>
      <w:tr w:rsidR="005A7E08">
        <w:tblPrEx>
          <w:tblCellMar>
            <w:top w:w="0" w:type="dxa"/>
            <w:bottom w:w="0" w:type="dxa"/>
          </w:tblCellMar>
        </w:tblPrEx>
        <w:tc>
          <w:tcPr>
            <w:tcW w:w="426" w:type="dxa"/>
            <w:vAlign w:val="center"/>
          </w:tcPr>
          <w:p w:rsidR="005A7E08" w:rsidRDefault="005A7E08">
            <w:pPr>
              <w:autoSpaceDE w:val="0"/>
              <w:autoSpaceDN w:val="0"/>
              <w:adjustRightInd w:val="0"/>
              <w:spacing w:before="20" w:after="20" w:line="240" w:lineRule="auto"/>
              <w:jc w:val="center"/>
              <w:rPr>
                <w:rFonts w:ascii="Times New Roman" w:hAnsi="Times New Roman" w:cs="Times New Roman"/>
                <w:sz w:val="20"/>
                <w:szCs w:val="20"/>
              </w:rPr>
            </w:pPr>
            <w:r>
              <w:rPr>
                <w:rFonts w:ascii="Times New Roman" w:hAnsi="Times New Roman" w:cs="Times New Roman"/>
                <w:sz w:val="20"/>
                <w:szCs w:val="20"/>
              </w:rPr>
              <w:t>2.</w:t>
            </w:r>
          </w:p>
        </w:tc>
        <w:tc>
          <w:tcPr>
            <w:tcW w:w="3402" w:type="dxa"/>
            <w:vAlign w:val="center"/>
          </w:tcPr>
          <w:p w:rsidR="005A7E08" w:rsidRDefault="005A7E08">
            <w:pPr>
              <w:autoSpaceDE w:val="0"/>
              <w:autoSpaceDN w:val="0"/>
              <w:adjustRightInd w:val="0"/>
              <w:spacing w:before="2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„C” kategória</w:t>
            </w:r>
          </w:p>
        </w:tc>
        <w:tc>
          <w:tcPr>
            <w:tcW w:w="1417" w:type="dxa"/>
            <w:vAlign w:val="center"/>
          </w:tcPr>
          <w:p w:rsidR="005A7E08" w:rsidRDefault="005A7E08">
            <w:pPr>
              <w:autoSpaceDE w:val="0"/>
              <w:autoSpaceDN w:val="0"/>
              <w:adjustRightInd w:val="0"/>
              <w:spacing w:before="2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MV-Ép/C</w:t>
            </w:r>
          </w:p>
        </w:tc>
        <w:tc>
          <w:tcPr>
            <w:tcW w:w="9356" w:type="dxa"/>
          </w:tcPr>
          <w:p w:rsidR="005A7E08" w:rsidRDefault="005A7E08">
            <w:pPr>
              <w:autoSpaceDE w:val="0"/>
              <w:autoSpaceDN w:val="0"/>
              <w:adjustRightInd w:val="0"/>
              <w:spacing w:before="20" w:after="20" w:line="240" w:lineRule="auto"/>
              <w:rPr>
                <w:rFonts w:ascii="Times New Roman" w:hAnsi="Times New Roman" w:cs="Times New Roman"/>
                <w:sz w:val="20"/>
                <w:szCs w:val="20"/>
              </w:rPr>
            </w:pPr>
            <w:r>
              <w:rPr>
                <w:rFonts w:ascii="Times New Roman" w:hAnsi="Times New Roman" w:cs="Times New Roman"/>
                <w:sz w:val="20"/>
                <w:szCs w:val="20"/>
              </w:rPr>
              <w:t>Az építmények megépítésére, átalakítására, bővítésére, felújítására, helyreállítására, korszerűsítésére, lebontására, elmozdítására irányuló építési munkák, valamint tereprendezési, felszíni vízelvezetési munkák felelős műszaki vezetése:</w:t>
            </w:r>
            <w:r>
              <w:rPr>
                <w:rFonts w:ascii="Times New Roman" w:hAnsi="Times New Roman" w:cs="Times New Roman"/>
                <w:sz w:val="20"/>
                <w:szCs w:val="20"/>
              </w:rPr>
              <w:br/>
            </w:r>
            <w:r>
              <w:rPr>
                <w:rFonts w:ascii="Times New Roman" w:hAnsi="Times New Roman" w:cs="Times New Roman"/>
                <w:i/>
                <w:iCs/>
                <w:sz w:val="20"/>
                <w:szCs w:val="20"/>
              </w:rPr>
              <w:t xml:space="preserve">a) </w:t>
            </w:r>
            <w:r>
              <w:rPr>
                <w:rFonts w:ascii="Times New Roman" w:hAnsi="Times New Roman" w:cs="Times New Roman"/>
                <w:sz w:val="20"/>
                <w:szCs w:val="20"/>
              </w:rPr>
              <w:t>legfeljebb összesen 1000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 nagyságig, 7,5 m építménymagasságig és 6,6 m falköz (oszlopköz) távolságig,</w:t>
            </w:r>
            <w:r>
              <w:rPr>
                <w:rFonts w:ascii="Times New Roman" w:hAnsi="Times New Roman" w:cs="Times New Roman"/>
                <w:sz w:val="20"/>
                <w:szCs w:val="20"/>
              </w:rPr>
              <w:br/>
            </w:r>
            <w:r>
              <w:rPr>
                <w:rFonts w:ascii="Times New Roman" w:hAnsi="Times New Roman" w:cs="Times New Roman"/>
                <w:i/>
                <w:iCs/>
                <w:sz w:val="20"/>
                <w:szCs w:val="20"/>
              </w:rPr>
              <w:t xml:space="preserve">b) </w:t>
            </w:r>
            <w:r>
              <w:rPr>
                <w:rFonts w:ascii="Times New Roman" w:hAnsi="Times New Roman" w:cs="Times New Roman"/>
                <w:sz w:val="20"/>
                <w:szCs w:val="20"/>
              </w:rPr>
              <w:t>teherhordó és szakipari szerkezeteinek megváltoztatására nem irányuló (pl. karbantartás, felújítás) építési-szerelési munkák esetében korlátozás nélkül.</w:t>
            </w:r>
          </w:p>
        </w:tc>
      </w:tr>
      <w:tr w:rsidR="005A7E08">
        <w:tblPrEx>
          <w:tblCellMar>
            <w:top w:w="0" w:type="dxa"/>
            <w:bottom w:w="0" w:type="dxa"/>
          </w:tblCellMar>
        </w:tblPrEx>
        <w:tc>
          <w:tcPr>
            <w:tcW w:w="42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3.</w:t>
            </w:r>
          </w:p>
        </w:tc>
        <w:tc>
          <w:tcPr>
            <w:tcW w:w="3402" w:type="dxa"/>
            <w:vAlign w:val="center"/>
          </w:tcPr>
          <w:p w:rsidR="005A7E08" w:rsidRDefault="005A7E08">
            <w:pPr>
              <w:autoSpaceDE w:val="0"/>
              <w:autoSpaceDN w:val="0"/>
              <w:adjustRightInd w:val="0"/>
              <w:spacing w:after="0" w:line="240" w:lineRule="auto"/>
              <w:jc w:val="both"/>
              <w:rPr>
                <w:rFonts w:ascii="Times New Roman" w:hAnsi="Times New Roman" w:cs="Times New Roman"/>
                <w:b/>
                <w:bCs/>
                <w:color w:val="000000"/>
                <w:sz w:val="20"/>
                <w:szCs w:val="20"/>
              </w:rPr>
            </w:pPr>
            <w:r>
              <w:rPr>
                <w:rFonts w:ascii="Times New Roman" w:hAnsi="Times New Roman" w:cs="Times New Roman"/>
                <w:b/>
                <w:bCs/>
                <w:color w:val="000000"/>
                <w:sz w:val="20"/>
                <w:szCs w:val="20"/>
              </w:rPr>
              <w:t xml:space="preserve">„B” kategória </w:t>
            </w:r>
          </w:p>
        </w:tc>
        <w:tc>
          <w:tcPr>
            <w:tcW w:w="1417" w:type="dxa"/>
            <w:vAlign w:val="center"/>
          </w:tcPr>
          <w:p w:rsidR="005A7E08" w:rsidRDefault="005A7E08">
            <w:pPr>
              <w:autoSpaceDE w:val="0"/>
              <w:autoSpaceDN w:val="0"/>
              <w:adjustRightInd w:val="0"/>
              <w:spacing w:after="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MV-Ép/B</w:t>
            </w:r>
          </w:p>
        </w:tc>
        <w:tc>
          <w:tcPr>
            <w:tcW w:w="9356" w:type="dxa"/>
          </w:tcPr>
          <w:p w:rsidR="005A7E08" w:rsidRDefault="005A7E08">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color w:val="000000"/>
                <w:sz w:val="20"/>
                <w:szCs w:val="20"/>
              </w:rPr>
              <w:t>Az építmények megépítésére, átalakítására, bővítésére, felújítására, helyreállítására, korszerűsítésére, lebontására, elmozdítására irányuló építési munkák, valamint tereprendezési, felszíni vízelvezetési munkák felelős műszaki vezetése:</w:t>
            </w:r>
          </w:p>
          <w:p w:rsidR="005A7E08" w:rsidRDefault="005A7E08">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a) </w:t>
            </w:r>
            <w:r>
              <w:rPr>
                <w:rFonts w:ascii="Times New Roman" w:hAnsi="Times New Roman" w:cs="Times New Roman"/>
                <w:color w:val="000000"/>
                <w:sz w:val="20"/>
                <w:szCs w:val="20"/>
              </w:rPr>
              <w:t>legfeljebb négy beépített szintig, 6,6 m falköz (oszlopköz) távolságig, és összesen 2000 m</w:t>
            </w:r>
            <w:r>
              <w:rPr>
                <w:rFonts w:ascii="Times New Roman" w:hAnsi="Times New Roman" w:cs="Times New Roman"/>
                <w:color w:val="000000"/>
                <w:sz w:val="20"/>
                <w:szCs w:val="20"/>
                <w:vertAlign w:val="superscript"/>
              </w:rPr>
              <w:t>2</w:t>
            </w:r>
            <w:r>
              <w:rPr>
                <w:rFonts w:ascii="Times New Roman" w:hAnsi="Times New Roman" w:cs="Times New Roman"/>
                <w:color w:val="000000"/>
                <w:sz w:val="20"/>
                <w:szCs w:val="20"/>
              </w:rPr>
              <w:t xml:space="preserve"> szintterület nagyságig,</w:t>
            </w:r>
          </w:p>
          <w:p w:rsidR="005A7E08" w:rsidRDefault="005A7E08">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b) </w:t>
            </w:r>
            <w:r>
              <w:rPr>
                <w:rFonts w:ascii="Times New Roman" w:hAnsi="Times New Roman" w:cs="Times New Roman"/>
                <w:color w:val="000000"/>
                <w:sz w:val="20"/>
                <w:szCs w:val="20"/>
              </w:rPr>
              <w:t>az építmény tartószerkezeti rendszere nem változik meg, vagy</w:t>
            </w:r>
          </w:p>
          <w:p w:rsidR="005A7E08" w:rsidRDefault="005A7E08">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  ba) </w:t>
            </w:r>
            <w:r>
              <w:rPr>
                <w:rFonts w:ascii="Times New Roman" w:hAnsi="Times New Roman" w:cs="Times New Roman"/>
                <w:color w:val="000000"/>
                <w:sz w:val="20"/>
                <w:szCs w:val="20"/>
              </w:rPr>
              <w:t>az építmény tartószerkezetének teherbíró képességét befolyásoló olyan mértékű teherváltozás - írásos szakértői véleménnyel igazoltan - nem következik be, mely a tartószerkezet megerősítését, elbontását, megváltoztatását tenné szükségessé, továbbá</w:t>
            </w:r>
          </w:p>
          <w:p w:rsidR="005A7E08" w:rsidRDefault="005A7E08">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  bb) </w:t>
            </w:r>
            <w:r>
              <w:rPr>
                <w:rFonts w:ascii="Times New Roman" w:hAnsi="Times New Roman" w:cs="Times New Roman"/>
                <w:color w:val="000000"/>
                <w:sz w:val="20"/>
                <w:szCs w:val="20"/>
              </w:rPr>
              <w:t>ha égéstermék elvezetésére szolgáló bármilyen szerkezetű égéstermék-elvezető berendezés építésére nem kerül sor, illetve</w:t>
            </w:r>
          </w:p>
          <w:p w:rsidR="005A7E08" w:rsidRDefault="005A7E08">
            <w:pPr>
              <w:autoSpaceDE w:val="0"/>
              <w:autoSpaceDN w:val="0"/>
              <w:adjustRightInd w:val="0"/>
              <w:spacing w:after="0" w:line="240" w:lineRule="auto"/>
              <w:rPr>
                <w:rFonts w:ascii="Times New Roman" w:hAnsi="Times New Roman" w:cs="Times New Roman"/>
                <w:color w:val="000000"/>
                <w:sz w:val="20"/>
                <w:szCs w:val="20"/>
              </w:rPr>
            </w:pPr>
            <w:r>
              <w:rPr>
                <w:rFonts w:ascii="Times New Roman" w:hAnsi="Times New Roman" w:cs="Times New Roman"/>
                <w:i/>
                <w:iCs/>
                <w:color w:val="000000"/>
                <w:sz w:val="20"/>
                <w:szCs w:val="20"/>
              </w:rPr>
              <w:t xml:space="preserve">  bc) </w:t>
            </w:r>
            <w:r>
              <w:rPr>
                <w:rFonts w:ascii="Times New Roman" w:hAnsi="Times New Roman" w:cs="Times New Roman"/>
                <w:color w:val="000000"/>
                <w:sz w:val="20"/>
                <w:szCs w:val="20"/>
              </w:rPr>
              <w:t>az építmény homlokzatának megváltoztatása (kivéve a védett építményeket) nem jár együtt annak teherhordó szerkezeti változtatásával, építési munkák esetében korlátozás nélkül.</w:t>
            </w:r>
          </w:p>
        </w:tc>
      </w:tr>
      <w:tr w:rsidR="005A7E08">
        <w:tblPrEx>
          <w:tblCellMar>
            <w:top w:w="0" w:type="dxa"/>
            <w:bottom w:w="0" w:type="dxa"/>
          </w:tblCellMar>
        </w:tblPrEx>
        <w:tc>
          <w:tcPr>
            <w:tcW w:w="42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4.</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„ÉG” kategória</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ÉG/C</w:t>
            </w:r>
          </w:p>
        </w:tc>
        <w:tc>
          <w:tcPr>
            <w:tcW w:w="935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Legfeljebb négy beépíthető szintig, 6,6 m falköz (oszlopköz) távolságig, és összesen 2000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 nagyságig az építmények víz, csatorna, gáz, központi fűtés, szellőző, klíma berendezéseire irányuló építési munkák.</w:t>
            </w:r>
          </w:p>
        </w:tc>
      </w:tr>
      <w:tr w:rsidR="005A7E08">
        <w:tblPrEx>
          <w:tblCellMar>
            <w:top w:w="0" w:type="dxa"/>
            <w:bottom w:w="0" w:type="dxa"/>
          </w:tblCellMar>
        </w:tblPrEx>
        <w:tc>
          <w:tcPr>
            <w:tcW w:w="426"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sz w:val="20"/>
                <w:szCs w:val="20"/>
              </w:rPr>
            </w:pPr>
            <w:r>
              <w:rPr>
                <w:rFonts w:ascii="Times New Roman" w:hAnsi="Times New Roman" w:cs="Times New Roman"/>
                <w:sz w:val="20"/>
                <w:szCs w:val="20"/>
              </w:rPr>
              <w:t>5.</w:t>
            </w:r>
          </w:p>
        </w:tc>
        <w:tc>
          <w:tcPr>
            <w:tcW w:w="3402" w:type="dxa"/>
            <w:vAlign w:val="center"/>
          </w:tcPr>
          <w:p w:rsidR="005A7E08" w:rsidRDefault="005A7E08">
            <w:pPr>
              <w:widowControl w:val="0"/>
              <w:autoSpaceDE w:val="0"/>
              <w:autoSpaceDN w:val="0"/>
              <w:adjustRightInd w:val="0"/>
              <w:spacing w:after="0" w:line="240" w:lineRule="auto"/>
              <w:rPr>
                <w:rFonts w:ascii="Times New Roman" w:hAnsi="Times New Roman" w:cs="Times New Roman"/>
                <w:b/>
                <w:bCs/>
                <w:sz w:val="20"/>
                <w:szCs w:val="20"/>
              </w:rPr>
            </w:pPr>
            <w:r>
              <w:rPr>
                <w:rFonts w:ascii="Times New Roman" w:hAnsi="Times New Roman" w:cs="Times New Roman"/>
                <w:b/>
                <w:bCs/>
                <w:sz w:val="20"/>
                <w:szCs w:val="20"/>
              </w:rPr>
              <w:t>„ÉV” kategória</w:t>
            </w:r>
          </w:p>
        </w:tc>
        <w:tc>
          <w:tcPr>
            <w:tcW w:w="1417" w:type="dxa"/>
            <w:vAlign w:val="center"/>
          </w:tcPr>
          <w:p w:rsidR="005A7E08" w:rsidRDefault="005A7E08">
            <w:pPr>
              <w:widowControl w:val="0"/>
              <w:autoSpaceDE w:val="0"/>
              <w:autoSpaceDN w:val="0"/>
              <w:adjustRightInd w:val="0"/>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ÉV/C</w:t>
            </w:r>
          </w:p>
        </w:tc>
        <w:tc>
          <w:tcPr>
            <w:tcW w:w="9356" w:type="dxa"/>
          </w:tcPr>
          <w:p w:rsidR="005A7E08" w:rsidRDefault="005A7E08">
            <w:pPr>
              <w:widowControl w:val="0"/>
              <w:autoSpaceDE w:val="0"/>
              <w:autoSpaceDN w:val="0"/>
              <w:adjustRightInd w:val="0"/>
              <w:spacing w:after="0" w:line="240" w:lineRule="auto"/>
              <w:rPr>
                <w:rFonts w:ascii="Times New Roman" w:hAnsi="Times New Roman" w:cs="Times New Roman"/>
                <w:sz w:val="20"/>
                <w:szCs w:val="20"/>
              </w:rPr>
            </w:pPr>
            <w:r>
              <w:rPr>
                <w:rFonts w:ascii="Times New Roman" w:hAnsi="Times New Roman" w:cs="Times New Roman"/>
                <w:sz w:val="20"/>
                <w:szCs w:val="20"/>
              </w:rPr>
              <w:t>Legfeljebb négy beépíthető szintig, 6,6 m falköz (oszlopköz) méretű, és összesen 2000 m</w:t>
            </w:r>
            <w:r>
              <w:rPr>
                <w:rFonts w:ascii="Times New Roman" w:hAnsi="Times New Roman" w:cs="Times New Roman"/>
                <w:sz w:val="20"/>
                <w:szCs w:val="20"/>
                <w:vertAlign w:val="superscript"/>
              </w:rPr>
              <w:t>2</w:t>
            </w:r>
            <w:r>
              <w:rPr>
                <w:rFonts w:ascii="Times New Roman" w:hAnsi="Times New Roman" w:cs="Times New Roman"/>
                <w:sz w:val="20"/>
                <w:szCs w:val="20"/>
              </w:rPr>
              <w:t xml:space="preserve"> szintterület nagyságig az építmények villamos, hírközlő és építésfelügyeleti rendszer berendezései – az épület fogyasztásmérő készülékéig – szerelési munkáinak felelős műszaki vezetése.</w:t>
            </w:r>
          </w:p>
        </w:tc>
      </w:tr>
    </w:tbl>
    <w:p w:rsidR="005A7E08" w:rsidRDefault="005A7E08" w:rsidP="005A7E08">
      <w:pPr>
        <w:widowControl w:val="0"/>
        <w:autoSpaceDE w:val="0"/>
        <w:autoSpaceDN w:val="0"/>
        <w:adjustRightInd w:val="0"/>
        <w:spacing w:after="0" w:line="240" w:lineRule="auto"/>
        <w:jc w:val="both"/>
        <w:rPr>
          <w:rFonts w:ascii="Times New Roman" w:hAnsi="Times New Roman" w:cs="Times New Roman"/>
          <w:sz w:val="20"/>
          <w:szCs w:val="20"/>
        </w:rPr>
      </w:pPr>
    </w:p>
    <w:p w:rsidR="005A7E08" w:rsidRDefault="005A7E08" w:rsidP="005A7E08">
      <w:pPr>
        <w:widowControl w:val="0"/>
        <w:autoSpaceDE w:val="0"/>
        <w:autoSpaceDN w:val="0"/>
        <w:adjustRightInd w:val="0"/>
        <w:spacing w:after="0" w:line="240" w:lineRule="auto"/>
        <w:jc w:val="both"/>
        <w:rPr>
          <w:rFonts w:ascii="Times New Roman" w:hAnsi="Times New Roman" w:cs="Times New Roman"/>
          <w:sz w:val="20"/>
          <w:szCs w:val="20"/>
        </w:rPr>
        <w:sectPr w:rsidR="005A7E08">
          <w:footnotePr>
            <w:numStart w:val="64"/>
          </w:footnotePr>
          <w:pgSz w:w="16840" w:h="11907" w:orient="landscape"/>
          <w:pgMar w:top="851" w:right="1134" w:bottom="851" w:left="1134" w:header="708" w:footer="708" w:gutter="0"/>
          <w:cols w:space="708"/>
          <w:noEndnote/>
        </w:sect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3. melléklet a 266/2013. (VII. 11.) Korm. rendelethez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120" w:line="240" w:lineRule="auto"/>
        <w:jc w:val="center"/>
        <w:rPr>
          <w:rFonts w:ascii="Times New Roman" w:hAnsi="Times New Roman" w:cs="Times New Roman"/>
          <w:b/>
          <w:bCs/>
          <w:color w:val="000000"/>
          <w:sz w:val="20"/>
          <w:szCs w:val="20"/>
        </w:rPr>
      </w:pPr>
      <w:r>
        <w:rPr>
          <w:rFonts w:ascii="Times New Roman" w:hAnsi="Times New Roman" w:cs="Times New Roman"/>
          <w:b/>
          <w:bCs/>
          <w:color w:val="000000"/>
          <w:sz w:val="20"/>
          <w:szCs w:val="20"/>
        </w:rPr>
        <w:t>Névjegyzéki jelölés</w:t>
      </w:r>
    </w:p>
    <w:p w:rsidR="005A7E08" w:rsidRDefault="005A7E08" w:rsidP="005A7E08">
      <w:pPr>
        <w:autoSpaceDE w:val="0"/>
        <w:autoSpaceDN w:val="0"/>
        <w:adjustRightInd w:val="0"/>
        <w:spacing w:after="120" w:line="240" w:lineRule="auto"/>
        <w:jc w:val="center"/>
        <w:rPr>
          <w:rFonts w:ascii="Times New Roman" w:hAnsi="Times New Roman" w:cs="Times New Roman"/>
          <w:b/>
          <w:bCs/>
          <w:color w:val="000000"/>
          <w:sz w:val="20"/>
          <w:szCs w:val="20"/>
        </w:rPr>
      </w:pPr>
    </w:p>
    <w:p w:rsidR="005A7E08" w:rsidRDefault="005A7E08" w:rsidP="005A7E08">
      <w:pPr>
        <w:autoSpaceDE w:val="0"/>
        <w:autoSpaceDN w:val="0"/>
        <w:adjustRightInd w:val="0"/>
        <w:spacing w:after="120" w:line="240" w:lineRule="auto"/>
        <w:jc w:val="both"/>
        <w:rPr>
          <w:rFonts w:ascii="Times New Roman" w:hAnsi="Times New Roman" w:cs="Times New Roman"/>
          <w:b/>
          <w:bCs/>
          <w:sz w:val="20"/>
          <w:szCs w:val="20"/>
        </w:rPr>
      </w:pPr>
      <w:r>
        <w:rPr>
          <w:rFonts w:ascii="Times New Roman" w:hAnsi="Times New Roman" w:cs="Times New Roman"/>
          <w:b/>
          <w:bCs/>
          <w:color w:val="000000"/>
          <w:sz w:val="20"/>
          <w:szCs w:val="20"/>
        </w:rPr>
        <w:t>Ene</w:t>
      </w:r>
      <w:r>
        <w:rPr>
          <w:rFonts w:ascii="Times New Roman" w:hAnsi="Times New Roman" w:cs="Times New Roman"/>
          <w:b/>
          <w:bCs/>
          <w:sz w:val="20"/>
          <w:szCs w:val="20"/>
        </w:rPr>
        <w:t>rgetikai tanúsítói jogosultság (betűjele: TÉ)</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96"/>
        <w:gridCol w:w="4039"/>
        <w:gridCol w:w="1481"/>
        <w:gridCol w:w="4498"/>
      </w:tblGrid>
      <w:tr w:rsidR="005A7E08">
        <w:tblPrEx>
          <w:tblCellMar>
            <w:top w:w="0" w:type="dxa"/>
            <w:bottom w:w="0" w:type="dxa"/>
          </w:tblCellMar>
        </w:tblPrEx>
        <w:tc>
          <w:tcPr>
            <w:tcW w:w="296"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p>
        </w:tc>
        <w:tc>
          <w:tcPr>
            <w:tcW w:w="403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w:t>
            </w:r>
          </w:p>
        </w:tc>
        <w:tc>
          <w:tcPr>
            <w:tcW w:w="1481"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B</w:t>
            </w:r>
          </w:p>
        </w:tc>
        <w:tc>
          <w:tcPr>
            <w:tcW w:w="4498"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C</w:t>
            </w:r>
          </w:p>
        </w:tc>
      </w:tr>
      <w:tr w:rsidR="005A7E08">
        <w:tblPrEx>
          <w:tblCellMar>
            <w:top w:w="0" w:type="dxa"/>
            <w:bottom w:w="0" w:type="dxa"/>
          </w:tblCellMar>
        </w:tblPrEx>
        <w:tc>
          <w:tcPr>
            <w:tcW w:w="296"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w:t>
            </w:r>
          </w:p>
        </w:tc>
        <w:tc>
          <w:tcPr>
            <w:tcW w:w="403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Tevékenység megnevezése</w:t>
            </w:r>
          </w:p>
        </w:tc>
        <w:tc>
          <w:tcPr>
            <w:tcW w:w="1481"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Jelölése</w:t>
            </w:r>
          </w:p>
        </w:tc>
        <w:tc>
          <w:tcPr>
            <w:tcW w:w="4498"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Képesítési minimum követelmény, vagy az ezzel egyenértékű szakképzettség</w:t>
            </w:r>
          </w:p>
        </w:tc>
      </w:tr>
      <w:tr w:rsidR="005A7E08">
        <w:tblPrEx>
          <w:tblCellMar>
            <w:top w:w="0" w:type="dxa"/>
            <w:bottom w:w="0" w:type="dxa"/>
          </w:tblCellMar>
        </w:tblPrEx>
        <w:trPr>
          <w:trHeight w:val="1838"/>
        </w:trPr>
        <w:tc>
          <w:tcPr>
            <w:tcW w:w="296" w:type="dxa"/>
            <w:vAlign w:val="center"/>
          </w:tcPr>
          <w:p w:rsidR="005A7E08" w:rsidRDefault="005A7E08">
            <w:pPr>
              <w:autoSpaceDE w:val="0"/>
              <w:autoSpaceDN w:val="0"/>
              <w:adjustRightInd w:val="0"/>
              <w:spacing w:before="40" w:after="20" w:line="240" w:lineRule="auto"/>
              <w:jc w:val="both"/>
              <w:rPr>
                <w:rFonts w:ascii="Times New Roman" w:hAnsi="Times New Roman" w:cs="Times New Roman"/>
                <w:sz w:val="20"/>
                <w:szCs w:val="20"/>
              </w:rPr>
            </w:pPr>
            <w:r>
              <w:rPr>
                <w:rFonts w:ascii="Times New Roman" w:hAnsi="Times New Roman" w:cs="Times New Roman"/>
                <w:sz w:val="20"/>
                <w:szCs w:val="20"/>
              </w:rPr>
              <w:t>2.</w:t>
            </w:r>
          </w:p>
        </w:tc>
        <w:tc>
          <w:tcPr>
            <w:tcW w:w="4039" w:type="dxa"/>
            <w:vAlign w:val="center"/>
          </w:tcPr>
          <w:p w:rsidR="005A7E08" w:rsidRDefault="005A7E08">
            <w:pPr>
              <w:autoSpaceDE w:val="0"/>
              <w:autoSpaceDN w:val="0"/>
              <w:adjustRightInd w:val="0"/>
              <w:spacing w:before="40" w:after="20" w:line="240" w:lineRule="auto"/>
              <w:jc w:val="both"/>
              <w:rPr>
                <w:rFonts w:ascii="Times New Roman" w:hAnsi="Times New Roman" w:cs="Times New Roman"/>
                <w:b/>
                <w:bCs/>
                <w:sz w:val="20"/>
                <w:szCs w:val="20"/>
              </w:rPr>
            </w:pPr>
            <w:r>
              <w:rPr>
                <w:rFonts w:ascii="Times New Roman" w:hAnsi="Times New Roman" w:cs="Times New Roman"/>
                <w:b/>
                <w:bCs/>
                <w:sz w:val="20"/>
                <w:szCs w:val="20"/>
              </w:rPr>
              <w:t xml:space="preserve"> energetikai tanúsítói jogosultság</w:t>
            </w:r>
          </w:p>
        </w:tc>
        <w:tc>
          <w:tcPr>
            <w:tcW w:w="1481"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b/>
                <w:bCs/>
                <w:sz w:val="20"/>
                <w:szCs w:val="20"/>
              </w:rPr>
            </w:pPr>
            <w:r>
              <w:rPr>
                <w:rFonts w:ascii="Times New Roman" w:hAnsi="Times New Roman" w:cs="Times New Roman"/>
                <w:b/>
                <w:bCs/>
                <w:sz w:val="20"/>
                <w:szCs w:val="20"/>
              </w:rPr>
              <w:t>TÉ</w:t>
            </w:r>
          </w:p>
        </w:tc>
        <w:tc>
          <w:tcPr>
            <w:tcW w:w="4498" w:type="dxa"/>
          </w:tcPr>
          <w:p w:rsidR="005A7E08" w:rsidRDefault="005A7E0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 xml:space="preserve">okleveles építészmérnök, okleveles település mérnök, okleveles építőmérnök, </w:t>
            </w:r>
          </w:p>
          <w:p w:rsidR="005A7E08" w:rsidRDefault="005A7E0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okleveles közlekedésmérnök,</w:t>
            </w:r>
          </w:p>
          <w:p w:rsidR="005A7E08" w:rsidRDefault="005A7E0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okleveles gépészmérnök, okleveles villamosmérnök, okleveles energetikai mérnök,</w:t>
            </w:r>
          </w:p>
          <w:p w:rsidR="005A7E08" w:rsidRDefault="005A7E08">
            <w:pPr>
              <w:autoSpaceDE w:val="0"/>
              <w:autoSpaceDN w:val="0"/>
              <w:adjustRightInd w:val="0"/>
              <w:spacing w:before="40" w:after="20" w:line="240" w:lineRule="auto"/>
              <w:rPr>
                <w:rFonts w:ascii="Times New Roman" w:hAnsi="Times New Roman" w:cs="Times New Roman"/>
                <w:sz w:val="20"/>
                <w:szCs w:val="20"/>
              </w:rPr>
            </w:pPr>
          </w:p>
          <w:p w:rsidR="005A7E08" w:rsidRDefault="005A7E0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építészmérnök, településmérnök, építőmérnök, közlekedés-építőmérnök,</w:t>
            </w:r>
          </w:p>
          <w:p w:rsidR="005A7E08" w:rsidRDefault="005A7E08">
            <w:pPr>
              <w:autoSpaceDE w:val="0"/>
              <w:autoSpaceDN w:val="0"/>
              <w:adjustRightInd w:val="0"/>
              <w:spacing w:before="40" w:after="20" w:line="240" w:lineRule="auto"/>
              <w:rPr>
                <w:rFonts w:ascii="Times New Roman" w:hAnsi="Times New Roman" w:cs="Times New Roman"/>
                <w:sz w:val="20"/>
                <w:szCs w:val="20"/>
              </w:rPr>
            </w:pPr>
            <w:r>
              <w:rPr>
                <w:rFonts w:ascii="Times New Roman" w:hAnsi="Times New Roman" w:cs="Times New Roman"/>
                <w:sz w:val="20"/>
                <w:szCs w:val="20"/>
              </w:rPr>
              <w:t>vízépítő mérnök, közlekedésmérnök, gépészmérnök, villamosmérnök, energetikai mérnök</w:t>
            </w:r>
          </w:p>
        </w:tc>
      </w:tr>
    </w:tbl>
    <w:p w:rsidR="005A7E08" w:rsidRDefault="005A7E08" w:rsidP="005A7E08">
      <w:pPr>
        <w:autoSpaceDE w:val="0"/>
        <w:autoSpaceDN w:val="0"/>
        <w:adjustRightInd w:val="0"/>
        <w:spacing w:after="0" w:line="240" w:lineRule="auto"/>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4. melléklet a 266/2013. (VII. 11.) Korm. rendelethez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240" w:after="240" w:line="240" w:lineRule="auto"/>
        <w:jc w:val="center"/>
        <w:rPr>
          <w:rFonts w:ascii="Times New Roman" w:hAnsi="Times New Roman" w:cs="Times New Roman"/>
          <w:b/>
          <w:bCs/>
          <w:sz w:val="20"/>
          <w:szCs w:val="20"/>
        </w:rPr>
      </w:pPr>
      <w:r>
        <w:rPr>
          <w:rFonts w:ascii="Times New Roman" w:hAnsi="Times New Roman" w:cs="Times New Roman"/>
          <w:b/>
          <w:bCs/>
          <w:sz w:val="20"/>
          <w:szCs w:val="20"/>
        </w:rPr>
        <w:t>A szakirányú szakképzettség egyenértékűségének vizsgálatához tudományterület szerinti bontás alapján meghatározott minimum kreditszámok összege a besorolásra nem alkalmas szakképzettségek tekintetében</w:t>
      </w:r>
    </w:p>
    <w:p w:rsidR="005A7E08" w:rsidRDefault="005A7E08" w:rsidP="005A7E08">
      <w:pPr>
        <w:autoSpaceDE w:val="0"/>
        <w:autoSpaceDN w:val="0"/>
        <w:adjustRightInd w:val="0"/>
        <w:spacing w:after="0" w:line="240" w:lineRule="auto"/>
        <w:ind w:left="360"/>
        <w:jc w:val="center"/>
        <w:rPr>
          <w:rFonts w:ascii="Times New Roman" w:hAnsi="Times New Roman" w:cs="Times New Roman"/>
          <w:b/>
          <w:bCs/>
          <w:sz w:val="20"/>
          <w:szCs w:val="20"/>
        </w:rPr>
      </w:pPr>
      <w:r>
        <w:rPr>
          <w:rFonts w:ascii="Times New Roman" w:hAnsi="Times New Roman" w:cs="Times New Roman"/>
          <w:b/>
          <w:bCs/>
          <w:sz w:val="20"/>
          <w:szCs w:val="20"/>
        </w:rPr>
        <w:t>1. rész</w:t>
      </w:r>
    </w:p>
    <w:p w:rsidR="005A7E08" w:rsidRDefault="005A7E08" w:rsidP="005A7E08">
      <w:pPr>
        <w:autoSpaceDE w:val="0"/>
        <w:autoSpaceDN w:val="0"/>
        <w:adjustRightInd w:val="0"/>
        <w:spacing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Építészeti-műszaki tervezési, építésügyi műszaki szakértői jogosultsághoz szükséges képesítési követelmény kredittartalma (MSc, MA fokozat)</w:t>
      </w:r>
    </w:p>
    <w:p w:rsidR="005A7E08" w:rsidRDefault="005A7E08" w:rsidP="005A7E08">
      <w:pPr>
        <w:autoSpaceDE w:val="0"/>
        <w:autoSpaceDN w:val="0"/>
        <w:adjustRightInd w:val="0"/>
        <w:spacing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ciklusokra bontott, osztott mesterképzési szakon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069"/>
        <w:gridCol w:w="2070"/>
        <w:gridCol w:w="2069"/>
        <w:gridCol w:w="2070"/>
        <w:gridCol w:w="2070"/>
      </w:tblGrid>
      <w:tr w:rsidR="005A7E08">
        <w:tblPrEx>
          <w:tblCellMar>
            <w:top w:w="0" w:type="dxa"/>
            <w:bottom w:w="0" w:type="dxa"/>
          </w:tblCellMar>
        </w:tblPrEx>
        <w:tc>
          <w:tcPr>
            <w:tcW w:w="2069"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Természettudományos alapismeretek</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Gazdasági és humán ismeretek</w:t>
            </w:r>
          </w:p>
        </w:tc>
        <w:tc>
          <w:tcPr>
            <w:tcW w:w="2069"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Szakmai törzsanyag</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Differenciált szakmai anyag a diplomamunkával együtt</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mesterszakhoz rendelt kreditek számából beszámításra kerülő minimum kreditszám összesen</w:t>
            </w:r>
          </w:p>
        </w:tc>
      </w:tr>
      <w:tr w:rsidR="005A7E08">
        <w:tblPrEx>
          <w:tblCellMar>
            <w:top w:w="0" w:type="dxa"/>
            <w:bottom w:w="0" w:type="dxa"/>
          </w:tblCellMar>
        </w:tblPrEx>
        <w:tc>
          <w:tcPr>
            <w:tcW w:w="206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60</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25</w:t>
            </w:r>
          </w:p>
        </w:tc>
        <w:tc>
          <w:tcPr>
            <w:tcW w:w="206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85</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270</w:t>
            </w:r>
          </w:p>
        </w:tc>
      </w:tr>
    </w:tbl>
    <w:p w:rsidR="005A7E08" w:rsidRDefault="005A7E08" w:rsidP="005A7E08">
      <w:pPr>
        <w:autoSpaceDE w:val="0"/>
        <w:autoSpaceDN w:val="0"/>
        <w:adjustRightInd w:val="0"/>
        <w:spacing w:before="240"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egységes osztatlan mesterképzési szakon</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069"/>
        <w:gridCol w:w="2070"/>
        <w:gridCol w:w="2069"/>
        <w:gridCol w:w="2070"/>
        <w:gridCol w:w="2070"/>
      </w:tblGrid>
      <w:tr w:rsidR="005A7E08">
        <w:tblPrEx>
          <w:tblCellMar>
            <w:top w:w="0" w:type="dxa"/>
            <w:bottom w:w="0" w:type="dxa"/>
          </w:tblCellMar>
        </w:tblPrEx>
        <w:tc>
          <w:tcPr>
            <w:tcW w:w="2069"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Természettudományos alapismeretek</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Gazdasági és humán ismeretek</w:t>
            </w:r>
          </w:p>
        </w:tc>
        <w:tc>
          <w:tcPr>
            <w:tcW w:w="2069"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Szakmai törzsanyag</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Differenciált szakmai anyag a diplomamunkával</w:t>
            </w:r>
          </w:p>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együtt</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mesterszakhoz rendelt kreditek számából beszámításra kerülő minimum kreditszám összesen</w:t>
            </w:r>
          </w:p>
        </w:tc>
      </w:tr>
      <w:tr w:rsidR="005A7E08">
        <w:tblPrEx>
          <w:tblCellMar>
            <w:top w:w="0" w:type="dxa"/>
            <w:bottom w:w="0" w:type="dxa"/>
          </w:tblCellMar>
        </w:tblPrEx>
        <w:tc>
          <w:tcPr>
            <w:tcW w:w="206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60</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w:t>
            </w:r>
          </w:p>
        </w:tc>
        <w:tc>
          <w:tcPr>
            <w:tcW w:w="206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80</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100</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260</w:t>
            </w:r>
          </w:p>
        </w:tc>
      </w:tr>
    </w:tbl>
    <w:p w:rsidR="005A7E08" w:rsidRDefault="005A7E08" w:rsidP="005A7E08">
      <w:pPr>
        <w:autoSpaceDE w:val="0"/>
        <w:autoSpaceDN w:val="0"/>
        <w:adjustRightInd w:val="0"/>
        <w:spacing w:before="240" w:after="0" w:line="240" w:lineRule="auto"/>
        <w:ind w:left="720" w:hanging="360"/>
        <w:jc w:val="center"/>
        <w:rPr>
          <w:rFonts w:ascii="Calibri" w:hAnsi="Calibri" w:cs="Calibri"/>
          <w:sz w:val="20"/>
          <w:szCs w:val="20"/>
        </w:rPr>
      </w:pPr>
    </w:p>
    <w:p w:rsidR="005A7E08" w:rsidRDefault="005A7E08" w:rsidP="005A7E08">
      <w:pPr>
        <w:autoSpaceDE w:val="0"/>
        <w:autoSpaceDN w:val="0"/>
        <w:adjustRightInd w:val="0"/>
        <w:spacing w:before="240" w:after="0" w:line="240" w:lineRule="auto"/>
        <w:ind w:left="720" w:hanging="360"/>
        <w:jc w:val="center"/>
        <w:rPr>
          <w:rFonts w:ascii="Times New Roman" w:hAnsi="Times New Roman" w:cs="Times New Roman"/>
          <w:sz w:val="20"/>
          <w:szCs w:val="20"/>
        </w:rPr>
        <w:sectPr w:rsidR="005A7E08">
          <w:footnotePr>
            <w:numStart w:val="64"/>
          </w:footnotePr>
          <w:pgSz w:w="11906" w:h="16838"/>
          <w:pgMar w:top="1417" w:right="1417" w:bottom="1134" w:left="1417" w:header="708" w:footer="708" w:gutter="0"/>
          <w:cols w:space="708"/>
          <w:noEndnote/>
        </w:sectPr>
      </w:pPr>
    </w:p>
    <w:p w:rsidR="005A7E08" w:rsidRDefault="005A7E08" w:rsidP="005A7E08">
      <w:pPr>
        <w:autoSpaceDE w:val="0"/>
        <w:autoSpaceDN w:val="0"/>
        <w:adjustRightInd w:val="0"/>
        <w:spacing w:before="240" w:after="0" w:line="240" w:lineRule="auto"/>
        <w:ind w:left="720" w:hanging="360"/>
        <w:jc w:val="center"/>
        <w:rPr>
          <w:rFonts w:ascii="Times New Roman" w:hAnsi="Times New Roman" w:cs="Times New Roman"/>
          <w:b/>
          <w:bCs/>
          <w:sz w:val="20"/>
          <w:szCs w:val="20"/>
        </w:rPr>
      </w:pPr>
      <w:r>
        <w:rPr>
          <w:rFonts w:ascii="Times New Roman" w:hAnsi="Times New Roman" w:cs="Times New Roman"/>
          <w:sz w:val="20"/>
          <w:szCs w:val="20"/>
        </w:rPr>
        <w:lastRenderedPageBreak/>
        <w:t xml:space="preserve">1. </w:t>
      </w:r>
      <w:r>
        <w:rPr>
          <w:rFonts w:ascii="Times New Roman" w:hAnsi="Times New Roman" w:cs="Times New Roman"/>
          <w:b/>
          <w:bCs/>
          <w:sz w:val="20"/>
          <w:szCs w:val="20"/>
        </w:rPr>
        <w:t>rész</w:t>
      </w:r>
    </w:p>
    <w:p w:rsidR="005A7E08" w:rsidRDefault="005A7E08" w:rsidP="005A7E08">
      <w:pPr>
        <w:autoSpaceDE w:val="0"/>
        <w:autoSpaceDN w:val="0"/>
        <w:adjustRightInd w:val="0"/>
        <w:spacing w:after="120" w:line="240" w:lineRule="auto"/>
        <w:jc w:val="center"/>
        <w:rPr>
          <w:rFonts w:ascii="Times New Roman" w:hAnsi="Times New Roman" w:cs="Times New Roman"/>
          <w:b/>
          <w:bCs/>
          <w:sz w:val="20"/>
          <w:szCs w:val="20"/>
        </w:rPr>
      </w:pPr>
      <w:r>
        <w:rPr>
          <w:rFonts w:ascii="Times New Roman" w:hAnsi="Times New Roman" w:cs="Times New Roman"/>
          <w:b/>
          <w:bCs/>
          <w:sz w:val="20"/>
          <w:szCs w:val="20"/>
        </w:rPr>
        <w:t>Építészeti-műszaki tervezési, építési műszaki ellenőri, felelős műszaki vezetői, energetikai tanúsítói jogosultsághoz szükséges képesítési követelmény kredittartalma (BSc fokozat)</w:t>
      </w:r>
    </w:p>
    <w:p w:rsidR="005A7E08" w:rsidRDefault="005A7E08" w:rsidP="005A7E08">
      <w:pPr>
        <w:autoSpaceDE w:val="0"/>
        <w:autoSpaceDN w:val="0"/>
        <w:adjustRightInd w:val="0"/>
        <w:spacing w:after="0" w:line="240" w:lineRule="auto"/>
        <w:ind w:left="720"/>
        <w:jc w:val="center"/>
        <w:rPr>
          <w:rFonts w:ascii="Times New Roman" w:hAnsi="Times New Roman" w:cs="Times New Roman"/>
          <w:b/>
          <w:bCs/>
          <w:sz w:val="20"/>
          <w:szCs w:val="20"/>
        </w:rPr>
      </w:pPr>
      <w:r>
        <w:rPr>
          <w:rFonts w:ascii="Times New Roman" w:hAnsi="Times New Roman" w:cs="Times New Roman"/>
          <w:b/>
          <w:bCs/>
          <w:sz w:val="20"/>
          <w:szCs w:val="20"/>
        </w:rPr>
        <w:t>ciklusokra bontott, osztott képzés alapképzési szakon</w:t>
      </w:r>
    </w:p>
    <w:p w:rsidR="005A7E08" w:rsidRDefault="005A7E08" w:rsidP="005A7E08">
      <w:pPr>
        <w:autoSpaceDE w:val="0"/>
        <w:autoSpaceDN w:val="0"/>
        <w:adjustRightInd w:val="0"/>
        <w:spacing w:after="120" w:line="240" w:lineRule="auto"/>
        <w:jc w:val="center"/>
        <w:rPr>
          <w:rFonts w:ascii="Times New Roman" w:hAnsi="Times New Roman" w:cs="Times New Roman"/>
          <w:sz w:val="20"/>
          <w:szCs w:val="20"/>
        </w:rPr>
      </w:pPr>
      <w:r>
        <w:rPr>
          <w:rFonts w:ascii="Times New Roman" w:hAnsi="Times New Roman" w:cs="Times New Roman"/>
          <w:sz w:val="20"/>
          <w:szCs w:val="20"/>
        </w:rPr>
        <w:t>A képzési idő félévekben: 8 félév</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069"/>
        <w:gridCol w:w="2070"/>
        <w:gridCol w:w="2069"/>
        <w:gridCol w:w="2070"/>
        <w:gridCol w:w="2070"/>
      </w:tblGrid>
      <w:tr w:rsidR="005A7E08">
        <w:tblPrEx>
          <w:tblCellMar>
            <w:top w:w="0" w:type="dxa"/>
            <w:bottom w:w="0" w:type="dxa"/>
          </w:tblCellMar>
        </w:tblPrEx>
        <w:tc>
          <w:tcPr>
            <w:tcW w:w="2069"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Természettudományos alapismeretek</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Gazdasági és humán ismeretek</w:t>
            </w:r>
          </w:p>
        </w:tc>
        <w:tc>
          <w:tcPr>
            <w:tcW w:w="2069"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Szakmai törzsanyag</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Szakirányú anyag a szakdolgozattal együtt</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szakhoz rendelt kreditek számából beszámításra kerülő minimum kreditszám összesen</w:t>
            </w:r>
          </w:p>
        </w:tc>
      </w:tr>
      <w:tr w:rsidR="005A7E08">
        <w:tblPrEx>
          <w:tblCellMar>
            <w:top w:w="0" w:type="dxa"/>
            <w:bottom w:w="0" w:type="dxa"/>
          </w:tblCellMar>
        </w:tblPrEx>
        <w:tc>
          <w:tcPr>
            <w:tcW w:w="206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45</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w:t>
            </w:r>
          </w:p>
        </w:tc>
        <w:tc>
          <w:tcPr>
            <w:tcW w:w="206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75</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62</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200</w:t>
            </w:r>
          </w:p>
        </w:tc>
      </w:tr>
    </w:tbl>
    <w:p w:rsidR="005A7E08" w:rsidRDefault="005A7E08" w:rsidP="005A7E08">
      <w:pPr>
        <w:autoSpaceDE w:val="0"/>
        <w:autoSpaceDN w:val="0"/>
        <w:adjustRightInd w:val="0"/>
        <w:spacing w:before="240" w:after="120" w:line="240" w:lineRule="auto"/>
        <w:jc w:val="center"/>
        <w:rPr>
          <w:rFonts w:ascii="Times New Roman" w:hAnsi="Times New Roman" w:cs="Times New Roman"/>
          <w:sz w:val="20"/>
          <w:szCs w:val="20"/>
        </w:rPr>
      </w:pPr>
      <w:r>
        <w:rPr>
          <w:rFonts w:ascii="Times New Roman" w:hAnsi="Times New Roman" w:cs="Times New Roman"/>
          <w:sz w:val="20"/>
          <w:szCs w:val="20"/>
        </w:rPr>
        <w:t>A képzési idő félévekben: 7 félév</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2069"/>
        <w:gridCol w:w="2070"/>
        <w:gridCol w:w="2069"/>
        <w:gridCol w:w="2070"/>
        <w:gridCol w:w="2070"/>
      </w:tblGrid>
      <w:tr w:rsidR="005A7E08">
        <w:tblPrEx>
          <w:tblCellMar>
            <w:top w:w="0" w:type="dxa"/>
            <w:bottom w:w="0" w:type="dxa"/>
          </w:tblCellMar>
        </w:tblPrEx>
        <w:tc>
          <w:tcPr>
            <w:tcW w:w="2069"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Természettudományos alapismeretek</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Gazdasági és humán ismeretek</w:t>
            </w:r>
          </w:p>
        </w:tc>
        <w:tc>
          <w:tcPr>
            <w:tcW w:w="2069"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Szakmai törzsanyag</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Szakirányú anyag a szakdolgozattal együtt</w:t>
            </w:r>
          </w:p>
        </w:tc>
        <w:tc>
          <w:tcPr>
            <w:tcW w:w="2070" w:type="dxa"/>
            <w:vAlign w:val="center"/>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A szakhoz rendelt kreditek számából beszámításra kerülő minimum kreditszám összesen</w:t>
            </w:r>
          </w:p>
        </w:tc>
      </w:tr>
      <w:tr w:rsidR="005A7E08">
        <w:tblPrEx>
          <w:tblCellMar>
            <w:top w:w="0" w:type="dxa"/>
            <w:bottom w:w="0" w:type="dxa"/>
          </w:tblCellMar>
        </w:tblPrEx>
        <w:tc>
          <w:tcPr>
            <w:tcW w:w="206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40</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15</w:t>
            </w:r>
          </w:p>
        </w:tc>
        <w:tc>
          <w:tcPr>
            <w:tcW w:w="2069"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70</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55</w:t>
            </w:r>
          </w:p>
        </w:tc>
        <w:tc>
          <w:tcPr>
            <w:tcW w:w="2070" w:type="dxa"/>
          </w:tcPr>
          <w:p w:rsidR="005A7E08" w:rsidRDefault="005A7E08">
            <w:pPr>
              <w:autoSpaceDE w:val="0"/>
              <w:autoSpaceDN w:val="0"/>
              <w:adjustRightInd w:val="0"/>
              <w:spacing w:before="40" w:after="20" w:line="240" w:lineRule="auto"/>
              <w:jc w:val="center"/>
              <w:rPr>
                <w:rFonts w:ascii="Times New Roman" w:hAnsi="Times New Roman" w:cs="Times New Roman"/>
                <w:sz w:val="20"/>
                <w:szCs w:val="20"/>
              </w:rPr>
            </w:pPr>
            <w:r>
              <w:rPr>
                <w:rFonts w:ascii="Times New Roman" w:hAnsi="Times New Roman" w:cs="Times New Roman"/>
                <w:sz w:val="20"/>
                <w:szCs w:val="20"/>
              </w:rPr>
              <w:t>180</w:t>
            </w:r>
          </w:p>
        </w:tc>
      </w:tr>
    </w:tbl>
    <w:p w:rsidR="005A7E08" w:rsidRDefault="005A7E08" w:rsidP="005A7E08">
      <w:pPr>
        <w:autoSpaceDE w:val="0"/>
        <w:autoSpaceDN w:val="0"/>
        <w:adjustRightInd w:val="0"/>
        <w:spacing w:after="0" w:line="240" w:lineRule="auto"/>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5A7E08" w:rsidRDefault="005A7E08" w:rsidP="005A7E08">
      <w:pPr>
        <w:autoSpaceDE w:val="0"/>
        <w:autoSpaceDN w:val="0"/>
        <w:adjustRightInd w:val="0"/>
        <w:spacing w:before="120" w:after="120" w:line="240" w:lineRule="auto"/>
        <w:rPr>
          <w:rFonts w:ascii="Times New Roman" w:hAnsi="Times New Roman" w:cs="Times New Roman"/>
          <w:i/>
          <w:iCs/>
          <w:sz w:val="20"/>
          <w:szCs w:val="20"/>
          <w:u w:val="single"/>
        </w:rPr>
      </w:pPr>
      <w:r>
        <w:rPr>
          <w:rFonts w:ascii="Times New Roman" w:hAnsi="Times New Roman" w:cs="Times New Roman"/>
          <w:i/>
          <w:iCs/>
          <w:sz w:val="20"/>
          <w:szCs w:val="20"/>
          <w:u w:val="single"/>
        </w:rPr>
        <w:t>5. melléklet a 266/2013. (VII. 11.) Korm. rendelethez</w:t>
      </w:r>
    </w:p>
    <w:p w:rsidR="005A7E08" w:rsidRDefault="005A7E08" w:rsidP="005A7E08">
      <w:pPr>
        <w:autoSpaceDE w:val="0"/>
        <w:autoSpaceDN w:val="0"/>
        <w:adjustRightInd w:val="0"/>
        <w:spacing w:after="20" w:line="240" w:lineRule="auto"/>
        <w:ind w:firstLine="142"/>
        <w:jc w:val="both"/>
        <w:rPr>
          <w:rFonts w:ascii="Times New Roman" w:hAnsi="Times New Roman" w:cs="Times New Roman"/>
          <w:sz w:val="20"/>
          <w:szCs w:val="20"/>
        </w:rPr>
      </w:pPr>
    </w:p>
    <w:p w:rsidR="00A0261C" w:rsidRDefault="00A0261C">
      <w:bookmarkStart w:id="0" w:name="_GoBack"/>
      <w:bookmarkEnd w:id="0"/>
    </w:p>
    <w:sectPr w:rsidR="00A0261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AFF" w:usb1="C0007841"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7E08"/>
    <w:rsid w:val="005A7E08"/>
    <w:rsid w:val="00A0261C"/>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55</Pages>
  <Words>20110</Words>
  <Characters>138765</Characters>
  <Application>Microsoft Office Word</Application>
  <DocSecurity>0</DocSecurity>
  <Lines>1156</Lines>
  <Paragraphs>317</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158558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Bodrogi István dr.</dc:creator>
  <cp:lastModifiedBy>Bodrogi István dr.</cp:lastModifiedBy>
  <cp:revision>1</cp:revision>
  <dcterms:created xsi:type="dcterms:W3CDTF">2016-02-12T07:01:00Z</dcterms:created>
  <dcterms:modified xsi:type="dcterms:W3CDTF">2016-02-12T07:01:00Z</dcterms:modified>
</cp:coreProperties>
</file>