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BC9" w:rsidRDefault="005A1BC9" w:rsidP="005A1BC9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15/2007. (IV. 13.) SZMM rendelet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Munkaerőpiaci Alap képzési alaprészéből felnőttképzési célra nyújtható támogatások részletes szabályairól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szakképzési hozzájárulásról és a képzés fejlesztésének támogatásáról szóló 2003. évi LXXXVI. törvény (a továbbiakban: Szht.) 28. §-a (4)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pontjában foglalt felhatalmazás alapján, a szociális és munkaügyi miniszter feladat- és hatásköréről szóló 170/2006. (VII. 28.) Korm. rendelet 1. §-ának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feladatkörben eljárva – a szakképesítésért felelős miniszter, valamint az iskolai rendszerű szakképzést érintően az oktatási és kulturális miniszter véleményének kikérésével, a pénzügyminiszter feladat- és hatásköréről szóló 169/2006. (VII. 28.) Korm. rendelet 1. §-ának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feladatkörben eljáró pénzügyminiszterrel egyetértésben – a következőket rendelem el: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ÁLTALÁNOS RENDELKEZÉSEK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E rendelet hatálya kiterjed a Munkaerőpiaci Alap képzési alaprésze – az Szht. 9. §-ának (4) bekezdésében meghatározott – központi keretéből (a továbbiakban: keret) iskolarendszeren kívüli felnőttképzéshez nyújtható támogatásokra.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E rendelet alkalmazásában: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állami támogatás:</w:t>
      </w:r>
      <w:r>
        <w:rPr>
          <w:rFonts w:ascii="Times New Roman" w:hAnsi="Times New Roman" w:cs="Times New Roman"/>
          <w:sz w:val="20"/>
          <w:szCs w:val="20"/>
        </w:rPr>
        <w:t xml:space="preserve"> az államháztartás alrendszereiből nyújtott, illetve az államháztartási alrendszerek költségvetései számára kiadást vagy bevételkiesést jelentő támogatás, valamint a 6. §-ban, a 8–10. §-ban, a 17. §-ban és a 19–20. §-ban meghatározott támogatások esetében az Európai Szerződés 87. cikkének (1) bekezdése szerinti támogatás és a Szerződés 87. és 88. cikkének a de minimis támogatásokra való alkalmazásáról szóló 1998/2006/EK rendelet – HL L sorozat 379. szám, 2006. 12. 28. – (a továbbiakban: 1998/2006/EK bizottsági rendelet) 2. cikke szerinti csekély összegű (de minimis) támogatás;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felnőttképzés érdekében végzett fejlesztő tevékenység:</w:t>
      </w:r>
      <w:r>
        <w:rPr>
          <w:rFonts w:ascii="Times New Roman" w:hAnsi="Times New Roman" w:cs="Times New Roman"/>
          <w:sz w:val="20"/>
          <w:szCs w:val="20"/>
        </w:rPr>
        <w:t xml:space="preserve"> olyan tevékenység vagy program, amely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ba)</w:t>
      </w:r>
      <w:r>
        <w:rPr>
          <w:rFonts w:ascii="Times New Roman" w:hAnsi="Times New Roman" w:cs="Times New Roman"/>
          <w:sz w:val="20"/>
          <w:szCs w:val="20"/>
        </w:rPr>
        <w:t xml:space="preserve"> az élethosszig tartó tanulás elősegítéséhez kapcsolódóan ismeretterjesztésre, tájékoztatásra,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bb)</w:t>
      </w:r>
      <w:r>
        <w:rPr>
          <w:rFonts w:ascii="Times New Roman" w:hAnsi="Times New Roman" w:cs="Times New Roman"/>
          <w:sz w:val="20"/>
          <w:szCs w:val="20"/>
        </w:rPr>
        <w:t xml:space="preserve"> a felnőttképzés, a felnőttképzési szolgáltatás, valamint a felnőttképzés rendszerének korszerűsítésére, minőségi színvonalának emelésére, illetve ennek elősegítése érdekében felnőttképzési hálózatok kiépítésére,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bc)</w:t>
      </w:r>
      <w:r>
        <w:rPr>
          <w:rFonts w:ascii="Times New Roman" w:hAnsi="Times New Roman" w:cs="Times New Roman"/>
          <w:sz w:val="20"/>
          <w:szCs w:val="20"/>
        </w:rPr>
        <w:t xml:space="preserve"> a felnőttképzés minőségbiztosítási rendszerének korszerűsítésére,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bd)</w:t>
      </w:r>
      <w:r>
        <w:rPr>
          <w:rFonts w:ascii="Times New Roman" w:hAnsi="Times New Roman" w:cs="Times New Roman"/>
          <w:sz w:val="20"/>
          <w:szCs w:val="20"/>
        </w:rPr>
        <w:t xml:space="preserve"> a foglalkoztathatóság elősegítésére, az e-tanulás és az atipikus foglalkoztatási formák bővítésére,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be)</w:t>
      </w:r>
      <w:r>
        <w:rPr>
          <w:rFonts w:ascii="Times New Roman" w:hAnsi="Times New Roman" w:cs="Times New Roman"/>
          <w:sz w:val="20"/>
          <w:szCs w:val="20"/>
        </w:rPr>
        <w:t xml:space="preserve"> a munkaerőpiacon hátrányos helyzetű rétegek munkaerőpiaci helyzetének javítására,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bf)</w:t>
      </w:r>
      <w:r>
        <w:rPr>
          <w:rFonts w:ascii="Times New Roman" w:hAnsi="Times New Roman" w:cs="Times New Roman"/>
          <w:sz w:val="20"/>
          <w:szCs w:val="20"/>
        </w:rPr>
        <w:t xml:space="preserve"> felnőttképzési program, tananyag, képzési modul, valamint adatbázis korszerűsítésére és kidolgozására,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bg)</w:t>
      </w:r>
      <w:r>
        <w:rPr>
          <w:rFonts w:ascii="Times New Roman" w:hAnsi="Times New Roman" w:cs="Times New Roman"/>
          <w:sz w:val="20"/>
          <w:szCs w:val="20"/>
        </w:rPr>
        <w:t xml:space="preserve"> a felnőttképzésbe való bekapcsolódás elősegítésére irányuló kommunikációs programok megvalósítására,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bh)</w:t>
      </w:r>
      <w:r>
        <w:rPr>
          <w:rFonts w:ascii="Times New Roman" w:hAnsi="Times New Roman" w:cs="Times New Roman"/>
          <w:sz w:val="20"/>
          <w:szCs w:val="20"/>
        </w:rPr>
        <w:t xml:space="preserve"> felnőttképzési fejlesztési programok megvalósítása érdekében végzett szervezési részfeladatok ellátására,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bi)</w:t>
      </w:r>
      <w:r>
        <w:rPr>
          <w:rFonts w:ascii="Times New Roman" w:hAnsi="Times New Roman" w:cs="Times New Roman"/>
          <w:sz w:val="20"/>
          <w:szCs w:val="20"/>
        </w:rPr>
        <w:t xml:space="preserve"> a munkaerőpiaci képzési szükségletek feltárására, elemzésére, vagy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bj)</w:t>
      </w:r>
      <w:r>
        <w:rPr>
          <w:rFonts w:ascii="Times New Roman" w:hAnsi="Times New Roman" w:cs="Times New Roman"/>
          <w:sz w:val="20"/>
          <w:szCs w:val="20"/>
        </w:rPr>
        <w:t xml:space="preserve"> a mesterképzés, illetve mester továbbképzés és vizsgáztatás rendszerének korszerűsítésére</w:t>
      </w:r>
    </w:p>
    <w:p w:rsidR="005A1BC9" w:rsidRDefault="005A1BC9" w:rsidP="005A1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irányul;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általános képzés:</w:t>
      </w:r>
      <w:r>
        <w:rPr>
          <w:rFonts w:ascii="Times New Roman" w:hAnsi="Times New Roman" w:cs="Times New Roman"/>
          <w:sz w:val="20"/>
          <w:szCs w:val="20"/>
        </w:rPr>
        <w:t xml:space="preserve"> a Szerződés 87. és 88. cikke alkalmazásában a támogatások bizonyos fajtáinak a közös piaccal összeegyeztethetőnek nyilvánításáról szóló, 2008. augusztus 6-i 800/2008/EK bizottsági rendelet (a továbbiakban: 800/2008/EK bizottsági rendelet) 38. cikk 2. pontjában meghatározott képzés;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speciális képzés:</w:t>
      </w:r>
      <w:r>
        <w:rPr>
          <w:rFonts w:ascii="Times New Roman" w:hAnsi="Times New Roman" w:cs="Times New Roman"/>
          <w:sz w:val="20"/>
          <w:szCs w:val="20"/>
        </w:rPr>
        <w:t xml:space="preserve"> a 800/2008/EK bizottsági rendelet 38. cikk 1. pontjában meghatározott képzés;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támogatási intenzitás:</w:t>
      </w:r>
      <w:r>
        <w:rPr>
          <w:rFonts w:ascii="Times New Roman" w:hAnsi="Times New Roman" w:cs="Times New Roman"/>
          <w:sz w:val="20"/>
          <w:szCs w:val="20"/>
        </w:rPr>
        <w:t xml:space="preserve"> az Európai Közösséget létrehozó Szerződés 87. cikkének (1) bekezdése szerinti állami támogatásokkal kapcsolatos eljárásról és a regionális támogatási térképről szóló 85/2004. (IV. 19.) Korm. rendelet [a továbbiakban: 85/2004. (IV. 19.) Korm. rendelet] 1. § 24. pontjában meghatározott fogalom;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kis- és középvállalkozás:</w:t>
      </w:r>
      <w:r>
        <w:rPr>
          <w:rFonts w:ascii="Times New Roman" w:hAnsi="Times New Roman" w:cs="Times New Roman"/>
          <w:sz w:val="20"/>
          <w:szCs w:val="20"/>
        </w:rPr>
        <w:t xml:space="preserve"> az a vállalkozás, amely a támogatási kérelem benyújtásának időpontjában megfelel a 800/2008/EK bizottsági rendelet I. mellékletében meghatározott vállalkozások valamelyikének (a továbbiakban: KKV);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külső képzés:</w:t>
      </w:r>
      <w:r>
        <w:rPr>
          <w:rFonts w:ascii="Times New Roman" w:hAnsi="Times New Roman" w:cs="Times New Roman"/>
          <w:sz w:val="20"/>
          <w:szCs w:val="20"/>
        </w:rPr>
        <w:t xml:space="preserve"> az a képzés, amelyet a munkáltató a saját munkavállalói részére, teljes egészében saját szervezetétől elkülönült, a felnőttképzésről szóló 2001. évi CI. törvény (a továbbiakban: Fktv.) szerint akkreditált felnőttképzési intézmény közreműködésével – szolgáltatási szerződés alapján – valósít meg;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belső képzés:</w:t>
      </w:r>
      <w:r>
        <w:rPr>
          <w:rFonts w:ascii="Times New Roman" w:hAnsi="Times New Roman" w:cs="Times New Roman"/>
          <w:sz w:val="20"/>
          <w:szCs w:val="20"/>
        </w:rPr>
        <w:t xml:space="preserve"> az Fktv. 29. § 13. pontjában meghatározott képzés;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hátrányos helyzetű munkavállaló:</w:t>
      </w:r>
      <w:r>
        <w:rPr>
          <w:rFonts w:ascii="Times New Roman" w:hAnsi="Times New Roman" w:cs="Times New Roman"/>
          <w:sz w:val="20"/>
          <w:szCs w:val="20"/>
        </w:rPr>
        <w:t xml:space="preserve"> a 800/2008/EK bizottsági rendelet 2. cikk 18. pontjában meghatározott munkavállaló;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j)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fogyatékossággal élő munkavállaló:</w:t>
      </w:r>
      <w:r>
        <w:rPr>
          <w:rFonts w:ascii="Times New Roman" w:hAnsi="Times New Roman" w:cs="Times New Roman"/>
          <w:sz w:val="20"/>
          <w:szCs w:val="20"/>
        </w:rPr>
        <w:t xml:space="preserve"> a 800/2008/EK bizottsági rendelet 2. cikk 20. pontjában meghatározott munkavállaló;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k)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mezőgazdasági termék:</w:t>
      </w:r>
      <w:r>
        <w:rPr>
          <w:rFonts w:ascii="Times New Roman" w:hAnsi="Times New Roman" w:cs="Times New Roman"/>
          <w:sz w:val="20"/>
          <w:szCs w:val="20"/>
        </w:rPr>
        <w:t xml:space="preserve"> a 800/2008/EK bizottsági rendelet 2. cikk 22. pontjában meghatározott termék;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l)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mezőgazdasági termék feldolgozása:</w:t>
      </w:r>
      <w:r>
        <w:rPr>
          <w:rFonts w:ascii="Times New Roman" w:hAnsi="Times New Roman" w:cs="Times New Roman"/>
          <w:sz w:val="20"/>
          <w:szCs w:val="20"/>
        </w:rPr>
        <w:t xml:space="preserve"> a 800/2008/EK bizottsági rendelet 2. cikk 23. pontjában meghatározott feldolgozás;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mezőgazdasági termék forgalomba hozatala:</w:t>
      </w:r>
      <w:r>
        <w:rPr>
          <w:rFonts w:ascii="Times New Roman" w:hAnsi="Times New Roman" w:cs="Times New Roman"/>
          <w:sz w:val="20"/>
          <w:szCs w:val="20"/>
        </w:rPr>
        <w:t xml:space="preserve"> a 800/2008/EK bizottsági rendelet 2. cikk 24. pontjában meghatározott forgalomba hozatal;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n)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nehéz helyzetben lévő vállalkozás:</w:t>
      </w:r>
      <w:r>
        <w:rPr>
          <w:rFonts w:ascii="Times New Roman" w:hAnsi="Times New Roman" w:cs="Times New Roman"/>
          <w:sz w:val="20"/>
          <w:szCs w:val="20"/>
        </w:rPr>
        <w:t xml:space="preserve"> a 85/2004. (IV. 19.) Korm. rendelet 8. számú mellékletében meghatározott vállalkozás;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o)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támogatástartalom:</w:t>
      </w:r>
      <w:r>
        <w:rPr>
          <w:rFonts w:ascii="Times New Roman" w:hAnsi="Times New Roman" w:cs="Times New Roman"/>
          <w:sz w:val="20"/>
          <w:szCs w:val="20"/>
        </w:rPr>
        <w:t xml:space="preserve"> a 85/2004. (IV. 19.) Korm. rendelet 1. § 31. pontjában meghatározott fogalom;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p)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támogatási program:</w:t>
      </w:r>
      <w:r>
        <w:rPr>
          <w:rFonts w:ascii="Times New Roman" w:hAnsi="Times New Roman" w:cs="Times New Roman"/>
          <w:sz w:val="20"/>
          <w:szCs w:val="20"/>
        </w:rPr>
        <w:t xml:space="preserve"> a 85/2004. (IV. 19.) Korm. rendelet 1. § 26. pontja szerint értelmezendő fogalom;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q)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támogatás szempontjából elszámolható költség:</w:t>
      </w:r>
      <w:r>
        <w:rPr>
          <w:rFonts w:ascii="Times New Roman" w:hAnsi="Times New Roman" w:cs="Times New Roman"/>
          <w:sz w:val="20"/>
          <w:szCs w:val="20"/>
        </w:rPr>
        <w:t xml:space="preserve"> a támogatás alapjának meghatározásakor figyelembe vett, a támogatás tárgyával összefüggésben közvetlenül felmerült vagy ahhoz közvetett módon hozzárendelhető költségek, ráfordítások és beszerzett eszközök bekerülési értéke, amelyek finanszírozására a támogatás felhasználható;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egyedi támogatás:</w:t>
      </w:r>
      <w:r>
        <w:rPr>
          <w:rFonts w:ascii="Times New Roman" w:hAnsi="Times New Roman" w:cs="Times New Roman"/>
          <w:sz w:val="20"/>
          <w:szCs w:val="20"/>
        </w:rPr>
        <w:t xml:space="preserve"> a 800/2008/EK bizottsági rendelet 2. cikkének 3. pontjában meghatározott támogatás.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FELNŐTTKÉPZÉSI CÉLÚ TÁMOGATÁSOK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felnőttképzésben részt vevő felnőtt részére nyújtható támogatások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Pályázati eljárás alapján a felnőttképzésben részt vevő felnőtt részére támogatásként az Fktv. 20. §-a szerinti felnőttképzési szerződés alapján fizetett képzési díj részben vagy egészben megtéríthető.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Pályázati eljárás alapján a felnőttképzésben részt vevő felnőtt részére támogatás nyújtható a képzéséhez szükséges taneszközök, informatikai eszközök beszerzéséhez és szolgáltatások igénybevételéhez.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Egyedi döntés alapján támogatás nyújtható a Kormány vagy a Nemzetgazdasági Minisztérium (a továbbiakban: Minisztérium) által indított, egyes munkavállalói rétegek munkaerőpiaci helyzetének javítását szolgáló programhoz, az abban részt vevő felnőtt foglalkoztatásának elősegítéséhez szükséges képzés díjának részben vagy egészben történő megtérítésére.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Egyedi döntéssel támogatás nyújtható a szakképzési hozzájárulásra kötelezettnél végrehajtott 500 főt meghaladó létszámleépítéssel érintett munkavállaló elhelyezkedését elősegítő képzés díjának részben vagy egészben történő megtérítésére.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felnőttképzést folytató intézmények részére nyújtható támogatások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Pályázati eljárás alapján támogatás nyújtható az Fktv. 12. §-a szerint akkreditált felnőttképzést folytató intézménynek (a továbbiakban: akkreditált felnőttképzési intézmény), az általa szervezett képzés megvalósításával összefüggő költségeihez.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(1) Pályázati eljárás alapján támogatás nyújtható akkreditált felnőttképzési intézmény részére a felnőttképzés érdekében végzett, a 2. §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pontjának </w:t>
      </w:r>
      <w:r>
        <w:rPr>
          <w:rFonts w:ascii="Times New Roman" w:hAnsi="Times New Roman" w:cs="Times New Roman"/>
          <w:i/>
          <w:iCs/>
          <w:sz w:val="20"/>
          <w:szCs w:val="20"/>
        </w:rPr>
        <w:t>ba)–bg)</w:t>
      </w:r>
      <w:r>
        <w:rPr>
          <w:rFonts w:ascii="Times New Roman" w:hAnsi="Times New Roman" w:cs="Times New Roman"/>
          <w:sz w:val="20"/>
          <w:szCs w:val="20"/>
        </w:rPr>
        <w:t xml:space="preserve"> alpontjaiban meghatározott olyan fejlesztő tevékenységhez, amelynek eredménye mindenki számára hozzáférhető.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bekezdésben meghatározott támogatás egyedi döntés alapján is nyújtható abban az esetben, ha a támogatást nyújtó által meghatározott fejlesztő tevékenységet egyedi jellegéből adódóan egy akkreditált felnőttképzési intézmény valósíthatja meg.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Pályázati eljárás alapján támogatás nyújtható az akkreditált felnőttképzési intézmény részére az intézmény technikai feltételeinek fejlesztéséhez.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Pályázati eljárás alapján támogatás nyújtható akkreditált felnőttképzési intézmény részére az Európai Unió felnőttképzési programjaiban történő részvételhez.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10. §</w:t>
      </w:r>
      <w:r>
        <w:rPr>
          <w:rFonts w:ascii="Times New Roman" w:hAnsi="Times New Roman" w:cs="Times New Roman"/>
          <w:sz w:val="20"/>
          <w:szCs w:val="20"/>
        </w:rPr>
        <w:t xml:space="preserve"> Egyedi döntéssel – a 7–9. §-ban foglaltakon kívül – támogatás nyújtható a regionális képző központok számára a külön jogszabályban meghatározott feladataik ellátásához, valamint technikai feltételei fejlesztéséhez.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Nemzeti Szakképzési és Felnőttképzési Hivatal, valamint kutató és fejlesztő-szolgáltató tevékenységet ellátó költségvetési szerv támogatása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sz w:val="20"/>
          <w:szCs w:val="20"/>
        </w:rPr>
        <w:t xml:space="preserve"> (1) Egyedi döntés alapján támogatás nyújtható a Nemzeti Szakképzési és Felnőttképzési Hivatal (a továbbiakban: NSZFH) részére a felnőttképzés érdekében végzett, a 2. §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pontjának </w:t>
      </w:r>
      <w:r>
        <w:rPr>
          <w:rFonts w:ascii="Times New Roman" w:hAnsi="Times New Roman" w:cs="Times New Roman"/>
          <w:i/>
          <w:iCs/>
          <w:sz w:val="20"/>
          <w:szCs w:val="20"/>
        </w:rPr>
        <w:t>ba)–bi)</w:t>
      </w:r>
      <w:r>
        <w:rPr>
          <w:rFonts w:ascii="Times New Roman" w:hAnsi="Times New Roman" w:cs="Times New Roman"/>
          <w:sz w:val="20"/>
          <w:szCs w:val="20"/>
        </w:rPr>
        <w:t xml:space="preserve"> alpontjaiban meghatározott fejlesztő tevékenységhez.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Egyedi döntés alapján támogatás nyújtható a szakképesítésért felelős miniszter – a szakképzésről szóló 1993. évi LXXVI. törvény 5. §-ának (1)–(2) bekezdésében meghatározott – feladatai ellátását elősegítő kutató és fejlesztő-szolgáltató tevékenységet folytató költségvetési szerv részére a felnőttképzés érdekében végzett, a 2. §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pontjának </w:t>
      </w:r>
      <w:r>
        <w:rPr>
          <w:rFonts w:ascii="Times New Roman" w:hAnsi="Times New Roman" w:cs="Times New Roman"/>
          <w:i/>
          <w:iCs/>
          <w:sz w:val="20"/>
          <w:szCs w:val="20"/>
        </w:rPr>
        <w:t>be)–bf)</w:t>
      </w:r>
      <w:r>
        <w:rPr>
          <w:rFonts w:ascii="Times New Roman" w:hAnsi="Times New Roman" w:cs="Times New Roman"/>
          <w:sz w:val="20"/>
          <w:szCs w:val="20"/>
        </w:rPr>
        <w:t xml:space="preserve">, illetve </w:t>
      </w:r>
      <w:r>
        <w:rPr>
          <w:rFonts w:ascii="Times New Roman" w:hAnsi="Times New Roman" w:cs="Times New Roman"/>
          <w:i/>
          <w:iCs/>
          <w:sz w:val="20"/>
          <w:szCs w:val="20"/>
        </w:rPr>
        <w:t>bi)</w:t>
      </w:r>
      <w:r>
        <w:rPr>
          <w:rFonts w:ascii="Times New Roman" w:hAnsi="Times New Roman" w:cs="Times New Roman"/>
          <w:sz w:val="20"/>
          <w:szCs w:val="20"/>
        </w:rPr>
        <w:t xml:space="preserve"> alpontjaiban meghatározott fejlesztő tevékenységéhez.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Képzési, képzésfejlesztési célú közalapítvány támogatása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12. §</w:t>
      </w:r>
      <w:r>
        <w:rPr>
          <w:rFonts w:ascii="Times New Roman" w:hAnsi="Times New Roman" w:cs="Times New Roman"/>
          <w:sz w:val="20"/>
          <w:szCs w:val="20"/>
        </w:rPr>
        <w:t xml:space="preserve"> (1) Pályázati eljárás alapján támogatás nyújtható képzési, képzésfejlesztési célú közalapítvány (a továbbiakban: közalapítvány) által szervezett képzés megvalósításával összefüggő költségeihez.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bekezdésben meghatározott támogatás egyedi döntés alapján is nyújtható abban az esetben, ha a képzési programot egyedi jellegéből adódóan egy közalapítvány valósíthatja meg.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13. §</w:t>
      </w:r>
      <w:r>
        <w:rPr>
          <w:rFonts w:ascii="Times New Roman" w:hAnsi="Times New Roman" w:cs="Times New Roman"/>
          <w:sz w:val="20"/>
          <w:szCs w:val="20"/>
        </w:rPr>
        <w:t xml:space="preserve"> Egyedi döntés alapján támogatás nyújtható közalapítvány részére a felnőttképzés érdekében végzett, a 2. §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pontjának </w:t>
      </w:r>
      <w:r>
        <w:rPr>
          <w:rFonts w:ascii="Times New Roman" w:hAnsi="Times New Roman" w:cs="Times New Roman"/>
          <w:i/>
          <w:iCs/>
          <w:sz w:val="20"/>
          <w:szCs w:val="20"/>
        </w:rPr>
        <w:t>ba)–bi)</w:t>
      </w:r>
      <w:r>
        <w:rPr>
          <w:rFonts w:ascii="Times New Roman" w:hAnsi="Times New Roman" w:cs="Times New Roman"/>
          <w:sz w:val="20"/>
          <w:szCs w:val="20"/>
        </w:rPr>
        <w:t xml:space="preserve"> alpontjaiban meghatározott olyan fejlesztő tevékenységének ellátásához, amelynek eredménye mindenki számára hozzáférhető.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Társadalmi szervezet, közhasznú társaság, alapítvány</w:t>
      </w:r>
      <w:r>
        <w:rPr>
          <w:rFonts w:ascii="Times New Roman" w:hAnsi="Times New Roman" w:cs="Times New Roman"/>
          <w:i/>
          <w:iCs/>
          <w:sz w:val="20"/>
          <w:szCs w:val="20"/>
        </w:rPr>
        <w:br/>
        <w:t>és nonprofit gazdasági társaság támogatása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14. §</w:t>
      </w:r>
      <w:r>
        <w:rPr>
          <w:rFonts w:ascii="Times New Roman" w:hAnsi="Times New Roman" w:cs="Times New Roman"/>
          <w:sz w:val="20"/>
          <w:szCs w:val="20"/>
        </w:rPr>
        <w:t xml:space="preserve"> (1) Pályázati eljárás alapján támogatás nyújtható társadalmi szervezet, közhasznú társaság, alapítvány és külön törvény szerint közhasznú jogállással rendelkező nonprofit gazdasági társaság (a továbbiakban együtt: nonprofit szervezet) által szervezett képzés megvalósításával összefüggő költségeihez.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bekezdésben meghatározott támogatás egyedi döntés alapján is nyújtható abban az esetben, ha a képzési programot egyedi jellegéből adódóan egy nonprofit szervezet valósíthatja meg.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15. §</w:t>
      </w:r>
      <w:r>
        <w:rPr>
          <w:rFonts w:ascii="Times New Roman" w:hAnsi="Times New Roman" w:cs="Times New Roman"/>
          <w:sz w:val="20"/>
          <w:szCs w:val="20"/>
        </w:rPr>
        <w:t xml:space="preserve"> (1) Pályázati eljárás alapján támogatás nyújtható nonprofit szervezet részére a felnőttképzés érdekében végzett, a 2. §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pontjának </w:t>
      </w:r>
      <w:r>
        <w:rPr>
          <w:rFonts w:ascii="Times New Roman" w:hAnsi="Times New Roman" w:cs="Times New Roman"/>
          <w:i/>
          <w:iCs/>
          <w:sz w:val="20"/>
          <w:szCs w:val="20"/>
        </w:rPr>
        <w:t>ba)–bi)</w:t>
      </w:r>
      <w:r>
        <w:rPr>
          <w:rFonts w:ascii="Times New Roman" w:hAnsi="Times New Roman" w:cs="Times New Roman"/>
          <w:sz w:val="20"/>
          <w:szCs w:val="20"/>
        </w:rPr>
        <w:t xml:space="preserve"> alpontjaiban meghatározott olyan fejlesztő tevékenységének ellátásához, amelynek eredménye mindenki számára hozzáférhető.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bekezdésben meghatározott támogatás egyedi döntés alapján is nyújtható abban az esetben, ha a támogatást nyújtó által meghatározott fejlesztési programot egyedi jellegéből adódóan egy nonprofit szervezet valósíthatja meg.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Gazdasági kamarák támogatása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16. §</w:t>
      </w:r>
      <w:r>
        <w:rPr>
          <w:rFonts w:ascii="Times New Roman" w:hAnsi="Times New Roman" w:cs="Times New Roman"/>
          <w:sz w:val="20"/>
          <w:szCs w:val="20"/>
        </w:rPr>
        <w:t xml:space="preserve"> (1) Egyedi döntés alapján támogatás nyújtható a gazdasági kamarák részére a felnőttképzés érdekében végzett, a 2. §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pontjának </w:t>
      </w:r>
      <w:r>
        <w:rPr>
          <w:rFonts w:ascii="Times New Roman" w:hAnsi="Times New Roman" w:cs="Times New Roman"/>
          <w:i/>
          <w:iCs/>
          <w:sz w:val="20"/>
          <w:szCs w:val="20"/>
        </w:rPr>
        <w:t>bb)–bd)</w:t>
      </w:r>
      <w:r>
        <w:rPr>
          <w:rFonts w:ascii="Times New Roman" w:hAnsi="Times New Roman" w:cs="Times New Roman"/>
          <w:sz w:val="20"/>
          <w:szCs w:val="20"/>
        </w:rPr>
        <w:t xml:space="preserve">, valamint </w:t>
      </w:r>
      <w:r>
        <w:rPr>
          <w:rFonts w:ascii="Times New Roman" w:hAnsi="Times New Roman" w:cs="Times New Roman"/>
          <w:i/>
          <w:iCs/>
          <w:sz w:val="20"/>
          <w:szCs w:val="20"/>
        </w:rPr>
        <w:t>bh)–bk)</w:t>
      </w:r>
      <w:r>
        <w:rPr>
          <w:rFonts w:ascii="Times New Roman" w:hAnsi="Times New Roman" w:cs="Times New Roman"/>
          <w:sz w:val="20"/>
          <w:szCs w:val="20"/>
        </w:rPr>
        <w:t xml:space="preserve"> alpontjaiban meghatározott fejlesztő tevékenység ellátásához.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bekezdésben meghatározott fejlesztő tevékenység ellátásához a gazdasági kamarák részére pályázat keretében is nyújtható támogatás, ha a felnőttképzés érdekében végzett fejlesztő tevékenység vagy képzés támogatására kiírt pályázat alapján nem kizárólag gazdasági kamarák részesíthetők támogatásban.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szakképzési hozzájárulás fizetésére kötelezett támogatása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17. §</w:t>
      </w:r>
      <w:r>
        <w:rPr>
          <w:rFonts w:ascii="Times New Roman" w:hAnsi="Times New Roman" w:cs="Times New Roman"/>
          <w:sz w:val="20"/>
          <w:szCs w:val="20"/>
        </w:rPr>
        <w:t xml:space="preserve"> Pályázati eljárás alapján támogatás nyújtható az Szht. 2. §-ának (1)–(2) bekezdésében meghatározott szakképzési hozzájárulásra kötelezett (a továbbiakban: szakképzési hozzájárulásra kötelezett) részére, az általa foglalkoztatott munkavállaló külső, illetve belső képzés formájában szervezett általános és speciális képzéséhez.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18. §</w:t>
      </w:r>
      <w:r>
        <w:rPr>
          <w:rFonts w:ascii="Times New Roman" w:hAnsi="Times New Roman" w:cs="Times New Roman"/>
          <w:sz w:val="20"/>
          <w:szCs w:val="20"/>
        </w:rPr>
        <w:t xml:space="preserve"> Pályázati eljárás alapján támogatás nyújtható a szakképzési hozzájárulásra kötelezett részére a felnőttképzés érdekében végzett, a 2. §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pontjának </w:t>
      </w:r>
      <w:r>
        <w:rPr>
          <w:rFonts w:ascii="Times New Roman" w:hAnsi="Times New Roman" w:cs="Times New Roman"/>
          <w:i/>
          <w:iCs/>
          <w:sz w:val="20"/>
          <w:szCs w:val="20"/>
        </w:rPr>
        <w:t>ba)–bb)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sz w:val="20"/>
          <w:szCs w:val="20"/>
        </w:rPr>
        <w:t>bd)–be)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bi)</w:t>
      </w:r>
      <w:r>
        <w:rPr>
          <w:rFonts w:ascii="Times New Roman" w:hAnsi="Times New Roman" w:cs="Times New Roman"/>
          <w:sz w:val="20"/>
          <w:szCs w:val="20"/>
        </w:rPr>
        <w:t xml:space="preserve"> alpontjaiban meghatározott olyan fejlesztő tevékenységhez, amelynek eredménye mindenki által hozzáférhető.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19. §</w:t>
      </w:r>
      <w:r>
        <w:rPr>
          <w:rFonts w:ascii="Times New Roman" w:hAnsi="Times New Roman" w:cs="Times New Roman"/>
          <w:sz w:val="20"/>
          <w:szCs w:val="20"/>
        </w:rPr>
        <w:t xml:space="preserve"> Egyedi döntés alapján támogatás nyújtható a szakképzési hozzájárulásra kötelezettnek, az általa végrehajtandó, 500 főt meghaladó létszámleépítés esetén a létszámleépítésben nem érintett munkavállaló munkahelyének megtartásához szükséges, a 17. § szerinti képzéséhez, ha a munkavállalót a képzés befejezését követően legalább egy évig foglalkoztatja.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Beruházásösztönző képzési célú támogatás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20. §</w:t>
      </w:r>
      <w:r>
        <w:rPr>
          <w:rFonts w:ascii="Times New Roman" w:hAnsi="Times New Roman" w:cs="Times New Roman"/>
          <w:sz w:val="20"/>
          <w:szCs w:val="20"/>
        </w:rPr>
        <w:t xml:space="preserve"> (1) Beruházásösztönző képzési célú támogatásban részesíthető a legalább 50 fő részére munkahelyet teremtő, a Magyarország területén székhellyel és/vagy fiókteleppel rendelkező befektető jogi személy (a továbbiakban: befektető), amellyel – a Kormány támogatásra vonatkozó határozata alapján – a szociális és munkaügyi miniszter (a továbbiakban: miniszter) a támogatás alapvető feltételeire vonatkozóan keretmegállapodást ír alá.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bekezdésben meghatározott támogatás a befektetéssel létrehozott új munkahelyek, munkakörök betöltésére irányuló, – az Fktv. hatálya alá tartozó külső, illetve belső képzés formájában megvalósuló – általános és speciális képzéshez nyújtható.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támogatás igénybevételének további feltétele, hogy a támogatott a képzésben részt vevők legalább hatvan százalékát – a képzés befejezését követően – munkaviszonyban és teljes munkaidőben foglalkoztassa legalább 12 hónapon keresztül. A foglalkoztatási kötelezettség teljesítése szempontjából a képzésben részt vevők összlétszámának meghatározása során a több támogatott képzésben is részt vett munkavállaló csak egyszer vehető figyelembe.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21. §</w:t>
      </w:r>
      <w:r>
        <w:rPr>
          <w:rFonts w:ascii="Times New Roman" w:hAnsi="Times New Roman" w:cs="Times New Roman"/>
          <w:sz w:val="20"/>
          <w:szCs w:val="20"/>
        </w:rPr>
        <w:t xml:space="preserve"> (1) A 20. § (1) bekezdésében meghatározott keretmegállapodás alapján a befektető számára nyújtható támogatás tényleges összegének megállapítása a rendelet </w:t>
      </w:r>
      <w:r>
        <w:rPr>
          <w:rFonts w:ascii="Times New Roman" w:hAnsi="Times New Roman" w:cs="Times New Roman"/>
          <w:i/>
          <w:iCs/>
          <w:sz w:val="20"/>
          <w:szCs w:val="20"/>
        </w:rPr>
        <w:t>mellékletét</w:t>
      </w:r>
      <w:r>
        <w:rPr>
          <w:rFonts w:ascii="Times New Roman" w:hAnsi="Times New Roman" w:cs="Times New Roman"/>
          <w:sz w:val="20"/>
          <w:szCs w:val="20"/>
        </w:rPr>
        <w:t xml:space="preserve"> képező, a befektető által benyújtott támogatási kérelem alapján történik.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 szerinti kérelemhez csatolni kell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befektető 30 napnál nem régebbi cégkivonatát,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belső képzés esetén a befektető Fktv. 8. §-a szerinti nyilvántartásba vételéről szóló értesítésnek/igazolásnak a befektető által cégszerűen hitelesített másolatát,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külső képzés esetén a felnőttképzési intézmény akkreditációjáról szóló tanúsítványnak a felnőttképzési intézmény által cégszerűen hitelesített másolatát,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Adó- és Pénzügyi Ellenőrzési Hivatalnak – a kérelem benyújtását megelőző 30 napnál nem régebbi – igazolását arról, hogy a befektetőnek az államháztartásra vonatkozó jogszabályok szerinti köztartozása nincs,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 befektető nyilatkozatát arról, hogy a Nemzeti Foglalkoztatási Alap felé nem áll fenn tartozása,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 képzési program(ok) leírását, ismertetését,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a támogatásban részesítendő képzés(ek) költségkimutatását és költségkalkulációját a Minisztérium által kidolgozott és a befektető részére átadott dokumentum alapján,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a befektető nyilatkozatát arról, hogy a rendezett munkaügyi kapcsolatoknak a rendezett munkaügyi kapcsolatok feltételeiről és igazolásának módjáról szóló 1/2012. (I. 26.) NGM rendeletben meghatározott feltételeit teljesítette.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miniszter az (1) bekezdésben meghatározott támogatási kérelem Minisztériumhoz történő benyújtását – hiányosan benyújtott vagy pontatlanul kitöltött kérelem esetén a hiánypótlásra történő felhívás teljesítését – követő 30 napon belül dönt a támogatás megállapításáról.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Minisztérium a miniszter döntését követő 30 napon belül a befektetővel támogatási szerződést köt.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TÁMOGATÁSOK MÉRTÉKE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22. §</w:t>
      </w:r>
      <w:r>
        <w:rPr>
          <w:rFonts w:ascii="Times New Roman" w:hAnsi="Times New Roman" w:cs="Times New Roman"/>
          <w:sz w:val="20"/>
          <w:szCs w:val="20"/>
        </w:rPr>
        <w:t xml:space="preserve"> (1) A 3. § (1) bekezdésében, a 4–6. §-ban, a 12. §-ban és a 14. §-ban meghatározott támogatás mértéke nem haladhatja meg az adott képzés összköltségének összegét.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3. § (2) bekezdésében meghatározott támogatás mértéke nem haladhatja meg az adott eszköz, illetve szolgáltatás beszerzési értékének 50 százalékát.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6. §-ban, valamint a 8–10. §-ban meghatározott, vállalkozások részére nyújtott támogatás az 1998/2006/EK bizottsági rendelet 2. cikke szerinti csekély összegű (de minimis) támogatásnak minősül, és kizárólag a 1998/2006/EK bizottsági rendelettel összhangban nyújtható.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7. §-ban, a 11. §-ban, a 13. §-ban, a 15–16. §-ban és a 18. §-ban meghatározott támogatás mértéke nem haladhatja meg a fejlesztéssel összefüggő összköltség összegét.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10. §-ban meghatározott támogatás mértéke nem haladhatja meg a feladatellátás összköltségének, illetve az adott fejlesztés bekerülési értékének összegét.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Az (1)–(5) bekezdésekben meghatározott támogatások esetében az elszámolható költségek körét pályázati eljárás esetén a pályázati kiírás, egyedi döntés esetén a támogatási szerződés határozza meg.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(7) A 17. §, 19. §, és 20. § alapján a kedvezményezettel munkaviszonyban álló munkavállalók képzéséhez képzési támogatás nyújtható a 800/2008/EK bizottsági rendelet I. fejezet, illetve II. fejezet 8. szakaszában foglaltak szerint. A maximális támogatási intenzitás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általános képzés esetén az elszámolható költségek 60%-a;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speciális képzés esetén az elszámolható költségek 25%-a.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(8) A (7) bekezdésben meghatározott maximális támogatási intenzitás az elszámolható költségek 80%-ának megfelelő maximális támogatási intenzitásig növelhető a következők szerint: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10 százalékponttal a fogyatékossággal élő vagy hátrányos helyzetű munkavállalóknak nyújtott képzés esetén,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10 százalékponttal, ha a támogatást középvállalkozásoknak, és 20 százalékponttal, ha a támogatást kisvállalkozásnak nyújtják.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(9) Ha valamely támogatási projektben általános és speciális képzési összetevők is szerepelnek, amelyek a képzés támogatási intenzitásának a kiszámítása vonatkozásában egymástól nem választhatók el, vagy ha a támogatási projektben szereplő képzés általános, illetve speciális jellege nem állapítható meg, a (7)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szerinti speciális képzésre vonatkozó támogatási intenzitásokat kell alkalmazni.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(10) A (7) bekezdésben meghatározott támogatások esetén a képzéssel összefüggő alábbi költségek számolhatóak el: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oktatóknak a számvitelről szóló 2000. évi C. törvény 79. § (1) bekezdésében meghatározott személyi jellegű költségei, és a képzési projekttel kapcsolatos eligazítás és tanácsadási szolgáltatások költségei, együttesen legfeljebb az összesen elszámolt költségek 10%-a mértékéig,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oktatók és képzésben részt vevők utazási költségei, beleértve a szállásköltségeket is,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egyéb folyó költségek, úgymint a projekthez közvetlenül kapcsolódó anyagok, fogyóeszközök,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eszközök és felszerelések értékcsökkenése, olyan mértékben, amennyire azokat kizárólag a képzési projekt céljaira használják,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 képzésben részt vevők személyi jellegű költségei és elszámolható általános közvetett költségek (adminisztrációs költségek, bérleti díj, rezsiköltségek) az </w:t>
      </w:r>
      <w:r>
        <w:rPr>
          <w:rFonts w:ascii="Times New Roman" w:hAnsi="Times New Roman" w:cs="Times New Roman"/>
          <w:i/>
          <w:iCs/>
          <w:sz w:val="20"/>
          <w:szCs w:val="20"/>
        </w:rPr>
        <w:t>a)–d)</w:t>
      </w:r>
      <w:r>
        <w:rPr>
          <w:rFonts w:ascii="Times New Roman" w:hAnsi="Times New Roman" w:cs="Times New Roman"/>
          <w:sz w:val="20"/>
          <w:szCs w:val="20"/>
        </w:rPr>
        <w:t xml:space="preserve"> pontban felsorolt elszámolható költségek összértékéig. A képzésben részt vevők személyi jellegű költségei vonatkozásában csak a képzésben ténylegesen eltöltött idő vehető számításba, az ebből termelésben eltöltött idő vagy annak megfelelője levonása után. Az oktatók, tanácsadók, illetve a képzésben részt vevők személyi jellegű ráfordításai állami támogatásának havi (huszonkét munkanapra vetített) mértéke nem haladhatja meg a tárgyévet megelőző második évre vonatkozó KSH adatok szerint a versenyszférában foglalkoztatottak havi átlagkeresetének kétszeresét.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(11) A (10) bekezdésben meghatározott költségek kizárólag tételesen részletezett dokumentumok alapján tervezhetők és számolhatók el.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(12) Ötven és ötszáz fő közötti munkahelyteremtést eredményező beruházáshoz legfeljebb 1 millió euró összegnek megfelelő forint összegű képzési célú támogatás, ötszáz főt meghaladó munkahelyteremtést eredményező beruházáshoz legfeljebb 2 millió euró összegnek megfelelő forint összegű képzési célú támogatás nyújtható. Az euróban meghatározott támogatási összeg forintra történő átszámításakor a 85/2004. (IV. 19.) Korm. rendelet 31. § (3) bekezdésében foglaltak szerint kell eljárni.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PÁLYÁZAT, ILLETŐLEG EGYEDI DÖNTÉS ALAPJÁN NYÚJTOTT TÁMOGATÁSOK KÖZÖS SZABÁLYAI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23. §</w:t>
      </w:r>
      <w:r>
        <w:rPr>
          <w:rFonts w:ascii="Times New Roman" w:hAnsi="Times New Roman" w:cs="Times New Roman"/>
          <w:sz w:val="20"/>
          <w:szCs w:val="20"/>
        </w:rPr>
        <w:t xml:space="preserve"> E rendelet alapján nyújtott támogatások odaítéléséről a miniszter dönt. A Nemzeti Szakképzési és Felnőttképzési Tanács az Szht. 12. §-ában meghatározott döntés-előkészítő feladatai keretében – a 20. §-ban </w:t>
      </w:r>
      <w:r>
        <w:rPr>
          <w:rFonts w:ascii="Times New Roman" w:hAnsi="Times New Roman" w:cs="Times New Roman"/>
          <w:sz w:val="20"/>
          <w:szCs w:val="20"/>
        </w:rPr>
        <w:lastRenderedPageBreak/>
        <w:t>meghatározott támogatás kivételével – véleményezi a keretből nyújtandó támogatásokra irányuló előterjesztéseket, és ennek alapján támogatási javaslatot tesz a miniszternek.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24. §</w:t>
      </w:r>
      <w:r>
        <w:rPr>
          <w:rFonts w:ascii="Times New Roman" w:hAnsi="Times New Roman" w:cs="Times New Roman"/>
          <w:sz w:val="20"/>
          <w:szCs w:val="20"/>
        </w:rPr>
        <w:t xml:space="preserve"> (1) A keretből nyújtott támogatással megvalósított program támogatással érintett részéhez további állami támogatás nem vehető igénybe.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keretből vissza nem térítendő támogatás nyújtható. A támogatás folyósítására a 3. § alapján a felnőtt számára nyújtott, valamint a nem költségvetési szervként működő akkreditált felnőttképzési intézmény, szakképzési hozzájárulásra kötelezett, és a 20. §-ban meghatározott befektető számára nyújtott támogatás esetén utófinanszírozással, költségvetési szervként működő akkreditált felnőttképzési intézmény, az NSZFH, közalapítvány, nonprofit szervezet, valamint gazdasági kamara támogatása esetén utólagos elszámolási kötelezettséggel kerül sor.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Utófinanszírozás esetén támogatási előleg indokolt esetben és legfeljebb a támogatás összegének 25 százaléka mértékéig nyújtható. Előleg igénybevétele esetén, továbbá, ha a támogatási szerződés alapján a folyósítás több részletben történik, a támogatás csak akkor folyósítható, ha a támogatott a támogatási szerződésben rögzítettek szerint a támogató felé elszámol.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25. §</w:t>
      </w:r>
      <w:r>
        <w:rPr>
          <w:rFonts w:ascii="Times New Roman" w:hAnsi="Times New Roman" w:cs="Times New Roman"/>
          <w:sz w:val="20"/>
          <w:szCs w:val="20"/>
        </w:rPr>
        <w:t xml:space="preserve"> (1) A keretből nyújtott támogatásokra vonatkozó szerződést – a (2) bekezdésben, valamint a 27. § (4) bekezdésben meghatározott kivétellel – az NSZFH köti meg.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11. § (1) bekezdésében és a 20. §-ban meghatározott támogatásra vonatkozóan a szerződést a Minisztérium köti meg. A 10. § és a 11. § (2) bekezdése alapján nyújtott támogatásra vonatkozóan – miniszter döntése alapján – a Minisztérium vagy az NSZFH köti meg a szerződést.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Nem nyújtható támogatás annak,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aki az adott pályázat kiírását, illetve támogatási kérelem benyújtását megelőző két éven belül államháztartási forrásból az iskolarendszeren kívüli képzéshez kapcsolódóan támogatásban részesült és a pályázatban, illetve támogatási kérelemben valótlan vagy megtévesztő adatokat szolgáltatott, vagy a támogatási szerződést önhibájából maradéktalanul nem teljesítette,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akinek a Nemzeti Foglalkoztatási Alap képzési alaprészével, illetve foglalkoztatási alaprésze iskolarendszeren kívüli felnőttképzési célú keretével szemben lejárt kötelezettsége van,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akinek az államháztartásra vonatkozó jogszabályok szerint köztartozása van,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aki a rendezett munkaügyi kapcsolatok – a rendezett munkaügyi kapcsolatok feltételeiről és igazolásának módjáról szóló 1/2012. (I. 26.) NGM rendeletben meghatározott – feltételeit nem teljesítette.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keretből nyújtott támogatásról szóló szerződésnek a következőket kell tartalmaznia: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szerződést kötő felek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aa)</w:t>
      </w:r>
      <w:r>
        <w:rPr>
          <w:rFonts w:ascii="Times New Roman" w:hAnsi="Times New Roman" w:cs="Times New Roman"/>
          <w:sz w:val="20"/>
          <w:szCs w:val="20"/>
        </w:rPr>
        <w:t xml:space="preserve"> nevét (cégnevét),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ab)</w:t>
      </w:r>
      <w:r>
        <w:rPr>
          <w:rFonts w:ascii="Times New Roman" w:hAnsi="Times New Roman" w:cs="Times New Roman"/>
          <w:sz w:val="20"/>
          <w:szCs w:val="20"/>
        </w:rPr>
        <w:t xml:space="preserve"> székhelyét, lakcímét,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ac)</w:t>
      </w:r>
      <w:r>
        <w:rPr>
          <w:rFonts w:ascii="Times New Roman" w:hAnsi="Times New Roman" w:cs="Times New Roman"/>
          <w:sz w:val="20"/>
          <w:szCs w:val="20"/>
        </w:rPr>
        <w:t xml:space="preserve"> statisztikai számjelét,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ad)</w:t>
      </w:r>
      <w:r>
        <w:rPr>
          <w:rFonts w:ascii="Times New Roman" w:hAnsi="Times New Roman" w:cs="Times New Roman"/>
          <w:sz w:val="20"/>
          <w:szCs w:val="20"/>
        </w:rPr>
        <w:t xml:space="preserve"> adószámát (adóazonosító jelét),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ae)</w:t>
      </w:r>
      <w:r>
        <w:rPr>
          <w:rFonts w:ascii="Times New Roman" w:hAnsi="Times New Roman" w:cs="Times New Roman"/>
          <w:sz w:val="20"/>
          <w:szCs w:val="20"/>
        </w:rPr>
        <w:t xml:space="preserve"> képviseletére jogosult, illetve a szerződés teljesítésével összefüggésben eljáró személy nevét;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támogatott cégjegyzékszámát, vagy egyéni vállalkozói igazolvány számát, vagy bírósági nyilvántartási számát, valamint felnőttképzési intézmény esetén akkreditációs számát;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támogatásban részesülőnek az állami adóhatóságnál bejelentett azt a bankszámlaszámát, és számlavezető pénzintézetének megnevezését, ahova a támogatás összege átutalható;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támogatás célját, a felhasználás részletes leírását;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 támogatás összegét, folyósításának módját és ütemezését;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 támogatott program megkezdésének és befejezésének tervezett időpontját, valamint a támogatás felhasználásáról történő szakmai és pénzügyi elszámolás módját és időpontját;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felnőttképzés érdekében végzett fejlesztő tevékenységhez nyújtott támogatás esetén a fejlesztés eredményéhez való hozzáférés biztosításának módját;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a támogatottnak a támogatás felhasználására és elszámolására vonatkozó kötelezettségeit, feladatait;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a támogató szerződéstől való elállásának, illetve felmondásának eseteit;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j)</w:t>
      </w:r>
      <w:r>
        <w:rPr>
          <w:rFonts w:ascii="Times New Roman" w:hAnsi="Times New Roman" w:cs="Times New Roman"/>
          <w:sz w:val="20"/>
          <w:szCs w:val="20"/>
        </w:rPr>
        <w:t xml:space="preserve"> a szerződésszegés, illetve a támogatás nem rendeltetésszerű felhasználásának jogkövetkezményeit;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k)</w:t>
      </w:r>
      <w:r>
        <w:rPr>
          <w:rFonts w:ascii="Times New Roman" w:hAnsi="Times New Roman" w:cs="Times New Roman"/>
          <w:sz w:val="20"/>
          <w:szCs w:val="20"/>
        </w:rPr>
        <w:t xml:space="preserve"> a támogatott nyilatkozatát arról, hogy nincs lejárt határidejű, az államháztartással összefüggő jogszabályok szerinti köztartozása.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támogatott a program lezárását követően a támogatás felhasználásáról – a támogatási szerződésben meghatározottak szerint – köteles elszámolni az (1) és (2) bekezdésében meghatározott szervnek. Az elszámolás kiterjed a támogatás felhasználásának pénzügyi és szakmai szempontú bemutatására egyaránt.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(6) Az NSZFH e rendelet alapján ellátandó feladatai ellátásához, illetve a támogatási programhoz szükséges forrás biztosítására a szakképzési hozzájárulásról és a képzés fejlesztésének támogatásáról szóló 2003. évi </w:t>
      </w:r>
      <w:r>
        <w:rPr>
          <w:rFonts w:ascii="Times New Roman" w:hAnsi="Times New Roman" w:cs="Times New Roman"/>
          <w:sz w:val="20"/>
          <w:szCs w:val="20"/>
        </w:rPr>
        <w:lastRenderedPageBreak/>
        <w:t>LXXXVI. törvény végrehajtásáról szóló 13/2004. (IV. 27.) OM rendelet [a továbbiakban: 13/2004. (IV. 27.) OM rendelet] 12. §-ának (4)–(5) bekezdéseiben foglaltakat megfelelően alkalmazni kell.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25/A. §</w:t>
      </w:r>
      <w:r>
        <w:rPr>
          <w:rFonts w:ascii="Times New Roman" w:hAnsi="Times New Roman" w:cs="Times New Roman"/>
          <w:sz w:val="20"/>
          <w:szCs w:val="20"/>
        </w:rPr>
        <w:t xml:space="preserve"> (1) A csekély összegű támogatás odaítélésének feltétele a kedvezményezett nyilatkozata, mely szerint általa az előző három pénzügyi évben igénybe vett csekély összegű támogatások támogatástartalma nem haladja meg a 200 000 eurónak megfelelő forintösszeget.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több részletben fizetendő támogatást az odaítélése időpontjában érvényes értékre kell diszkontálni.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Minden egyes új csekély összegű támogatás odaítélésekor az adott pénzügyi évben, valamint az előző két pénzügyi év alatt odaítélt csekély összegű támogatás teljes összegét figyelembe kell venni.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csekély összegű támogatások nyújtása esetén a támogatást nyújtónak eleget kell tennie az 1998/2006/EK bizottsági rendelet 3. cikk 1. pontja szerinti tájékoztatási kötelezettségének.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Csekély összegű (de minimis) támogatás nem nyújtható az 1998/2006/EK rendelet 1. cikk 1. pontjában meghatározott tevékenységekhez.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25/B. §</w:t>
      </w:r>
      <w:r>
        <w:rPr>
          <w:rFonts w:ascii="Times New Roman" w:hAnsi="Times New Roman" w:cs="Times New Roman"/>
          <w:sz w:val="20"/>
          <w:szCs w:val="20"/>
        </w:rPr>
        <w:t xml:space="preserve"> (1) A 22. § (7) bekezdésében meghatározott támogatás nem nyújtható: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800/2008/EK rendelet 1. cikk (3)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foglalt tevékenységekhez;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800/2008/EK rendelet 1. cikk (6) bekezdésében meghatározott esetekben.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E rendelet alapján támogatás csak akkor ítélhető meg, ha a kedvezményezett még a projekttel kapcsolatos munkálatok vagy tevékenységek megkezdése előtt a támogatás iránti kérelmét benyújtja. Egyedi támogatás megítélését megelőzően nagyvállalkozások esetében a fentieken kívül a kedvezményezettek kötelesek bizonyítani, hogy a támogatás segítségével a következő kritériumok közül legalább egy teljesül: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lényegesen növekszik a projekt mérete,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kiszélesedik a tevékenység köre,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növekszik a kedvezményezett által a támogatáson kívül a projektre fordítandó összeg,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lényegesen felgyorsul a projekt végrehajtási üteme,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regionális beruházási támogatás esetében a projekt a támogatás hiányában nem az érintett támogatott régióban valósult volna meg.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rendeletben szereplő, a 800/2008/EK bizottsági rendelet hatálya alá tartozó támogatási jogcímen nyújtott támogatás különböző elszámolható költségek esetén halmozható más, a 800/2008/EK bizottsági rendelet hatálya alá tartozó támogatási jogcímen nyújtott támogatással. Azonos, vagy részben azonos elszámolható költségek esetében a 800/2008/EK bizottsági rendelet hatálya alá tartozó támogatási jogcímen nyújtott támogatás abban az esetben halmozható más, a 800/2008/EK bizottsági rendelet hatálya alá tartozó támogatási jogcímen nyújtott támogatással, illetve csekély összegű támogatással, ha az nem vezet a 800/2008/EK bizottsági rendelet szerinti legmagasabb támogatási intenzitás, illetve támogatási összeg túllépéséhez.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6. §-ban, valamint a 8–10. §-ban meghatározott, vállalkozások részére nyújtott, valamint a 17. §, és a 19–20. § alapján nyújtott támogatások esetében a kedvezményezetteknek és a támogatást nyújtó szervnek a támogatás igénylését, felhasználását, ellenőrzését alátámasztó bizonylatokat, dokumentumokat és nyilvántartásokat, valamint minden olyan nyilvántartást, amely az elszámolható költségeket és a megengedhető maximális támogatási intenzitás betartására vonatkozó információkat tartalmazza, a támogatás odaítélésétől számított 10 évig meg kell őrizniük.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PÁLYÁZATI ELJÁRÁS KÜLÖNÖS SZABÁLYAI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26. §</w:t>
      </w:r>
      <w:r>
        <w:rPr>
          <w:rFonts w:ascii="Times New Roman" w:hAnsi="Times New Roman" w:cs="Times New Roman"/>
          <w:sz w:val="20"/>
          <w:szCs w:val="20"/>
        </w:rPr>
        <w:t xml:space="preserve"> (1) A pályázati eljárás alapján nyújtható támogatások esetén a nyilvános pályázatot az NSZFH írja ki, és – a miniszter döntése és utasítása alapján – ellátja a pályázati program teljes körű végrehajtását.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NSZFH által az (1) bekezdés alapján ellátandó feladatokra, pályázatok értékelésére vonatkozóan a 13/2004. (IV. 27.) OM rendelet 12. §-ának (3) és (6) bekezdésében, valamint a 14. §-ában foglalt rendelkezések az irányadók azzal, hogy e rendelet alapján nyújtott támogatások esetében a pályázatok bírálatába az állami foglalkoztatási szervként eljáró fővárosi és megyei kormányhivatalt (a továbbiakban: kormányhivatal) nem kell bevonni.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pályázati kiírásnak a következőket kell tartalmaznia: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pályázat kiírójának megnevezését,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pályázat célját,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támogathatók körét,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támogatás felhasználására vonatkozó feltételeket, beleértve a nyertes pályázókkal kötendő szerződési feltételeket is,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e)</w:t>
      </w:r>
      <w:r>
        <w:rPr>
          <w:rFonts w:ascii="Times New Roman" w:hAnsi="Times New Roman" w:cs="Times New Roman"/>
          <w:sz w:val="20"/>
          <w:szCs w:val="20"/>
        </w:rPr>
        <w:t xml:space="preserve"> a támogatás további feltételeit,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 pályázat beküldésének határidejét és helyét,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az elbírálásnál előnyt jelentő szempontokat,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a pályázathoz benyújtandó dokumentumok körét,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a pályázat eredményéről történő tájékoztatás módját, határidejét.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pályázatnak tartalmaznia kell: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pályázó nevét (cégneve), címét (székhelye), adószámát és statisztikai számjelét,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bankszámlaszámát, ahová a támogatás összege utalandó,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megvalósítandó program leírását, célját,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igényelt támogatás összegét,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 program megvalósításának tervezett kezdő és befejező időpontját.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pályázótól – a pályázat befogadásának feltételeként – írásbeli nyilatkozatot kell kérni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pályázatban foglalt adatok, információk és dokumentumok valódiságáról és hitelességéről, valamint arról, hogy az adott tárgyban pályázatot korábban mikor és hol nyújtott be,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annak tudomásul vételéről, hogy köztartozás fennállása esetén a pályázót a köztartozás megfizetéséig a támogatás nem illeti meg, az esedékes támogatások folyósítása az államháztartás működési rendjéről szóló 217/1998. (XII. 30.) Korm. rendelet (a továbbiakban: Kr.) 92. §-ának (5) bekezdése szerint felfüggesztésre kerül, illetve az Áht. 13/A. §-ának (6) bekezdése alapján az esedékes támogatás a köztartozások megfizetése érdekében – a támogatás ellenében vállalt kötelezettségeket nem érintő módon – visszatartható,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ahhoz történő hozzájárulásáról, hogy a köztartozások – az Áht. 13/A. §-ának (4) bekezdésében és a Kr. 92. §-ának (4) bekezdésében foglaltak szerinti – figyelemmel kísérése céljából a pályázó adószámát, társadalombiztosítási folyószámla számát a támogatást nyújtó szerv és a Kincstár felhasználja a lejárt köztartozások teljesítése, illetőleg az adósság bekövetkezése tényének és összegének megismeréséhez,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annak tudomásul vételéről, hogy a támogatás kedvezményezettjének megnevezése, a támogatás tárgya, a támogatás összege, a támogatott program megvalósítási helye e rendeletben szabályozott módon nyilvánosságra hozható,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arról, hogy az államháztartás alrendszereiből folyósított támogatásból eredő lejárt és ki nem egyenlített tartozása nincs,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arról, hogy a pályázat szabályszerűségének és a támogatás rendeltetésszerű felhasználásának jogszabályban meghatározott szervek által történő ellenőrzéséhez hozzájárul,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a szakképzési hozzájárulásra kötelezett, illetve más gazdálkodó szervezet esetében arról, hogy a pályázat elbírálásáig, illetve a támogatási szerződés lejártáig bejelenti, ha ellene csőd- vagy végelszámolási, illetve felszámolási eljárás indult.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A támogatási előleg nyújtásának a 24. § (3) bekezdésben meghatározottakon túl feltétele, hogy a támogatási előleg igénylésére vonatkozó lehetőséget a pályázati kiírás tartalmazza, az erre vonatkozó igényt a pályázó már a pályázatában is jelezze, és azt a támogatási szerződés tartalmazza.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EGYEDI DÖNTÉSSEL NYÚJTOTT TÁMOGATÁSOK KÜLÖNÖS SZABÁLYAI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27. §</w:t>
      </w:r>
      <w:r>
        <w:rPr>
          <w:rFonts w:ascii="Times New Roman" w:hAnsi="Times New Roman" w:cs="Times New Roman"/>
          <w:sz w:val="20"/>
          <w:szCs w:val="20"/>
        </w:rPr>
        <w:t xml:space="preserve"> (1) Az egyedi döntés alapján nyújtható támogatásról a miniszter az erre irányuló kérelem, illetve előterjesztés alapján dönt.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Egyedi döntés alapján nyújtott támogatás esetén – a (4) bekezdésben foglaltak kivételével – a 25. § (2) bekezdése alapján az NSZFH vagy a Minisztérium a támogatási szerződésben meghatározottak szerint: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ellátja a támogatásoknak a támogatottak részére történő utalásával kapcsolatos feladatokat,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dönt a támogatottak által benyújtott beszámolók elfogadásáról,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intézkedik a támogatottakkal szemben a visszafizetési kötelezettségek elrendeléséről, fogadja a visszafizetésekből befolyt bevételeket.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támogatási előleg nyújtásának a 24. § (3) bekezdésben meghatározottakon túl feltétele, hogy a támogatási előlegre vonatkozó igényt a kérelem, illetőleg az előterjesztés – összegszerűen és részletesen megindokolva – jelezze, és azt a támogatási szerződés tartalmazza.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 4–5. §-ban meghatározott programban részt vevő felnőtt részére a foglalkoztatása elősegítéséhez szükséges képzés díjának részben vagy egészben történő megtérítése tekintetében a foglalkoztatást elősegítő támogatásokról, valamint a Nemzeti Foglalkoztatási Alapból foglalkoztatási válsághelyzetek kezelésére nyújtható támogatásokról szóló 6/1996. (VII. 16.) MüM rendeletnek a foglalkoztatást elősegítő képzésben történő részvétel támogatására vonatkozó szabályait kell megfelelően alkalmazni a 3. § (2)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pontja és a 6. § (3) bekezdése kivételével azzal, hogy a kormányhivatal ellátja a támogatás folyósításával és </w:t>
      </w:r>
      <w:r>
        <w:rPr>
          <w:rFonts w:ascii="Times New Roman" w:hAnsi="Times New Roman" w:cs="Times New Roman"/>
          <w:sz w:val="20"/>
          <w:szCs w:val="20"/>
        </w:rPr>
        <w:lastRenderedPageBreak/>
        <w:t>ellenőrzésével, valamint elszámoltatásával kapcsolatos feladatokat. A kormányhivatalok pénzeszközökkel való ellátása, valamint a kötelezettségvállalás, utalványozás, ellenjegyzés, érvényesítés a Nemzeti Foglalkoztatási Alap kezelésére és felhasználására vonatkozó külön jogszabályok szerint történik a miniszteri döntésben foglaltak figyelembevételével.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ELLENŐRZÉS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28. §</w:t>
      </w:r>
      <w:r>
        <w:rPr>
          <w:rFonts w:ascii="Times New Roman" w:hAnsi="Times New Roman" w:cs="Times New Roman"/>
          <w:sz w:val="20"/>
          <w:szCs w:val="20"/>
        </w:rPr>
        <w:t xml:space="preserve"> (1) E rendelet alapján nyújtott támogatás felhasználásának jogszerűségét a Minisztérium, illetve – a 11. § (1) bekezdésében meghatározott támogatás kivételével – az NSZFH ellenőrzi. Ezen túlmenően a 4. és 5. §-ban meghatározott programban részt vevő felnőtt részére nyújtott támogatás esetén a kormányhivatal is ellenőrzést végez.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ellenőrzés során az (1) bekezdésben meghatározott szervezet, illetve személy a támogatási megállapodás teljesülésével, a támogatási összeg jogszerű felhasználásával kapcsolatban vizsgálatot tarthat, iratokat és más dokumentációkat kérhet, azokról másolatot, illetve kivonatot készíthet.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támogatott köteles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ellenőrzésre jogosult megkeresésének soron kívül eleget tenni,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ellenőrzésre jogosult részére szóban vagy írásban tájékoztatást adni, és a dokumentációs anyagokba a betekintést lehetővé tenni,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ellenőrzést végző személy kérésére az általa szolgáltatott adatok és rendelkezésre bocsátott dokumentáció teljességéről nyilatkozatot tenni,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ellenőrzés zavartalan elvégzéséhez szükséges egyéb feltételeket megteremteni.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támogatott köteles az (1) bekezdésben meghatározott szervezet, illetve személy ellenőrzési jogköre gyakorlásának biztosítása érdekében az e rendelet alapján nyújtott támogatásokra vonatkozó dokumentumokat – a támogatásokra vonatkozó támogatási szerződés megkötésétől számított – 5 évig, a 8–9. §, a 17. § és a 19–20. §-ok szerinti támogatás esetén 10 évig megőrizni.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JOGKÖVETKEZMÉNYEK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29. §</w:t>
      </w:r>
      <w:r>
        <w:rPr>
          <w:rFonts w:ascii="Times New Roman" w:hAnsi="Times New Roman" w:cs="Times New Roman"/>
          <w:sz w:val="20"/>
          <w:szCs w:val="20"/>
        </w:rPr>
        <w:t xml:space="preserve"> (1) A támogatottat a részéről felmerült jogszabálysértés, továbbá a támogatási szerződés által előírt kötelezettségek nem szerződésszerű teljesítése, valamint a támogatás jogszerűtlen felhasználása esetén visszafizetési és kamatfizetési kötelezettség terheli.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bekezdésben meghatározott eseteken túlmenően visszafizetési és kamatfizetési kötelezettség terheli a támogatottat abban az esetben is, ha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ellenőrzést szándékosan meghiúsította, vagy az ellenőrzés lefolytatását akadályozta, vagy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ellenőrzéshez szükséges dokumentumokat felhívásra nem bocsátotta rendelkezésre.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visszafizetési és kamatfizetési kötelezettség a támogatottat a jogszabálysértés, a támogatási megállapodásban rögzített kötelezettségek nem szerződésszerű teljesítése, a támogatási összeg jogszerűtlen felhasználása kezdetének, illetve az ellenőrzés meghiúsítása, akadályozása időpontjaként megállapítható időponttól terheli. A kamat napi mértéke a mindenkori jegybanki alapkamat 365-öd részének kétszerese.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ZÁRÓ RENDELKEZÉSEK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30. §</w:t>
      </w:r>
      <w:r>
        <w:rPr>
          <w:rFonts w:ascii="Times New Roman" w:hAnsi="Times New Roman" w:cs="Times New Roman"/>
          <w:sz w:val="20"/>
          <w:szCs w:val="20"/>
        </w:rPr>
        <w:t xml:space="preserve"> (1) Ez a rendelet a kihirdetését követő 3. napon lép hatályba, rendelkezéseit a hatálybalépését követően hozott miniszteri döntés, illetőleg a 20. § alapján megkötött keretmegállapodás alapján nyújtott támogatások tekintetében kell alkalmazni.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E rendelet alapján az 1998/2006/EK bizottsági rendelet hatálya alá tartozó csekély összegű (de minimis) támogatásokra vonatkozóan támogatási döntést 2013. december 31-ig lehet hozni.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E rendelet alapján a 800/2008/EK bizottsági rendelet hatálya alá tartozó támogatásokra vonatkozóan támogatási döntést 2013. december 31-ig lehet hozni.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E rendelet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Szerződés 87. és 88 cikke alkalmazásában a támogatások bizonyos fajtáinak a közös piaccal összeegyeztethetőnek nyilvánításáról szóló, 2008. augusztus 6-i 800/2008/EK bizottsági rendelet (általános csoportmentességi rendelet) (HL L 214., 2008. 08. 09., 3–47. o.); valamint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b)</w:t>
      </w:r>
      <w:r>
        <w:rPr>
          <w:rFonts w:ascii="Times New Roman" w:hAnsi="Times New Roman" w:cs="Times New Roman"/>
          <w:sz w:val="20"/>
          <w:szCs w:val="20"/>
        </w:rPr>
        <w:t xml:space="preserve"> a Szerződés 87. és 88. cikkének a de minimis támogatásokra való alkalmazásáról szóló, 2006. december 15-i 1998/2006/EK bizottsági rendelet (HL L 379., 2006.12.28., 5.o.) hatálya alá tartozó támogatást tartalmaz.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Melléklet a 15/2007. (IV. 13.) SZMM rendelethez</w:t>
      </w: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Támogatási kérelem a beruházásösztönző képzési célú támogatás megállapításához</w:t>
      </w:r>
    </w:p>
    <w:p w:rsidR="005A1BC9" w:rsidRDefault="005A1BC9" w:rsidP="005A1B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824"/>
      </w:tblGrid>
      <w:tr w:rsidR="005A1BC9">
        <w:tblPrEx>
          <w:tblCellMar>
            <w:top w:w="0" w:type="dxa"/>
            <w:bottom w:w="0" w:type="dxa"/>
          </w:tblCellMar>
        </w:tblPrEx>
        <w:tc>
          <w:tcPr>
            <w:tcW w:w="9824" w:type="dxa"/>
          </w:tcPr>
          <w:p w:rsidR="005A1BC9" w:rsidRDefault="005A1BC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 befektető</w:t>
            </w:r>
          </w:p>
        </w:tc>
      </w:tr>
      <w:tr w:rsidR="005A1BC9">
        <w:tblPrEx>
          <w:tblCellMar>
            <w:top w:w="0" w:type="dxa"/>
            <w:bottom w:w="0" w:type="dxa"/>
          </w:tblCellMar>
        </w:tblPrEx>
        <w:tc>
          <w:tcPr>
            <w:tcW w:w="9824" w:type="dxa"/>
          </w:tcPr>
          <w:p w:rsidR="005A1BC9" w:rsidRDefault="005A1BC9">
            <w:pPr>
              <w:widowControl w:val="0"/>
              <w:tabs>
                <w:tab w:val="right" w:leader="dot" w:pos="9638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5A1BC9">
        <w:tblPrEx>
          <w:tblCellMar>
            <w:top w:w="0" w:type="dxa"/>
            <w:bottom w:w="0" w:type="dxa"/>
          </w:tblCellMar>
        </w:tblPrEx>
        <w:tc>
          <w:tcPr>
            <w:tcW w:w="9824" w:type="dxa"/>
          </w:tcPr>
          <w:p w:rsidR="005A1BC9" w:rsidRDefault="005A1BC9">
            <w:pPr>
              <w:widowControl w:val="0"/>
              <w:tabs>
                <w:tab w:val="right" w:leader="dot" w:pos="9638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székhelye: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5A1BC9">
        <w:tblPrEx>
          <w:tblCellMar>
            <w:top w:w="0" w:type="dxa"/>
            <w:bottom w:w="0" w:type="dxa"/>
          </w:tblCellMar>
        </w:tblPrEx>
        <w:tc>
          <w:tcPr>
            <w:tcW w:w="9824" w:type="dxa"/>
          </w:tcPr>
          <w:p w:rsidR="005A1BC9" w:rsidRDefault="005A1BC9">
            <w:pPr>
              <w:widowControl w:val="0"/>
              <w:tabs>
                <w:tab w:val="right" w:leader="dot" w:pos="9638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telephelye/fiókhelyei: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5A1BC9">
        <w:tblPrEx>
          <w:tblCellMar>
            <w:top w:w="0" w:type="dxa"/>
            <w:bottom w:w="0" w:type="dxa"/>
          </w:tblCellMar>
        </w:tblPrEx>
        <w:tc>
          <w:tcPr>
            <w:tcW w:w="9824" w:type="dxa"/>
          </w:tcPr>
          <w:p w:rsidR="005A1BC9" w:rsidRDefault="005A1BC9">
            <w:pPr>
              <w:widowControl w:val="0"/>
              <w:tabs>
                <w:tab w:val="right" w:leader="dot" w:pos="9638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levelezési címe: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5A1BC9">
        <w:tblPrEx>
          <w:tblCellMar>
            <w:top w:w="0" w:type="dxa"/>
            <w:bottom w:w="0" w:type="dxa"/>
          </w:tblCellMar>
        </w:tblPrEx>
        <w:tc>
          <w:tcPr>
            <w:tcW w:w="9824" w:type="dxa"/>
          </w:tcPr>
          <w:p w:rsidR="005A1BC9" w:rsidRDefault="005A1BC9">
            <w:pPr>
              <w:widowControl w:val="0"/>
              <w:tabs>
                <w:tab w:val="right" w:leader="dot" w:pos="9638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telefonszáma,  faxszáma, e-mail címe: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5A1BC9">
        <w:tblPrEx>
          <w:tblCellMar>
            <w:top w:w="0" w:type="dxa"/>
            <w:bottom w:w="0" w:type="dxa"/>
          </w:tblCellMar>
        </w:tblPrEx>
        <w:tc>
          <w:tcPr>
            <w:tcW w:w="9824" w:type="dxa"/>
          </w:tcPr>
          <w:p w:rsidR="005A1BC9" w:rsidRDefault="005A1BC9">
            <w:pPr>
              <w:widowControl w:val="0"/>
              <w:tabs>
                <w:tab w:val="right" w:leader="dot" w:pos="9638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adószáma: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5A1BC9">
        <w:tblPrEx>
          <w:tblCellMar>
            <w:top w:w="0" w:type="dxa"/>
            <w:bottom w:w="0" w:type="dxa"/>
          </w:tblCellMar>
        </w:tblPrEx>
        <w:tc>
          <w:tcPr>
            <w:tcW w:w="9824" w:type="dxa"/>
          </w:tcPr>
          <w:p w:rsidR="005A1BC9" w:rsidRDefault="005A1BC9">
            <w:pPr>
              <w:widowControl w:val="0"/>
              <w:tabs>
                <w:tab w:val="right" w:leader="dot" w:pos="9638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számlavezető pénzintézetének neve és a támogatás fogadására szolgáló bankszámlaszáma: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5A1BC9">
        <w:tblPrEx>
          <w:tblCellMar>
            <w:top w:w="0" w:type="dxa"/>
            <w:bottom w:w="0" w:type="dxa"/>
          </w:tblCellMar>
        </w:tblPrEx>
        <w:tc>
          <w:tcPr>
            <w:tcW w:w="9824" w:type="dxa"/>
          </w:tcPr>
          <w:p w:rsidR="005A1BC9" w:rsidRDefault="005A1BC9">
            <w:pPr>
              <w:widowControl w:val="0"/>
              <w:tabs>
                <w:tab w:val="right" w:leader="dot" w:pos="9638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cégbírósági bejegyzésének száma: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5A1BC9">
        <w:tblPrEx>
          <w:tblCellMar>
            <w:top w:w="0" w:type="dxa"/>
            <w:bottom w:w="0" w:type="dxa"/>
          </w:tblCellMar>
        </w:tblPrEx>
        <w:tc>
          <w:tcPr>
            <w:tcW w:w="9824" w:type="dxa"/>
          </w:tcPr>
          <w:p w:rsidR="005A1BC9" w:rsidRDefault="005A1BC9">
            <w:pPr>
              <w:widowControl w:val="0"/>
              <w:tabs>
                <w:tab w:val="right" w:leader="dot" w:pos="9638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tevékenységi köre: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5A1BC9">
        <w:tblPrEx>
          <w:tblCellMar>
            <w:top w:w="0" w:type="dxa"/>
            <w:bottom w:w="0" w:type="dxa"/>
          </w:tblCellMar>
        </w:tblPrEx>
        <w:tc>
          <w:tcPr>
            <w:tcW w:w="9824" w:type="dxa"/>
          </w:tcPr>
          <w:p w:rsidR="005A1BC9" w:rsidRDefault="005A1BC9">
            <w:pPr>
              <w:widowControl w:val="0"/>
              <w:tabs>
                <w:tab w:val="right" w:leader="dot" w:pos="9638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képviseletére jogosult neve, beosztása, telefonszáma és e-mail címe: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5A1BC9">
        <w:tblPrEx>
          <w:tblCellMar>
            <w:top w:w="0" w:type="dxa"/>
            <w:bottom w:w="0" w:type="dxa"/>
          </w:tblCellMar>
        </w:tblPrEx>
        <w:tc>
          <w:tcPr>
            <w:tcW w:w="9824" w:type="dxa"/>
          </w:tcPr>
          <w:p w:rsidR="005A1BC9" w:rsidRDefault="005A1BC9">
            <w:pPr>
              <w:widowControl w:val="0"/>
              <w:tabs>
                <w:tab w:val="right" w:leader="dot" w:pos="9638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megbízott kapcsolattartójának neve telefonszáma és e-mail címe: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5A1BC9">
        <w:tblPrEx>
          <w:tblCellMar>
            <w:top w:w="0" w:type="dxa"/>
            <w:bottom w:w="0" w:type="dxa"/>
          </w:tblCellMar>
        </w:tblPrEx>
        <w:tc>
          <w:tcPr>
            <w:tcW w:w="9824" w:type="dxa"/>
          </w:tcPr>
          <w:p w:rsidR="005A1BC9" w:rsidRDefault="005A1BC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 beruházás</w:t>
            </w:r>
          </w:p>
        </w:tc>
      </w:tr>
      <w:tr w:rsidR="005A1BC9">
        <w:tblPrEx>
          <w:tblCellMar>
            <w:top w:w="0" w:type="dxa"/>
            <w:bottom w:w="0" w:type="dxa"/>
          </w:tblCellMar>
        </w:tblPrEx>
        <w:tc>
          <w:tcPr>
            <w:tcW w:w="9824" w:type="dxa"/>
          </w:tcPr>
          <w:p w:rsidR="005A1BC9" w:rsidRDefault="005A1BC9">
            <w:pPr>
              <w:widowControl w:val="0"/>
              <w:tabs>
                <w:tab w:val="right" w:leader="dot" w:pos="9638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megvalósításának helye: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5A1BC9">
        <w:tblPrEx>
          <w:tblCellMar>
            <w:top w:w="0" w:type="dxa"/>
            <w:bottom w:w="0" w:type="dxa"/>
          </w:tblCellMar>
        </w:tblPrEx>
        <w:tc>
          <w:tcPr>
            <w:tcW w:w="9824" w:type="dxa"/>
          </w:tcPr>
          <w:p w:rsidR="005A1BC9" w:rsidRDefault="005A1BC9">
            <w:pPr>
              <w:widowControl w:val="0"/>
              <w:tabs>
                <w:tab w:val="right" w:leader="dot" w:pos="9638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megvalósításának kezdetének és befejezésének pontos (év, hó, nap) időpontjai: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5A1BC9">
        <w:tblPrEx>
          <w:tblCellMar>
            <w:top w:w="0" w:type="dxa"/>
            <w:bottom w:w="0" w:type="dxa"/>
          </w:tblCellMar>
        </w:tblPrEx>
        <w:tc>
          <w:tcPr>
            <w:tcW w:w="9824" w:type="dxa"/>
          </w:tcPr>
          <w:p w:rsidR="005A1BC9" w:rsidRDefault="005A1BC9">
            <w:pPr>
              <w:widowControl w:val="0"/>
              <w:tabs>
                <w:tab w:val="right" w:leader="dot" w:pos="9638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beruházással létrehozott új munkahelyek száma: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</w:tbl>
    <w:p w:rsidR="005A1BC9" w:rsidRDefault="005A1BC9" w:rsidP="005A1B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394"/>
        <w:gridCol w:w="1391"/>
        <w:gridCol w:w="1391"/>
        <w:gridCol w:w="1391"/>
        <w:gridCol w:w="1391"/>
        <w:gridCol w:w="1391"/>
        <w:gridCol w:w="1463"/>
      </w:tblGrid>
      <w:tr w:rsidR="005A1BC9" w:rsidTr="005A1BC9">
        <w:tblPrEx>
          <w:tblCellMar>
            <w:top w:w="0" w:type="dxa"/>
            <w:bottom w:w="0" w:type="dxa"/>
          </w:tblCellMar>
        </w:tblPrEx>
        <w:tc>
          <w:tcPr>
            <w:tcW w:w="9812" w:type="dxa"/>
            <w:gridSpan w:val="7"/>
          </w:tcPr>
          <w:p w:rsidR="005A1BC9" w:rsidRDefault="005A1B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beruházáshoz kapcsolódó támogatásban részesítendő képzések</w:t>
            </w:r>
          </w:p>
        </w:tc>
      </w:tr>
      <w:tr w:rsidR="005A1BC9">
        <w:tblPrEx>
          <w:tblCellMar>
            <w:top w:w="0" w:type="dxa"/>
            <w:bottom w:w="0" w:type="dxa"/>
          </w:tblCellMar>
        </w:tblPrEx>
        <w:tc>
          <w:tcPr>
            <w:tcW w:w="1394" w:type="dxa"/>
          </w:tcPr>
          <w:p w:rsidR="005A1BC9" w:rsidRDefault="005A1B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A képzés megnevezése</w:t>
            </w:r>
          </w:p>
        </w:tc>
        <w:tc>
          <w:tcPr>
            <w:tcW w:w="1391" w:type="dxa"/>
          </w:tcPr>
          <w:p w:rsidR="005A1BC9" w:rsidRDefault="005A1B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A képzés típusa (általános) speciális). Általános képzés esetén OKJ-s vagy akkreditációs azonosító száma</w:t>
            </w:r>
          </w:p>
        </w:tc>
        <w:tc>
          <w:tcPr>
            <w:tcW w:w="1391" w:type="dxa"/>
          </w:tcPr>
          <w:p w:rsidR="005A1BC9" w:rsidRDefault="005A1B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A képzés típusa (belső/külső képzés).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br/>
              <w:t>Belső képzés esetén a beruházó felnőttképzési nyilvántartási száma, külső képzés esetén a felnőttképzési intézmény akkreditációs száma</w:t>
            </w:r>
          </w:p>
        </w:tc>
        <w:tc>
          <w:tcPr>
            <w:tcW w:w="1391" w:type="dxa"/>
          </w:tcPr>
          <w:p w:rsidR="005A1BC9" w:rsidRDefault="005A1B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A képzés megkezdésének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br/>
              <w:t xml:space="preserve">és lezárásának pontos időpontjai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br/>
              <w:t>(év, hó, nap)</w:t>
            </w:r>
          </w:p>
        </w:tc>
        <w:tc>
          <w:tcPr>
            <w:tcW w:w="1391" w:type="dxa"/>
          </w:tcPr>
          <w:p w:rsidR="005A1BC9" w:rsidRDefault="005A1B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A képzés összes óraszáma</w:t>
            </w:r>
          </w:p>
        </w:tc>
        <w:tc>
          <w:tcPr>
            <w:tcW w:w="1391" w:type="dxa"/>
          </w:tcPr>
          <w:p w:rsidR="005A1BC9" w:rsidRDefault="005A1B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A képzésben részt vevő felnőttek létszáma</w:t>
            </w:r>
          </w:p>
        </w:tc>
        <w:tc>
          <w:tcPr>
            <w:tcW w:w="1463" w:type="dxa"/>
          </w:tcPr>
          <w:p w:rsidR="005A1BC9" w:rsidRDefault="005A1B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Ebből fogyatékos-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br/>
              <w:t xml:space="preserve">sággal élő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br/>
              <w:t>vagy hátrányos helyzetű felnőttek létszáma</w:t>
            </w:r>
          </w:p>
        </w:tc>
      </w:tr>
      <w:tr w:rsidR="005A1BC9">
        <w:tblPrEx>
          <w:tblCellMar>
            <w:top w:w="0" w:type="dxa"/>
            <w:bottom w:w="0" w:type="dxa"/>
          </w:tblCellMar>
        </w:tblPrEx>
        <w:tc>
          <w:tcPr>
            <w:tcW w:w="1394" w:type="dxa"/>
          </w:tcPr>
          <w:p w:rsidR="005A1BC9" w:rsidRDefault="005A1B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</w:tcPr>
          <w:p w:rsidR="005A1BC9" w:rsidRDefault="005A1B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</w:tcPr>
          <w:p w:rsidR="005A1BC9" w:rsidRDefault="005A1B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</w:tcPr>
          <w:p w:rsidR="005A1BC9" w:rsidRDefault="005A1B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</w:tcPr>
          <w:p w:rsidR="005A1BC9" w:rsidRDefault="005A1B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</w:tcPr>
          <w:p w:rsidR="005A1BC9" w:rsidRDefault="005A1B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3" w:type="dxa"/>
          </w:tcPr>
          <w:p w:rsidR="005A1BC9" w:rsidRDefault="005A1B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1BC9" w:rsidTr="005A1BC9">
        <w:tblPrEx>
          <w:tblCellMar>
            <w:top w:w="0" w:type="dxa"/>
            <w:bottom w:w="0" w:type="dxa"/>
          </w:tblCellMar>
        </w:tblPrEx>
        <w:tc>
          <w:tcPr>
            <w:tcW w:w="5567" w:type="dxa"/>
            <w:gridSpan w:val="4"/>
          </w:tcPr>
          <w:p w:rsidR="005A1BC9" w:rsidRDefault="005A1B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</w:tcPr>
          <w:p w:rsidR="005A1BC9" w:rsidRDefault="005A1B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</w:tcPr>
          <w:p w:rsidR="005A1BC9" w:rsidRDefault="005A1B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3" w:type="dxa"/>
          </w:tcPr>
          <w:p w:rsidR="005A1BC9" w:rsidRDefault="005A1B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1BC9" w:rsidTr="005A1BC9">
        <w:tblPrEx>
          <w:tblCellMar>
            <w:top w:w="0" w:type="dxa"/>
            <w:bottom w:w="0" w:type="dxa"/>
          </w:tblCellMar>
        </w:tblPrEx>
        <w:tc>
          <w:tcPr>
            <w:tcW w:w="9812" w:type="dxa"/>
            <w:gridSpan w:val="7"/>
          </w:tcPr>
          <w:p w:rsidR="005A1BC9" w:rsidRDefault="005A1BC9">
            <w:pPr>
              <w:tabs>
                <w:tab w:val="right" w:leader="dot" w:pos="9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beruházáshoz kapcsolódó képzési program kezdetének és befejezésének pontos (év, hó, nap) időpontjai: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5A1BC9" w:rsidTr="005A1BC9">
        <w:tblPrEx>
          <w:tblCellMar>
            <w:top w:w="0" w:type="dxa"/>
            <w:bottom w:w="0" w:type="dxa"/>
          </w:tblCellMar>
        </w:tblPrEx>
        <w:tc>
          <w:tcPr>
            <w:tcW w:w="9812" w:type="dxa"/>
            <w:gridSpan w:val="7"/>
          </w:tcPr>
          <w:p w:rsidR="005A1BC9" w:rsidRDefault="005A1BC9">
            <w:pPr>
              <w:tabs>
                <w:tab w:val="right" w:leader="dot" w:pos="9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képzések teljes költsége: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5A1BC9" w:rsidTr="005A1BC9">
        <w:tblPrEx>
          <w:tblCellMar>
            <w:top w:w="0" w:type="dxa"/>
            <w:bottom w:w="0" w:type="dxa"/>
          </w:tblCellMar>
        </w:tblPrEx>
        <w:tc>
          <w:tcPr>
            <w:tcW w:w="9812" w:type="dxa"/>
            <w:gridSpan w:val="7"/>
          </w:tcPr>
          <w:p w:rsidR="005A1BC9" w:rsidRDefault="005A1BC9">
            <w:pPr>
              <w:tabs>
                <w:tab w:val="right" w:leader="dot" w:pos="9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képzésekhez igényelt támogatás összege: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</w:tbl>
    <w:p w:rsidR="005A1BC9" w:rsidRDefault="005A1BC9" w:rsidP="005A1B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824"/>
      </w:tblGrid>
      <w:tr w:rsidR="005A1BC9">
        <w:tblPrEx>
          <w:tblCellMar>
            <w:top w:w="0" w:type="dxa"/>
            <w:bottom w:w="0" w:type="dxa"/>
          </w:tblCellMar>
        </w:tblPrEx>
        <w:tc>
          <w:tcPr>
            <w:tcW w:w="9824" w:type="dxa"/>
          </w:tcPr>
          <w:p w:rsidR="005A1BC9" w:rsidRDefault="005A1B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Foglalkoztatási kötelezettség</w:t>
            </w:r>
          </w:p>
        </w:tc>
      </w:tr>
      <w:tr w:rsidR="005A1BC9">
        <w:tblPrEx>
          <w:tblCellMar>
            <w:top w:w="0" w:type="dxa"/>
            <w:bottom w:w="0" w:type="dxa"/>
          </w:tblCellMar>
        </w:tblPrEx>
        <w:tc>
          <w:tcPr>
            <w:tcW w:w="9824" w:type="dxa"/>
          </w:tcPr>
          <w:p w:rsidR="005A1BC9" w:rsidRDefault="005A1BC9">
            <w:pPr>
              <w:tabs>
                <w:tab w:val="right" w:leader="dot" w:pos="9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képzésben részt vevők összlétszámából a foglalkoztatási kötelezettség szempontjából figyelembe vehető létszám: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5A1BC9">
        <w:tblPrEx>
          <w:tblCellMar>
            <w:top w:w="0" w:type="dxa"/>
            <w:bottom w:w="0" w:type="dxa"/>
          </w:tblCellMar>
        </w:tblPrEx>
        <w:tc>
          <w:tcPr>
            <w:tcW w:w="9824" w:type="dxa"/>
          </w:tcPr>
          <w:p w:rsidR="005A1BC9" w:rsidRDefault="005A1BC9">
            <w:pPr>
              <w:tabs>
                <w:tab w:val="right" w:leader="dot" w:pos="9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vállalt foglalkoztatottak száma: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</w:tbl>
    <w:p w:rsidR="005A1BC9" w:rsidRDefault="005A1BC9" w:rsidP="005A1B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Dátum: ...................................................</w:t>
      </w:r>
    </w:p>
    <w:p w:rsidR="005A1BC9" w:rsidRDefault="005A1BC9" w:rsidP="005A1B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P. H.</w:t>
      </w:r>
    </w:p>
    <w:p w:rsidR="005A1BC9" w:rsidRDefault="005A1BC9" w:rsidP="005A1BC9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............................................</w:t>
      </w:r>
    </w:p>
    <w:p w:rsidR="005A1BC9" w:rsidRDefault="005A1BC9" w:rsidP="005A1BC9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cégszerű aláírás</w:t>
      </w:r>
    </w:p>
    <w:p w:rsidR="005A1BC9" w:rsidRDefault="005A1BC9" w:rsidP="005A1B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A1BC9" w:rsidRDefault="005A1BC9" w:rsidP="005A1B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A66EA" w:rsidRDefault="00FA66EA">
      <w:bookmarkStart w:id="0" w:name="_GoBack"/>
      <w:bookmarkEnd w:id="0"/>
    </w:p>
    <w:sectPr w:rsidR="00FA66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BC9"/>
    <w:rsid w:val="005A1BC9"/>
    <w:rsid w:val="00FA6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4973</Words>
  <Characters>34320</Characters>
  <Application>Microsoft Office Word</Application>
  <DocSecurity>0</DocSecurity>
  <Lines>286</Lines>
  <Paragraphs>78</Paragraphs>
  <ScaleCrop>false</ScaleCrop>
  <Company/>
  <LinksUpToDate>false</LinksUpToDate>
  <CharactersWithSpaces>39215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 dr.</dc:creator>
  <cp:lastModifiedBy>Bodrogi István dr.</cp:lastModifiedBy>
  <cp:revision>1</cp:revision>
  <dcterms:created xsi:type="dcterms:W3CDTF">2015-10-21T08:17:00Z</dcterms:created>
  <dcterms:modified xsi:type="dcterms:W3CDTF">2015-10-21T08:17:00Z</dcterms:modified>
</cp:coreProperties>
</file>