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2997" w:rsidRDefault="004C2997" w:rsidP="004C2997">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100/1997. (VI. 13.) Korm. rendelet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az érettségi vizsga vizsgaszabályzatának kiadásáról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Kormány a közoktatásról szóló – többször módosított – 1993. évi LXXIX. törvény (a továbbiakban: közoktatásról szóló törvény) 94. §-a (3)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pontjában kapott felhatalmazás alapján a következőket rendeli el: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E rendeletben foglaltakat kell alkalmazni a nemzeti köznevelésről szóló 2011. évi CXC. törvény (a továbbiakban: Nkt.) 6. §-a alapján szervezett középiskolai érettségi vizsgák előkészítésére, megszervezésére, lebonyolítására, az érettségi vizsgára történő jelentkezésre, a vizsgázók teljesítményének értékelésére, az érettségi vizsgával összefüggő ügyviteli tevékenységre (a továbbiakban e rendelet: vizsgaszabályzat).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Az érettségi vizsga vizsgakövetelményeit (a továbbiakban: részletes vizsgakövetelmények) az oktatásért felelős miniszter (a továbbiakban: miniszter) – szakmai előkészítő vizsgatárgyak esetén a szakképesítésért felelős miniszterrel, több szakképesítésért felelős miniszter esetén valamennyivel egyetértésben – a vizsgatárgy követelményei (a továbbiakban: általános vizsgakövetelmények) alapján adja ki. Az általános vizsgakövetelmények, illetőleg a részletes vizsgakövetelmények kiadása előtt – a nemzetiségeket érintő kérdések tekintetében – be kell szerezni az országos nemzetiségi önkormányzat, illetve az adott nemzetiséget érintő követelmények tekintetében az adott országos nemzetiségi önkormányzat véleményét.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Az érettségi vizsga célja annak megállapítása, hogy a vizsgázó</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rendelkezik-e az általános műveltség alapjaival és olyan képességekkel, amelyek alkalmassá teszik az önművelésre;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szert tett-e megfelelő tárgyi tudásra, gondolkodási és tájékozódási képességre, képes-e ismereteinek rendszerezésére és gyakorlati alkalmazására;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felkészült-e a felsőoktatási intézményekben folyó tanulmányok megkezdésére.''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(1) Az érettségi vizsga egyes vizsgatárgyaiból középszinten vagy emelt szinten tehető érettségi vizsga.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középiskolának a tizenegyedik-tizenkettedik évfolyamon a kötelező vizsgatárgyból biztosítania kell, hogy a tanuló – választása szerint – mind a középszintű, mind az emelt szintű érettségi vizsgára fel tudjon készülni.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kötelező érettségi vizsgatárgyakon kívül a középiskola a helyi tantervében határozza meg, hogy mely további – legalább két – vizsgatárgyból teszi lehetővé az emelt szintű érettségi vizsgára történő felkészülést. E döntéséhez kikéri az iskolai diákönkormányzat véleményét. Az emelt szintre történő felkészítés mellett a kötelező érettségi vizsgatárgyakon kívül legalább három vizsgatárgyból lehetővé kell tenni a középszintű vizsgára történő felkészülést. A (2), (3) bekezdés alkalmazásában az idegen nyelv vizsgatárgyak egy vizsgatárgynak minősülnek.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középiskolák az emelt szintű érettségi vizsgára történő felkészítés feladatait egymás közötti megállapodás alapján közösen is megoldhatják.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(1) Tanulói igény esetén az iskola köteles megszervezni a középszintű érettségi vizsgát minden olyan vizsgatárgyból, amely a helyi tantervében szerepel.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Tanulói igény esetén a tanulói jogviszony fennállása alatt az iskola köteles fogadni az emelt szintű érettségi vizsgára történő jelentkezést minden olyan vizsgatárgyból, amelyből a tanuló jogosult érettségi vizsgát tenni.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érettségi vizsga részei és vizsgatárgyai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A vizsgázó – függetlenül attól, hogy a középiskolában milyen szintű vizsgára készült fel – dönt abban a kérdésben, hogy középszinten vagy emelt szinten tesz érettségi vizsgát az egyes vizsgatárgyakból.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Azokból a vizsgatárgyakból, amelyekből a vizsgázó a vizsgaszabályzatban foglaltak alapján érettségi vizsgát tehet, a vizsgatárgy választásának joga nem korlátozott. A vizsgatárgy választásának jogával a vizsgaidőszak rendjéhez, ezen belül a kitűzött vizsganapokhoz igazodva lehet élni.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vizsgatárgyak az általános és a részletes vizsgakövetelményekre épülnek (a továbbiakban: központi vizsgakövetelményekre épülő vizsgatárgy). Az általános vizsgakövetelmények határozzák meg, hogy a vizsgatárgy milyen vizsgarészekből áll. A vizsgarészek a következők: szóbeli, írásbeli, gyakorlati.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középiskola központi vizsgakövetelményekre épülő vizsgatárgyból érettségi vizsgára történő felkészítést kíván biztosítani, akkor a felkészítésre a helyi tantervében középszintű érettségi vizsgára történő felkészítés esetén legalább százharmincnyolc órát, emelt szintű érettségi vizsgára történő felkészítés esetén pedig legalább kettőszázhetvenhat órát kell biztosítania.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magyar nyelv és irodalom vizsgatárgy helyett magyar mint idegen nyelv vizsgatárgyból érettségi vizsgát az tehet, aki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nem magyar állampolgár, vagy</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középiskolai tanulmányai befejezését megelőző négy tanév közül legalább hármat nem a magyar köznevelési rendszerben végzett.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Magyar mint idegen nyelv vizsgatárgyból kizárólag középszintű érettségi vizsgát lehet tenni.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vizsgázót – az Nkt. 56. § (1) bekezdése alapján a kötelező és a kötelezően választandó érettségi vizsgatárgynak megfelelő tantárgyból középiskolában – mentesítették az érdemjegyekkel és osztályzatokkal történő értékelés, minősítés alól, akkor az adott tantárgy helyett a vizsgázó egy másik, általa választott vizsgatárgyból tehet érettségi vizsgát. A vizsgázó részére – a szakértői bizottság szakvéleménye alapján – kérelmére engedélyezni kell az írásbeli beszámoló szóbeli beszámolóval vagy a szóbeli beszámoló írásbeli beszámolóval történő felváltását, és biztosítani kell a hosszabb felkészülési időt.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(1)–(4)</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(6)–(7)</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 §</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ÉRETTSÉGI VIZSGA ELŐKÉSZÍTÉSE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érettségi vizsga fajtái, a vizsgaidőszakok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sz w:val="20"/>
          <w:szCs w:val="20"/>
        </w:rPr>
        <w:t xml:space="preserve"> (1) Az érettségi vizsga lehet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rendes,</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előrehozott,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kiegészítő,</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szintemelő,</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pótló,</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javító,</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ismétlő</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érettségi vizsga. Egyes vizsgatárgyakból – a szintemelő vizsga kivételével – középszinten vagy emelt szinten lehet érettségi vizsgát tenni. Szintemelő vizsga csak emelt szinten tehető.</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Rendes érettségi vizsga a középiskolai tanulmányok követelményeinek teljesítése után, a tanulói jogviszony fennállása alatt vagy megszűnését követően első alkalommal tett érettségi vizsga.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Előrehozott érettségi vizsga a tanulói jogviszony fennállása alatt, a helyi tantervben a jelentkező számára az adott tantárgyra vonatkozóan meghatározott követelmények teljesítését követően a középiskolai tanulmányok teljes befejezését megelőző első vagy második tanév május–júniusi vizsgaidőszakában első alkalommal letett érettségi vizsga, amelyre a 12. § (1) bekezdésében meghatározott idegen nyelvekből, továbbá informatikából kerülhet sor. Előrehozott érettségi vizsga továbbá a 12. § (15)–(16) bekezdésben meghatározott vizsga.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Kiegészítő érettségi vizsga a sikeresen befejezett érettségi vizsga után az érettségi bizonyítványban nem szereplő egyes vizsgatárgyból tett vizsga.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Szintemelő érettségi vizsga egyes vizsgatárgyból a középszinten sikeresen befejezett érettségi vizsgának az emelt szintű érettségi vizsgán első alkalommal történő megismétlése. A tanulói jogviszony fennállása alatt, a középiskolai tanulmányok teljes befejezése előtt szintemelő érettségi vizsgát a 12. § (1) bekezdésében meghatározott idegen nyelvekből, továbbá informatikából lehet tenni.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(7) Pótló érettségi vizsga a vizsgázónak fel nem róható okból meg sem kezdett, vagy megkezdett, de be nem fejezett rendes, előrehozott, kiegészítő, szintemelő, ismétlő, javító érettségi vizsga folytatása.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Javító érettségi vizsga a vizsgázónak felróható okból meg sem kezdett, vagy megkezdett, de be nem fejezett, illetve a megkezdett, de tanulmányi követelmények nem teljesítése miatt sikertelen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rendes,</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előrehozott,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pótló és</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érettségi bizonyítvány megszerzése előtti szintemelő érettségi vizsga megismétlése.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Ismétlő érettségi vizsga az érettségi bizonyítvány kiadása után egyes vizsgatárgyból a korábban sikeresen letett érettségi vizsga azonos szinten, illetve az emelt szintű vizsga középszinten történő megismétlése. Az érettségi bizonyítvány kiadása után letett kiegészítő, szintemelő, ismétlő érettségi vizsga eredménye alapján a kiállított érettségi bizonyítvány nem változtatható meg [a továbbiakban az (1)–(9) bekezdésben szabályozott vizsgák együtt: érettségi vizsga].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Az érettségi vizsga megszervezésével, lebonyolításával kapcsolatos kötelező nyomtatványok felsorolását, az alkalmazható záradékokat a szabályzat </w:t>
      </w:r>
      <w:r>
        <w:rPr>
          <w:rFonts w:ascii="Times New Roman" w:hAnsi="Times New Roman" w:cs="Times New Roman"/>
          <w:i/>
          <w:iCs/>
          <w:sz w:val="20"/>
          <w:szCs w:val="20"/>
        </w:rPr>
        <w:t>1. számú melléklete</w:t>
      </w:r>
      <w:r>
        <w:rPr>
          <w:rFonts w:ascii="Times New Roman" w:hAnsi="Times New Roman" w:cs="Times New Roman"/>
          <w:sz w:val="20"/>
          <w:szCs w:val="20"/>
        </w:rPr>
        <w:t xml:space="preserve"> tartalmazza. A nyomtatványokat a vizsgabizottságot működtető intézmény szerzi be, illetve állítja elő az Oktatási Hivatal (a továbbiakban: Hivatal) által működtetett informatikai rendszer (a továbbiakban: a kétszintű érettségi vizsga adminisztrációs rendszere) segítségével.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sz w:val="20"/>
          <w:szCs w:val="20"/>
        </w:rPr>
        <w:t xml:space="preserve"> (1) Érettségi vizsgát állami vizsgabizottság (a továbbiakban: vizsgabizottság) előtt lehet letenni.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vizsgabizottság működtetéséről az érettségi vizsgát szervező középiskola, szakképzési centrum, vagy a köznevelési feladatkörében eljáró fővárosi és megyei kormányhivatal (a továbbiakban: kormányhivatal) gondoskodik (a továbbiakban: vizsgabizottságot működtető intézmény).</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vizsgabizottság elnevezésében, körbélyegzőjén fel kell tüntetni a vizsgabizottságot működtető intézmény nevét.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vizsgaszabályzatban az igazgató számára meghatározott feladatokat és hatásköröket a középiskola vagy a többcélú intézmény vezetője, a kormányhivatal által működtetett vizsgabizottság esetén a köznevelési feladatok ellátásáért felelős szervezeti egység vezetője (a továbbiakban együtt: igazgató) látja el.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(1) Érettségi vizsgát az érettségi vizsga vizsgaidőszakában (a továbbiakban: vizsgaidőszak) lehet szervezni.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vizsgaidőszakok – a vizsga szintjétől függetlenül – a következők: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május–június hónapi valamennyi középiskola és a Hivatal, valamint a kormányhivatal részére a rendes, az előrehozott, a kiegészítő, a szintemelő, az ismétlő, a pótló és a javító érettségi vizsgák megszervezésére,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október–november hónapi a Hivatal, valamint a kormányhivatal és a kijelölt középiskolák részére a rendes, a kiegészítő, a szintemelő, az ismétlő, a pótló és a javító érettségi vizsgák megszervezésére.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Pótló vizsgát, ha a vizsgaszervezés megoldható, a folyamatban lévő érettségi vizsga vizsgaidőszakában vagy azt követő másik vizsgaidőszakban, javítóvizsgát csak a folyamatban lévő érettségi vizsgát követő másik vizsgaidőszakban lehet tenni.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Október-novemberi vizsgaidőszakban abban a középiskolában lehet érettségi vizsgát tartani, amelyiket a kormányhivatal – a fenntartó képviselőjével egyetértésben – arra kijelöl. A középiskolák kijelölésénél biztosítani kell a nemzetiségi nyelven való vizsgázás lehetőségét.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vizsgaidőszakok első és utolsó napját, ezen belül a szóbeli vizsgák megszervezéséhez rendelkezésre álló időszakot, valamint az írásbeli vizsgák vizsganapjait a tanév rendjéről szóló rendelet határozza meg.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középszintű szóbeli vizsgák napjait – az (5) bekezdésben meghatározott időszakon belül – az igazgató a kormányhivatal egyetértésével, a kormányhivatal által működtetett vizsgabizottság esetén a Hivatal egyetértésével állapítja meg. Az emelt szintű szóbeli vizsgák napjait a Hivatal egyetértésével a kormányhivatal állapítja meg.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középszintű szóbeli vizsgák napját az igazgató bejelenti a középiskola fenntartójának, továbbá ha az érettségit nemzetiségi oktatásban szervezik meg és az iskola fenntartója nem nemzetiségi önkormányzat, az intézmény székhelye szerint illetékes – fenntartótól függően települési, vagy területi – nemzetiségi önkormányzatnak és az országos nemzetiségi önkormányzatnak).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emelt szintű érettségi vizsgákat a Hivatal készíti elő, és a Hivatal szakmai irányításával a kormányhivatal szervezi meg.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Jelentkezés az érettségi vizsgára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sz w:val="20"/>
          <w:szCs w:val="20"/>
        </w:rPr>
        <w:t xml:space="preserve"> (1) Érettségi vizsga a tanulói jogviszony keretében, az érettségi bizonyítvány megszerzése előtt abból a vizsgatárgyból tehető, amelynek a helyi tantervben a jelentkező számára az adott tantárgyra vonatkozóan meghatározott követelményeit az érettségi vizsgára jelentkező teljesítette, tudását osztályzattal értékelték, és ezt bizonyítvánnyal igazolni tudja. Ha a tanuló olyan vizsgatárgyból kíván érettségi vizsgát tenni, amelyből középiskolájának helyi tanterve szerint nem tehet érettségi vizsgát, e vizsgatárgy esetében a jelentkezési feltételt vendégtanulói jogviszonyban, másik középiskolában teljesítheti. Az érettségi bizonyítvány megszerzése, továbbá a tanulói jogviszony megszűnése utáni érettségi vizsgán bármely vizsgatárgyból – idegen nyelv esetén a magyarországi középiskolában tanított nyelvekből – tehető érettségi vizsga.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érettségi vizsgára jelentkező – függetlenül attól, hogy milyen szintű érettségi vizsgára készült fel a középiskolában – szabadon választhatja meg a vizsga szintjét. A jelentkező a vizsga szintjét a pótló- és javítóvizsgára történő jelentkezéskor megváltoztathatja. Egy vizsgaidőszakban egy vizsgatárgyból csak egy szinten lehet érettségi vizsgát tenni.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érettségi vizsgára történő jelentkezést a vizsgabizottságot működtető intézménybe lehet benyújtani.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Érettségi vizsgára lehet jelentkezni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tanulói jogviszony fennállása alatt, az érettségi bizonyítvány megszerzése előtt abban a középiskolában, szakképzési centrumban, amellyel a tanulói jogviszony fennáll, vagy, ha az nem szervez érettségi vizsgát, a kijelölt középiskolában, szakképzési centrumban,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tanulói jogviszony fennállása alatt, az érettségi bizonyítvány megszerzése után abban a középiskolában, szakképzési centrumban, amellyel a tanulói jogviszony fennáll, vagy, ha az nem szervez érettségi vizsgát, a kijelölt középiskolában, szakképzési centrumban vagy a kormányhivatalban,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tanulói jogviszony megszűnését követően bármelyik, az adott vizsgatárgyból vizsgát szervező, vizsgabizottságot működtető intézményben.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sikertelen előrehozott érettségi vizsgát vagy a középiskolai tanulmányok teljes befejezését megelőzően tett szintemelő érettségi vizsgát követően az adott vizsgatárgyból javító és pótló vizsgára legkorábban a rendes érettségi vizsga vizsgaidőszakára vonatkozóan lehet jelentkezni. A tanulói jogviszony megszűnése után rendes, kiegészítő, szintemelő, ismétlő érettségi vizsgára, a rendes, kiegészítő, szintemelő, ismétlő érettségi vizsgát követően pótló vizsgára, a rendes, a pótló érettségi vizsgát követően javítóvizsgára az eltelt időtől függetlenül jelentkezni lehet. Az érettségi vizsgát mindig az adott vizsgaidőszakban érvényes vizsgakövetelmények szerint kell letenni.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érettségi vizsgára történő jelentkezés az e célra szolgáló jelentkezési lappal történhet. A jelentkezési lapot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május–júniusi vizsgaidőszak esetén február 15-ig,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c) </w:t>
      </w:r>
      <w:r>
        <w:rPr>
          <w:rFonts w:ascii="Times New Roman" w:hAnsi="Times New Roman" w:cs="Times New Roman"/>
          <w:sz w:val="20"/>
          <w:szCs w:val="20"/>
        </w:rPr>
        <w:t>október-novemberi vizsgaidőszak esetén szeptember 5-ig</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lehet benyújtani a vizsgabizottságot működtető intézmény igazgatójához. A jelentkezési határidő elmulasztása esetén igazolási kérelmet a jelentkezési határidő utolsó napjától számított nyolc napon belül lehet előterjeszteni. Az igazolási kérelem benyújtási határideje jogvesztő. A jelentkezési lapon a kötelező vizsgatárgyak mellett fel kell tüntetni a kötelezően és a szabadon választható vizsgatárgyakat, a vizsga szintjét, valamint a vizsga e rendelet 9. §-ának (1) bekezdése szerinti fajtáját. A vizsgára jelentkezőnek fel kell tüntetnie azt is, ha a vizsgatárgyból nemzetiségi nyelven vagy célnyelven kíván vizsgázni, illetve élni kíván a 6. § (7) bekezdésében meghatározott jogával. Ha a jelentkező még nem rendelkezik érettségi vizsgabizonyítvánnyal, jelentkezési lapján fel kell tüntetnie korábban teljesített érettségi vizsgáit.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(6a) Szakközépiskolában az érettségi vizsgára felkészítő évfolyamokat követő érettségi vizsgára való jelentkezéskor igazolni kell, hogy a jelentkező rendelkezik iskolai rendszerű nevelésben-oktatásban szerzett, államilag elismert szakképesítéssel.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(6b) A vizsgázónak, ha rendes érettségi vizsgáját középiskolai tanulmányainak teljes befejezése után, tanulói jogviszonyon kívül teszi, és iskolai rendszerű nevelésben-oktatásban szerzett, államilag elismert szakképesítéssel rendelkezik, a vizsgára való jelentkezéskor nyilatkoznia kell arról, hogy kötelezően választandó vizsgatárgyból kíván-e érettségi vizsgát tenni. Ezt a nyilatkozatát az adott vizsgaidőszakban nem változtathatja meg.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jelentkezési lapot személyesen vagy meghatalmazott útján kell benyújtani. Amennyiben a tanuló nem abban a középiskolában jelentkezik érettségi vizsgára, amellyel tanulói jogviszonyban áll, igazolnia kell, hogy az adott vizsgatárgy helyi tantervben meghatározott követelményeit a vizsgára jelentkező teljesítette, tudását osztályzattal értékelték, és ezt bizonyítvánnyal igazolni is tudja. Az igazolást annak a köznevelési intézménynek a vezetője állítja ki, amellyel a tanuló tanulói jogviszonyban áll. A kiegészítő és az ismétlő, valamint a tanulói jogviszony megszűnése után a szintemelő vizsgára történő jelentkezéskor be kell mutatni az érettségi bizonyítványt, tanúsítványt. A tanulói jogviszony megszűnése után – a jelentkezési lap benyújtásakor – a jelentkezőnek igazolnia kell a személyazonosságát, továbbá be kell mutatnia a középiskolai bizonyítványát és az iskola vagy annak jogutódja által az egyes tantárgyakra, tantárgyrészekre vonatkozó mentesítésről szóló igazolást. A pótló-, javítóvizsgára, valamint a tanulói jogviszony fennállása alatt a szintemelő vizsgára történő </w:t>
      </w:r>
      <w:r>
        <w:rPr>
          <w:rFonts w:ascii="Times New Roman" w:hAnsi="Times New Roman" w:cs="Times New Roman"/>
          <w:sz w:val="20"/>
          <w:szCs w:val="20"/>
        </w:rPr>
        <w:lastRenderedPageBreak/>
        <w:t xml:space="preserve">jelentkezéskor a jelentkezési laphoz csatolni kell az érettségi törzslapkivonatát is. Abban az esetben, ha az érettségi vizsga az Nkt. 94. § (4) bekezdés </w:t>
      </w:r>
      <w:r>
        <w:rPr>
          <w:rFonts w:ascii="Times New Roman" w:hAnsi="Times New Roman" w:cs="Times New Roman"/>
          <w:i/>
          <w:iCs/>
          <w:sz w:val="20"/>
          <w:szCs w:val="20"/>
        </w:rPr>
        <w:t>p)</w:t>
      </w:r>
      <w:r>
        <w:rPr>
          <w:rFonts w:ascii="Times New Roman" w:hAnsi="Times New Roman" w:cs="Times New Roman"/>
          <w:sz w:val="20"/>
          <w:szCs w:val="20"/>
        </w:rPr>
        <w:t xml:space="preserve"> pontja alapján kiadott kormányrendeletben foglaltak szerint nem ingyenes, a jelentkezési laphoz csatolni kell a vizsgabizottságot működtető intézmény, az emelt szintű vizsgák, valamint a kormányhivatalnál történő jelentkezés esetén a Hivatal számlájára befizetett térítési díj, tandíj, vizsgáztatási díj befizetését igazoló okiratot vagy annak másolatát.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jelentkezési lapot a kormányhivatalhoz postai úton tértivevényes küldeményben is be lehet nyújtani. A kormányhivatalhoz postai úton benyújtott jelentkezésnek magyarországi lakcímet, ennek hiányában magyarországi értesítési címet kell tartalmaznia. A jelentkezési laphoz a mellékleteket – a személyi igazolvány kivételével – másolatban csatolni kell. Ha a szükséges mellékleteket a jelentkezési laphoz nem csatolják, a kormányhivatal felhívásának kézhezvételétől számított öt munkanapon belül a hiányt pótolni kell. A hiánypótlás elmulasztása esetén a jelentkezés érvénytelen.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vizsgára való jelentkezés elfogadásáról az igazgató dönt. A jelentkezés elutasításáról – a döntés indokának megjelölésével – az igazgató döntést hoz. Az elfogadott jelentkezést – ha e rendelet másként nem rendelkezik – visszavonni, illetve megváltoztatni nem lehet. A jelentkezés elfogadásakor dönteni kell a 6. § (7) bekezdésében meghatározottak alapján benyújtott kérelemről is. A döntést határozatba kell foglalni. Az emelt szintű vizsgára vonatkozó döntés határozatát a (11) bekezdés szerinti határidővel meg kell küldeni a kormányhivatalnak. Ha a tanulói jogviszony megszűnése után következik be olyan állapot, amely alapján az Nkt. 4. § 25. pontjában felsorolt sajátos nevelési igény megállapításának lenne helye, az e bekezdésben és a (6)–(7) bekezdésében foglaltakat azzal az eltéréssel kell alkalmazni, hogy a fogyatékosság fennállását szakorvos által kiállított igazolással kell bizonyítani.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jelentkezési határidő lejártát követően az igazgató összesítő jelentést készít az érettségi vizsgára jelentkezőkről. Az összesítő jelentésben a 9. § (1) bekezdése szerinti vizsgafajtánként fel kell tüntetni a vizsgára jelentkezők számát, vizsgatárgyankénti megoszlását, a választott vizsgaszintet, vizsgarészeket, a nemzetiségi nyelven, a célnyelven vizsgázókat, a 6. § (7) bekezdésében foglaltak alkalmazásával vizsgázókat.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összesítő jelentést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május–júniusi vizsgaidőszak esetén március 1-ig,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október–novemberi vizsgaidőszak esetén szeptember 10-ig</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kétszintű érettségi vizsga adminisztrációs rendszerében elektronikusan meg kell küldeni a Hivatalnak, továbbá kinyomtatva, papír alapon tájékoztatás céljából a középiskola fenntartójának.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összesítő jelentés alapján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kormányhivatal, illetve a Hivatal – a szabályzatban foglaltak szerint – megbízza a vizsgabizottság elnökét, illetve, ha a vizsgatárgyból az érettségi vizsgát emelt szinten szervezik meg, a Hivatal előkészíti, a kormányhivatal megszervezi az emelt szintű érettségi vizsgát,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Hivatal a központi vizsgakövetelményekre épülő vizsgatárgyak esetében elkészíti, és – a szabályzatban foglaltak szerint – megküldi a középszintű érettségihez az írásbeli vizsga feladatlapjait, valamint közzéteszi a feladatlapok javításához, értékeléséhez a javítási és értékelési útmutatót (a továbbiakban: útmutató).</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Ha a jelentkező az adott vizsgatárgyból az érettségi vizsgát azért nem kezdheti meg, mert nem teljesítette a vizsgára bocsátás feltételeit, a jelentkezését törölni kell. A törlésről az igazgató határozatot hoz.</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Ha a tanuló a középiskola utolsó évfolyamán nem tudta befejezni a tanulmányait, az adott vizsgaidőszakban rendes, javító és pótló érettségi vizsgát nem tehet. A tanuló kérelmére a rendes érettségi vizsgajelentkezéseit előrehozott érettségi vizsgajelentkezésre kell változtatni bármely érettségi vizsgatárgyból, amelyből jogosult érettségi vizsgát tenni. Azokat a vizsgajelentkezéseket, amelyekre a tanuló nem jogosult, az igazgató törli.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(15a) Ha a tanuló a középiskola elvégzését követő érettségi vizsgaidőszakban az írásbeli érettségi vizsgaidőszak kezdetéig nem rendelkezik az Nkt. 6. § (4) bekezdésében a közösségi szolgálat teljesítésére meghatározott feltétellel, érettségi vizsgáit nem kezdheti meg, az adott vizsgaidőszakra vonatkozó összes érettségi jelentkezését az igazgató törli.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Előrehozott érettségi vizsgára kormányhivatalnál jelentkezhet bármely érettségi vizsgatárgyból a május–júniusi vizsgaidőszak vonatkozásában az a vizsgázó, aki a kérelem benyújtásának időpontjában külföldi vagy külföldi rendszerű középiskola utolsó évfolyamán folytatja tanulmányait. A vizsgára bocsátáskor nem kell vizsgálni az (1) bekezdésben meghatározott feltételek meglétét, azonban a sikeres érettségi vizsgáról kiállított tanúsítvány csak a középiskolai végzettséget tanúsító okirattal együtt alkalmazható.</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érettségi vizsga vizsgabizottsága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sz w:val="20"/>
          <w:szCs w:val="20"/>
        </w:rPr>
        <w:t xml:space="preserve"> (1) Az érettségi vizsga vizsgabizottságának elnökét – az Országos vizsgaelnöki névjegyzékben szereplők közül – a kormányhivatal, a kormányhivatal által működtetett vizsgabizottság esetén a Hivatal bízza meg.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vizsgabizottság munkáját az írásbeli vizsgán felügyelő tanár segíti. Nem lehet felügyelő tanár az, aki az adott vizsgatárgy oktatására jogosító végzettséggel, szakképzettséggel rendelkezik.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írásbeli feladatok javítására – vizsgatárgyanként – szaktanárt, a szóbeli vizsgáztatásra – vizsgatárgyanként – kérdező tanárt (a továbbiakban együtt: vizsgáztató tanár) kell kijelölni. Vizsgáztató tanár az lehet, aki az Nkt.-ban meghatározottak alapján a vizsgatárgyat a középiskolában taníthatja. A vizsgáztató tanári feladatokat – ha az igazgató eltérően nem rendelkezik – azonos személy látja el. A vizsgabizottság tagjai az elnök és a vizsgáztató tanárok.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vizsgabizottság tagja nem működhet közre a Polgári Törvénykönyv szerinti közeli hozzátartozójának, továbbá bejegyzett élettársának vizsgáztatásában.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vizsgabizottság ügyviteli tevékenységét a vizsgabizottság jegyzője végzi. A vizsgabizottság jegyzőjének feladatait középiskolában a nevelőtestület bármely tagja, a gazdasági vezető, az iskolatitkár vagy az iskola legalább középfokú végzettséggel rendelkező alkalmazottja láthatja el. A Hivatalban a vizsgabizottság jegyzőjének feladataival az bízható meg, aki legalább középiskolai végzettséggel rendelkezik. A vizsgabizottság jegyzőjének feladata különösen: vezeti az értekezletek jegyzőkönyveit, elkészíti azok mellékleteit, a vizsgázók törzslapjait, megírja az érettségi vizsga bizonyítványait, ellátja a vizsgával kapcsolatos egyéb ügyviteli teendőket, a szabályzatban foglaltak szerint aláírja a vizsga iratait. Jegyzői feladatokkal vizsgáztató tanár is megbízható, amennyiben a vizsga lebonyolítása során mindkét funkciót maradéktalanul el tudja látni. A jegyző – amennyiben nem vizsgáztató tanár – nem tagja a vizsgabizottságnak.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felügyelő tanárt, a vizsgáztató tanárt és a vizsgabizottság jegyzőjét az igazgató bízza meg. Amennyiben az igazgató vizsgáztató tanár, megbízását az iskola fenntartója adja ki. Ilyen megbízás akkor adható, ha az igazgató a vizsgaszervezéssel és lebonyolítással kapcsolatos feladatait átadta helyettesének vagy más megbízottjának.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igazgatónak gondoskodnia kell arról, hogy megfelelő helyettes álljon készenlétben arra az esetre, ha a felügyelő tanárok, a vizsgáztató tanárok és a vizsgabizottság jegyzője közül bárkit helyettesíteni, pótolni kell.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vizsgabizottság tagjait és a vizsgabizottság jegyzőjét, valamint a vizsgabizottság munkájában közreműködőket a vizsgabizottság döntéseinek meghozatalával kapcsolatosan titoktartási kötelezettség terheli.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 A megbízást a vizsgabizottság elnökének, a felügyelő tanároknak, a vizsgáztató tanároknak, a vizsgabizottság jegyzőjének és a helyetteseknek írásban, a tanév rendjében meghatározott első írásbeli vizsganap előtt legalább két héttel meg kell küldeni, illetve át kell adni.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megbízás az erről szóló okirat átvételének napjától – a vizsga jegyzőjének kivételével – az érettségi vizsga eredményének kihirdetését követően a fellebbezés benyújtására nyitva álló határidő végéig, ha a vizsgabizottság döntése ellen fellebbezést nyújtottak be, a jogerős döntésnek megfelelő intézkedés megtételét követő munkanap végéig tart. A vizsgabizottság jegyzőjének megbízása az érettségi vizsga iratainak irattárba történő elhelyezésének napján, a munkaidő lejártával szűnik meg (a továbbiakban: a vizsgabizottság működési ideje).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(1) A vizsgabizottság elnöke felel az érettségi vizsga szakszerű és törvényes megtartásáért, a vizsgabizottság törvényes működéséért. A vizsgabizottság elnökének feladatai különösen: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meggyőződik arról, hogy a vizsgázó teljesítette-e az érettségi vizsga letételéhez előírt feltételeket, és szükség esetén kezdeményezi az érettségi vizsgáról való kizárását annak, aki nem teljesítette azokat,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eljárást kezdeményez a kormányhivatalnál, a kormányhivatal által működtetett vizsgabizottság esetén a Hivatalnál, ha az érettségi vizsga törvényes megtartása azt szükségessé teszi, </w:t>
      </w:r>
      <w:r>
        <w:rPr>
          <w:rFonts w:ascii="Times New Roman" w:hAnsi="Times New Roman" w:cs="Times New Roman"/>
          <w:i/>
          <w:iCs/>
          <w:sz w:val="20"/>
          <w:szCs w:val="20"/>
        </w:rPr>
        <w:t>c)</w:t>
      </w:r>
      <w:r>
        <w:rPr>
          <w:rFonts w:ascii="Times New Roman" w:hAnsi="Times New Roman" w:cs="Times New Roman"/>
          <w:sz w:val="20"/>
          <w:szCs w:val="20"/>
        </w:rPr>
        <w:t xml:space="preserve"> vezeti a szóbeli vizsgákat és a vizsgabizottság értekezleteit,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átvizsgálja az érettségi vizsgával kapcsolatos iratokat, a szabályzatban foglaltak szerint aláírja a vizsga iratait.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vizsgabizottság értekezletein véleményeltérés esetén szavazást rendel el,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elnök feladatainak ellátásába a vizsgabizottság tagjait bevonhatja.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(1) A vizsgabizottság munkáját, az érettségi vizsgát az igazgató készíti elő. Az igazgató felel az érettségi vizsga törvényes előkészítéséért, zavartalan lebonyolításáért.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igazgató feladata különösen: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dönt minden olyan, az érettségi vizsga előkészítésével és lebonyolításával összefüggő ügyben, amelyet a szabályzat nem utal más jogkörébe,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kiadja az előírt megbízásokat, szükség esetén gondoskodik a helyettesítésről,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gondoskodik arról, hogy a vizsgára jelentkezők, a vizsgabizottság tagjai, a vizsgabizottság jegyzője, a felügyelő tanárok megismerhessék a vizsgaszabályzatot, a vizsgaleírásokat, a vizsga lebonyolításának rendjét,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ellenőrzi a vizsgáztatás rendjének megtartását, e feladata keretében látogatja az írásbeli és a szóbeli vizsgák helyszínét,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e)</w:t>
      </w:r>
      <w:r>
        <w:rPr>
          <w:rFonts w:ascii="Times New Roman" w:hAnsi="Times New Roman" w:cs="Times New Roman"/>
          <w:sz w:val="20"/>
          <w:szCs w:val="20"/>
        </w:rPr>
        <w:t xml:space="preserve"> megszervezi a vizsgaeredmények kihirdetését, ellenőrzi a törzslapok és bizonyítványok egyeztetését, a szabályzatban foglaltak szerint aláírja és aláíratja a vizsga iratait,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minden szükséges intézkedést megtesz annak érdekében, hogy az érettségi vizsgát szabályosan, pontosan meg lehessen kezdeni, és be lehessen fejezni.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igazgató feladatainak ellátásában közreműködhet – az igazgató megbízása alapján – az igazgató helyettese vagy más megbízottja.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igazgató nem lehet vizsgáztató tanár abban a vizsgabizottságban, amelynek tekintetében ellátja az e §-ban meghatározott feladatokat. Amennyiben vizsgáztatói feladatot lát el, helyettesítéséről a (3) bekezdésben foglaltak szerint köteles gondoskodni.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(1) Az igazgató a 14. § (1) bekezdésében szabályozott megbízásnak a vizsgáztató tanárok részére történő megküldésével egyidejűleg felkéri az iskolai szülői szervezetet, az iskolai diákönkormányzatot, hogy képviselője útján kísérje figyelemmel az érettségi vizsga előkészítését, megszervezését, lebonyolítását. Ha az iskolában nemzetiségi oktatás folyik, az igazgató a felkérést megküldi az illetékes nemzetiségi önkormányzatnak is.</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felsorolt szervezetek képviselőinek véleményét ki kell kérni az írásbeli vizsga szervezésével, a szóbeli vizsganapok kijelölésével, beosztásával, a vizsgacsoportok kialakításával összefüggő igazgatói döntések meghozatala előtt.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vizsgabizottság munkájában tanácskozási joggal részt vehetnek a fenntartó és az (1) bekezdésben felsorolt szervezetek képviselői (a továbbiakban a fenntartó képviselője és a szervezetek képviselői együtt: vizsgabizottság munkájában közreműködők).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13. § (5) és (9) bekezdésében foglaltakat a vizsgabizottság munkájában közreműködők tekintetében is alkalmazni kell.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emelt szintű vizsga megszervezésére vonatkozó</w:t>
      </w:r>
      <w:r>
        <w:rPr>
          <w:rFonts w:ascii="Times New Roman" w:hAnsi="Times New Roman" w:cs="Times New Roman"/>
          <w:i/>
          <w:iCs/>
          <w:sz w:val="20"/>
          <w:szCs w:val="20"/>
        </w:rPr>
        <w:br/>
        <w:t>külön rendelkezések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17/A. §</w:t>
      </w:r>
      <w:r>
        <w:rPr>
          <w:rFonts w:ascii="Times New Roman" w:hAnsi="Times New Roman" w:cs="Times New Roman"/>
          <w:sz w:val="20"/>
          <w:szCs w:val="20"/>
        </w:rPr>
        <w:t xml:space="preserve"> (1) Ha a vizsgatárgyból az érettségi vizsgát emelt szinten szervezik meg: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írásbeli vizsga felügyelő tanárait a kormányhivatal bízza meg,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szóbeli vizsga – elnökből és kettő kérdező tanárból álló – tantárgyi bizottság előtt folyik, melynek tagjait a kormányhivatal bízza meg,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tantárgyi bizottság ügyviteli feladatait az elnök látja el.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tantárgyi bizottság a vizsgabizottságtól függetlenül működik. Tagjai a vizsgabizottságnak nem tagjai. A kormányhivatal által a tantárgyi bizottság működési helyszínéül kijelölt állami vagy nemzetiségi önkormányzati fenntartású köznevelési intézmény a tantárgyi bizottság működéséhez szükséges, az érettségi vizsga részletes követelményeiről szóló 40/2002. (V. 24.) OM rendeletnek az egyes vizsgatárgyakra vonatkozó vizsgaleírásaiban felsorolt, a vizsgabizottságot működtető intézmény által biztosítandó és a vizsgán használható segédeszközöket, valamint a vizsgák lebonyolításához szükséges összes tárgyi feltételt térítésmentesen bocsájtja a kormányhivatal rendelkezésére. A tantárgyi bizottság működéséhez szükséges további feltételeket a kormányhivatal biztosítja. A tantárgyi bizottság elnöke és tagja az lehet, aki megfelel a vizsgáztató tanárra megállapított feltételeknek.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tantárgyi bizottság tekintetében a 13. § (5) és (9) bekezdésében, valamint a 14. §-ban foglaltakat kell alkalmazni azzal az eltéréssel, hogy a tantárgyi bizottság elnökét és tagjait a kormányhivatal – az emelt szintű szóbeli vizsgáknak a tanév rendjéről szóló rendeletben szabályozott kezdőidőpontja előtt legalább két héttel – bízza meg.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ÉRETTSÉGI VIZSGA MENETE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írásbeli vizsga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 A központi vizsgakövetelményekre épülő vizsgatárgyak írásbeli vizsgája központi feladatlapok megoldásából áll.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vizsgatárgyak írásbeli vizsgáztatási követelményei a központi vizsgakövetelményekre épülnek.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központi vizsgakövetelményekre épülő vizsgatárgyak írásbeli központi feladatlapjait, továbbá a feladatok megoldásához szükséges segédanyagokat (a továbbiakban a feladatlap és a segédanyag együtt: feladatlap) és a </w:t>
      </w:r>
      <w:r>
        <w:rPr>
          <w:rFonts w:ascii="Times New Roman" w:hAnsi="Times New Roman" w:cs="Times New Roman"/>
          <w:sz w:val="20"/>
          <w:szCs w:val="20"/>
        </w:rPr>
        <w:lastRenderedPageBreak/>
        <w:t>javítási, értékelési útmutatókat a Hivatal készítteti el. A szakmai előkészítő vizsgatárgyak esetén az írásbeli központi feladatlapokat és útmutatókat a Nemzeti Szakképzési és Felnőttképzési Hivatal készítteti el és adja át a Hivatalnak.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központi vizsgakövetelményekre épülő vizsgatárgyakat és a vizsga részeit e szabályzat 2. számú melléklete tartalmazza.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(5)–(6)</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(8)–(9)</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18/A. §</w:t>
      </w:r>
      <w:r>
        <w:rPr>
          <w:rFonts w:ascii="Times New Roman" w:hAnsi="Times New Roman" w:cs="Times New Roman"/>
          <w:sz w:val="20"/>
          <w:szCs w:val="20"/>
        </w:rPr>
        <w:t xml:space="preserve"> (1) A központi vizsgakövetelményekre épülő vizsgatárgyak írásbeli feladatlapjait és javítási, értékelési útmutatóit tételkészítő bizottságok készítik el. A tételkészítő bizottságokat vizsgatárgyanként kell megszervezni.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tételkészítő bizottság tagjait a Hivatal, illetve a Nemzeti Szakképzési és Felnőttképzési Hivatal vezetője, elnökét az oktatásért felelős miniszter, illetve a szakképesítésért felelős miniszter kéri fel.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tételkészítő bizottság feladatait a Hivatal, illetve a Nemzeti Szakképzési és Felnőttképzési Hivatal vezetője határozza meg.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tételkészítő bizottság az elnök irányításával működik. Az elnök felelős a feladatlapok javítási, értékelési útmutatóinak szakszerű elkészítéséért, azért, hogy azok megfeleljenek a központi vizsgakövetelményeknek, valamint azoknak a Hivatal és a Nemzeti Szakképzési és Felnőttképzési Hivatal vezetője részére történő átadásáért.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feladatlapokat, valamint a javítási, értékelési útmutatókat a Hivatal vagy a Nemzeti Szakképzési és Felnőttképzési Hivatal vezetője átveszi a tételkészítő bizottság elnökétől.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18/B. §</w:t>
      </w:r>
      <w:r>
        <w:rPr>
          <w:rFonts w:ascii="Times New Roman" w:hAnsi="Times New Roman" w:cs="Times New Roman"/>
          <w:sz w:val="20"/>
          <w:szCs w:val="20"/>
        </w:rPr>
        <w:t xml:space="preserve"> (1) Az egyes vizsgaidőszakokban az egyes vizsgatárgyak vizsgáihoz több feladatlapnak kell rendelkezésre állnia.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Hivatal vezetője az oktatásért felelős miniszter által vezetett minisztérium vezető beosztású képviselőjének jelenlétében sorsolás útján választja ki, hogy a rendelkezésre álló feladatlapok közül melyek kerülnek felhasználásra az adott vizsgaidőszakban.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Hivatal vezetője megszervezi a feladatlapok sokszorosítását, csomagolását és szállítását.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Hivatal vezetője a feladatlapokat – fenntartóra tekintet nélkül, a fővárosi és megyei kormányhivatal járási (fővárosi kerületi) hivatala (a továbbiakban: járási hivatal) közreműködésével – átadja a vizsgabizottságot működtető intézmény megbízottjának.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igazgató az írásbeli vizsgatételeket tartalmazó feladatlapokat az adott vizsgatárgy írásbeli vizsgájának a tanév rendjéről szóló rendeletben meghatározott időpontjáig köteles elzárni oly módon, hogy ahhoz illetéktelen személy ne férhessen hozzá.</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középiskolákhoz zárt, biztonságos csomagolásban érkező feladatlapok kibontása a csomagon megjelölt időpontban háromtagú, a nevelőtestület tagjaiból álló bizottság előtt történik. A felbontás helyét, időpontját, a csomag (sértetlen vagy sérült, felbontott) állapotát és a jelenlévők nevét jegyzőkönyvben rögzíteni kell.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Hivatal az írásbeli érettségi vizsgák szervezéséhez szükséges információkat, a javítási, értékelési útmutatókat elektronikus úton juttatja el az iskolákhoz.</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írásbeli vizsgára vonatkozó rendelkezéseket kell alkalmazni a gyakorlati vizsgára, amennyiben a vizsgafeladat megoldását valamilyen rögzített módon, s a vizsga befejezését követően, a szaktanár által javítható formában kell elkészíteni (pl. rajz, kottázás, műszaki rajz, festmény, számítástechnikai program). A gyakorlati vizsgán a 19. § (1) bekezdésben foglaltakat akkor kell alkalmazni, ha a vizsgatárgy központi vizsgakövetelménye eltérő rendelkezést nem állapít meg.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18/C. §</w:t>
      </w:r>
      <w:r>
        <w:rPr>
          <w:rFonts w:ascii="Times New Roman" w:hAnsi="Times New Roman" w:cs="Times New Roman"/>
          <w:sz w:val="20"/>
          <w:szCs w:val="20"/>
        </w:rPr>
        <w:t xml:space="preserve"> (1) A járási hivatalok közreműködnek az írásbeli érettségi vizsgák feladatlapjainak elosztásában, valamint átveszik a Hivataltól, illetve annak megbízottjától a zárt feladatlap-csomagokat (a továbbiakban: csomag) tartalmazó zárt küldeményeket (a továbbiakban: doboz). A járási hivatalok ezzel kapcsolatos feladatai a következők: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Hivatallal történt egyeztetés szerint a csomagokat tartalmazó zárt dobozok átvételének megszervezése, az átvétel dokumentálása;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csomagokat tartalmazó zárt dobozok sértetlenségének ellenőrzése, dokumentálása;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eltérés esetén jegyzőkönyv felvétele és a Hivatal, valamint a kormányhivatal egyidejű értesítése.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járási hivatal feladata továbbá az egyes dobozok tartalma és a hozzájuk tartozó csomagjegyzék, valamint az egy adott vizsgaszervező iskola számára átvett doboz, illetve dobozok tartalma és az iskola vizsgaszervezési igénye közötti egyezőség tételes átvizsgálására irányuló ellenőrzés megszervezése az érettségit szervező iskolák számára. Ennek keretében feladata: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iskolák értesítése az ellenőrzés helyszínéről és időpontjáról;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csomagokat tartalmazó zárt dobozoknak a vizsgaszervező iskola képviselőjének jelenlétében történő felbontása és a dobozok tartalmának a csomagok felbontása nélkül történő ellenőrzése, amely tételes ellenőrzés arra irányul, hogy a dobozok az átvételi dokumentumokban jelzett csomagokat az ott megjelölt számban és tartalommal ténylegesen tartalmazzák-e;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ellenőrzés megtörténtének dokumentálása;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doboz visszazárása;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eltérés és pótigények esetén jegyzőkönyv felvétele mellett a Hivatal, valamint a kormányhivatal egyidejű, haladéktalan értesítése.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magyar nyelv és irodalom, a matematika, a történelem, az angol nyelv és a német nyelv vizsgatárgyak esetében az ellenőrzést a járási hivatal az iskola képviselőjének a jelenléte nélkül is elvégezheti.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vizsgaidőszak írásbeli vizsganapjainak reggelén a járási hivatal az adott vizsgatárgy csomagjait átadja a vizsgaszervező iskola igazgatójának vagy az általa írásban meghatalmazott személynek. Ennek keretében feladata: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doboz felnyitása, az átadásra kerülő csomagok átadásra történő előkészítése;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vizsgatárgy csomagjainak átadása, az átadás dokumentálása;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doboz visszazárása;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rendkívüli eseményről jegyzőkönyv felvétele és a Hivatal, valamint a kormányhivatal egyidejű, haladéktalan értesítése.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minősített feladatlapokat tartalmazó csomagok és a csomagokat tartalmazó dobozok őrzése, nyilvántartása és átadása a járási hivatalban a Nemzeti Biztonsági Felügyelet működésének, valamint a minősített adat kezelésének rendjéről szóló 90/2010. (III. 26.) Korm. rendeletnek a korlátozott terjesztésű minősített adatra vonatkozó, továbbá jelen rendelet rendelkezései szerint történik.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18/D. §</w:t>
      </w:r>
      <w:r>
        <w:rPr>
          <w:rFonts w:ascii="Times New Roman" w:hAnsi="Times New Roman" w:cs="Times New Roman"/>
          <w:sz w:val="20"/>
          <w:szCs w:val="20"/>
        </w:rPr>
        <w:t xml:space="preserve"> (1) A vizsgát szervező iskola elkészíti az általa szervezett vizsgák napjait tartalmazó jegyzéket. A jegyzéket a (2) bekezdésben részletezett ellenőrzés alkalmával a vizsgaszervező iskola átadja a járási hivatalnak.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csomagokat tartalmazó dobozoknak a csomagok felbontása nélküli tételes ellenőrzése a járási hivatalok értesítésében megjelölt időpontban és helyszínen történik. Az ellenőrzést a vizsgaszervező iskola igazgatója vagy az általa írásban meghatalmazott személy végezheti, melynek során feladata: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dobozok tartalmának ellenőrzése a csomagok felbontása nélkül, a járási hivatal képviselőjének jelenlétében. Az ellenőrzés annak megállapítására irányul, hogy a vizsgaszervező iskola számára átvett doboz, dobozok, illetve az abban, azokban elhelyezett csomagok tartalma mind a feladatlapok tárgya, mind azok száma tekintetében megfelel-e az iskola vizsgaszervezési igényének;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ellenőrzés megtörténtének dokumentálása;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eltérés esetén az észlelt tények, illetve az esetleges pótigények haladéktalanul történő jelzése a járási hivatalnak.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vizsgaszervező iskolák a vizsgaidőszak írásbeli vizsganapjainak reggelén a járási hivatal által meghatározott időpontban és helyszínen átveszik az aznapi vizsgatárgyak feladatlapjait tartalmazó csomagokat. A csomagok átvételére a vizsgaszervező iskola igazgatója vagy az általa írásban meghatalmazott személy jogosult.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járási hivatalok számára előírt feladatokat a középiskola székhelyén történő vizsgaszervezés esetén a székhely szerinti, a középiskola telephelyén történő vizsgaszervezés esetén a telephely szerinti illetékes járási hivatal látja el.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sz w:val="20"/>
          <w:szCs w:val="20"/>
        </w:rPr>
        <w:t xml:space="preserve"> (1) Az írásbeli feladatok kidolgozásához – ha a részletes követelmény és vizsgaleírás másképp nem rendelkezik – a vizsgázónak vizsgatárgyanként rendelkezésre álló maximális idő,</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középszintű vizsga esetén három óra (180 perc),</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emelt szintű vizsga, továbbá a vizsga szintjétől függetlenül magyar nyelv és irodalom, valamint az anyanyelv (nemzetiségi nyelv) és irodalom vizsgatárgy esetén négy óra (240 perc).</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írásbeli vizsga idejére a részletes követelmény és vizsgaleírás két óránál (120 perc) rövidebb időt nem állapíthat meg.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írásbeli vizsgát bármilyen esemény megzavarja, a kiesett idővel a rendelkezésre álló időt meg kell növelni.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írásbeli vizsgán több feladatlapot kell megoldani, az egyes vizsgatárgyak írásbeli vizsgájához rendelkezésre álló idő felhasználásához, felosztásához a vizsgatárgy vizsgakövetelménye további rendelkezéseket állapíthat meg.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(1) Az írásbeli vizsgán részt vevő vizsgázókat vizsgacsoportba kell beosztani. Minden vizsgacsoportot vizsgatárgyanként egytől kiindulva, folyamatosan, arab számok alkalmazásával meg kell jelölni.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Az írásbeli vizsgát olyan épületrészben kell megszervezni, amelynek felügyelete megfelelő módon biztosítható. Az írásbeli vizsga időtartama alatt a vizsgázók részére elkülönített épületrészbe a vizsgázókon és a vizsgabizottság elnökén, a felügyelő tanárokon, valamint az írásbeli vizsga ellenőrzésére érkező hivatalos szervek képviselőin kívül csak az igazgató engedélyével lehet belépni. Gyakorlati vizsga és technikai berendezés igénybevételével készített írásbeli vizsga esetében az elkülönített épületrészben – amennyiben ez a vizsga biztonságos lebonyolításának érdekében szükséges – az igazgató engedélyével jelen lehet olyan személy, aki a technikai feltételek folyamatos biztosításáért felelős.</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vizsgateremben az ülésrendet a vizsganap kezdetekor a felügyelő tanár – az előzetes csoportbeosztás alapján – úgy köteles kialakítani, hogy a vizsgázók egymást ne zavarhassák és ne segíthessék.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vizsgázónak legalább harminc perccel az írásbeli vizsga időpontja előtt meg kell jelennie a vizsga helyszínén. A vizsga kezdete előtt az igazgató, vagy az általa erre írásban kijelölt pedagógus a felügyelő tanár jelenlétében mindegyik vizsgateremben megállapítja a jelenlévők személyazonosságát. Ezt követően az igazgató, vagy az általa erre írásban kijelölt pedagógus ismerteti az írásbeli vizsga szabályait, és azok megszegésének lehetséges következményeit, majd kiosztja a feladatlapokat. A feladatlapok kiosztásakor a vizsgázók közül csak a vizsgázásra kijelölt csoport tagjai lehetnek jelen. A feladatlapok kiosztását követően a felügyelő tanár jelzi, hogy a vizsgázók a munkát megkezdhetik, és ennek időpontját rögzíti a vizsga jegyzőkönyvében. A feladatok kidolgozására rendelkezésre álló időt ezen időponttól kell számítani.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vizsgázóknak a feladat elkészítéséhez útbaigazítás, segítség nem adható.</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vizsgateremben és a folyosón gondoskodni kell az állandó felügyeletről. A felügyelő tanárok az igazgató által előre megállapított sorrendben, óránként váltják egymást. A felügyelő tanár feladata annak megakadályozása, hogy a vizsgázó meg nem engedett segédeszközt használjon, társaitól vagy más személytől segítséget vegyen igénybe.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6. § (7) bekezdése szerint a vizsgázó kérelmére, az igazgató engedélye alapján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19. § (1) bekezdésben meghatározott időt legfeljebb egy órával (60 perc) meg kell növelni,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lehetővé kell tenni, hogy a szakértői bizottság szakvéleményében előírt, illetve az iskolai tanulmányok során alkalmazott segédeszközt (pl. számítógép, írógép) használja,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engedélyezni kell, hogy az írásbeli vizsga helyett szóbeli beszámolót tegyen, vagy a szóbeli vizsgát írásban teljesítse,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tanuló a vizsgán mentesülhet az értékelés egy vagy több része alól, amennyiben a középiskolában a megfelelő tantárgyból nem mentesítették az értékelés, minősítés egésze alól.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(1) Az írásbeli vizsgán csak a központilag kiadott feladatlapon, valamint a vizsgát szervező intézmény bélyegzőjével ellátott pótlapokon lehet dolgozni. A rajzokat ceruzával, minden egyéb írásbeli munkát kék vagy fekete színű tintával (golyóstollal) kell elkészíteni. A feladatlap előírhatja az írógép, számítógép használatát. A ki nem osztott feladatlapokat az írásbeli vizsga befejezéséig az igazgató az irodájában őrzi. Valamennyi vizsgatárgy egy-egy feladatlapját az érettségi vizsga jegyzőkönyvéhez kell csatolni.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íróeszközökről és a segédeszközökről a vizsgázók gondoskodnak. A részletes vizsgakövetelmény és vizsgaleírás határozza meg, hogy melyek azok az eszközök, amelyekről a vizsgaszervező intézménynek kell gondoskodnia. A segédeszközöket a vizsgázók egymás között nem cserélhetik.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vizsgázó mindegyik átvett feladatlapon, pótlapon feltünteti a nevét, valamint a pótlapokon a vizsganap keltét és a vizsgatárgy nevét. Vázlatot, jegyzetet csak ezeken a lapokon lehet készíteni.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írásbeli vizsga alatt a helyiséget csak indokolt esetben lehet elhagyni, s lehetőleg egyidejűleg csak egy vizsgázónak. A folyóson a felügyelő tanár gondoskodik arról, hogy a vizsgázók ne kerülhessenek kapcsolatba senkivel.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helyiséget elhagyó vizsgázó átadja vizsgadolgozatát a felügyelő tanárnak, aki a távozás és a visszaérkezés pontos idejét arra rávezeti.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írásbeli munka befejezése után a vizsgázó a vizsgadolgozat üresen maradt részeit, valamint a piszkozatlapokat áthúzza, a felhasznált pótlapok számát felírja a vizsgadolgozat címlapjára. A megoldást tartalmazó vizsgadolgozatot, a piszkozatlapokat is tartalmazó áthúzott pótlapokkal együtt belehelyezi a nevével ellátott borítékba, és nyitva átadja a felügyelő tanárnak. A felügyelő tanár – a vizsgázó jelenlétében – ellenőrzi a pótlapok számát, és azt, hogy a vizsgadolgozat üresen maradt részeit és a piszkozatlapokat a vizsgázó áthúzta-e. Ezt követően a vizsgázó jelenlétében leragasztja a borítékot. A felügyelő tanár a jegyzőkönyvben feljegyzi a befejezés időpontját, és aláírja. A vizsgázó a boríték lezárása után távozik a vizsga részére elkülönített épületrészből.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(1) A felügyelő tanárok az írásbeli vizsgáról jegyzőkönyvet vezetnek. A jegyzőkönyvnek tartalmaznia kell az ülésrendet és a vizsga menetével kapcsolatos eseményeket. A jegyzőkönyvet a felügyelő tanár az igazgató részére történő átadás előtt aláírja.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igazgató az írásbeli vizsga folyamán vezetett jegyzőkönyveket, valamint a vizsgadolgozatokat tartalmazó borítékokat, az üres feladatlapokkal együtt a kidolgozási idő lejártával átveszi a felügyelő tanároktól. </w:t>
      </w:r>
      <w:r>
        <w:rPr>
          <w:rFonts w:ascii="Times New Roman" w:hAnsi="Times New Roman" w:cs="Times New Roman"/>
          <w:sz w:val="20"/>
          <w:szCs w:val="20"/>
        </w:rPr>
        <w:lastRenderedPageBreak/>
        <w:t>A jegyzőkönyveket aláírásával lezárja, és a vizsgairatokhoz mellékeli. Az igazgató a megoldásokat tartalmazó lezárt borítékokat – megszámlálva – elbírálásra átadja a szaktanárnak.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(1) Ha a felügyelő tanár az írásbeli vizsgán szabálytalanságot észlel, elveszi a vizsgázó vizsgadolgozatát, ráírja, hogy milyen szabálytalanságot észlelt, továbbá az elvétel pontos idejét, aláírja és visszaadja a vizsgázónak, aki folytathatja az írásbeli vizsgát. A felügyelő tanár a folyóson lévő felügyelő tanár útján értesíti az igazgatót.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igazgató az írásbeli vizsga befejezését követően haladéktalanul kivizsgálja a szabálytalanság elkövetésével kapcsolatos bejelentést. Megállapításait részletes jegyzőkönyvbe foglalja. A jegyzőkönyvnek tartalmaznia kell a vizsgázó és a felügyelő tanár nyilatkozatát, továbbá minden olyan eseményt, amely lehetővé teszi a szabálytalanság elkövetésének kivizsgálását. A jegyzőkönyvet a felügyelő tanár, az igazgató és a vizsgázó írja alá. A vizsgázó külön véleményét a jegyzőkönyvre rávezetheti.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(1) Ha a vizsgázó az írásbeli vizsgáról fel nem róható okból elkésik, távol marad, a megkezdett vizsgáról engedéllyel eltávozik mielőtt a válaszadást befejezné, az adott vizsgatárgyból pótló vizsgát tehet.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vizsgázó az írásbeli vizsgáról felróható okból elkésik, távol marad, vagy a vizsgáról engedély nélkül eltávozik, az adott vizsgatárgyból javítóvizsgát tehet.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 alkalmazásában a vizsgázónak fel nem róható ok, minden olyan a vizsgán való részvételt gátló esemény, körülmény, amelynek bekövetkezése nem vezethető vissza a vizsgázó szándékos vagy gondatlan magatartására.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első bekezdésben meghatározott esetben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igazgató – ha ehhez a feltételek megteremthetőek – hozzájárulhat ahhoz, hogy az adott vizsganapon, vizsgaidőszakban a vizsgázó pótló vizsgát tegyen,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engedélyben meg kell jelölni a hiányzó vizsgarész pótlásának formáját. Ha nincs lehetőség az adott vizsgaidőszakban írásbeli vizsga letételére, engedélyezhető az írásbeli vizsgarész szóbeli vizsgarésszel történő pótlása. Ebben az esetben a vizsgát a 37. § (3) bekezdése szerint kell megszervezni és minősíteni,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vizsgázó kérésére a vizsga megszakításáig az írásbeli vizsgakérdésekre adott válaszokat értékelni kell,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az adott vizsgatárgyban nincs szóbeli vizsgarész, az igazgató a Hivatal, valamint a kormányhivatal egyidejű és azonnali értesítése mellett engedélyezheti, hogy a vizsgázó az adott vizsgatárgy helyett másik vizsgatárgyat válasszon. Amennyiben a vizsgázó új vizsgatárgyat választ, ám annak írásbeli vizsgája már lezajlott, az írásbeli vizsgát szóbeli vizsgával pótolhatja.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sz w:val="20"/>
          <w:szCs w:val="20"/>
        </w:rPr>
        <w:t xml:space="preserve"> (1) Az írásbeli vizsga vizsgadolgozatait a szaktanár kijavítja, a hibákat, tévedéseket a tanuló által használt tintától jól megkülönböztethető színű tintával megjelöli.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vizsgakérdésekre kidolgozott megoldásokat az útmutató alapján kell javítani és értékelni.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szaktanár a vizsgadolgozatok javítása során arra a feltételezésre jut, hogy a vizsgázó meg nem engedett segédeszközt használt, segítséget vett igénybe, megállapítását rávezeti a feladatlapra, és értesíti az igazgatót.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igazgató által megadott határidőre a szaktanár benyújtja a kijavított vizsgadolgozatokat az igazgatónak. A vizsgabizottság jegyzője a szaktanár által javasolt értékelést az osztályozó ívre rávezeti.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 §</w:t>
      </w:r>
      <w:r>
        <w:rPr>
          <w:rFonts w:ascii="Times New Roman" w:hAnsi="Times New Roman" w:cs="Times New Roman"/>
          <w:sz w:val="20"/>
          <w:szCs w:val="20"/>
        </w:rPr>
        <w:t xml:space="preserve"> (1) A szaktanár a kijavított vizsgadolgozatra rávezeti az általa javasolt pontszámot, a javítás időpontját, majd aláírásával látja el, és az igazgató által meghatározott időben a borítékokkal együtt átadja az igazgató részére.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írásbeli vizsgakérdések megoldására adott szaktanári értékelést a szóbeli vizsga előtt nyilvánosságra kell hozni. A vizsgadolgozatot és az útmutatót a vizsgázó, a vizsgabizottság elnökéhez történő megküldés előtt, az iskola képviselőjének jelenlétében, az igazgató által meghatározott helyen és időben megtekintheti, azokról kézzel vagy elektronikus úton másolatot készíthet, és az értékelésre észrevételt tehet. Ha az iskolában a feltételek rendelkezésre állnak, a vizsgázó kérésére a saját vizsgadolgozatáról másolatot kell készíteni. A másolat elkészítésével kapcsolatos költségeket – az igazgató rendelkezése szerint – meg kell téríteni. A megtekintésre, a másolat készítésére egy munkanapot – nyolc órát – kell biztosítani. A vizsgázó észrevételeit a megtekintést követő első munkanap végéig – tizenhat óráig – adhatja le. Az észrevétel benyújtására nyitva álló határidő elmulasztása esetén egy napon belül lehet igazolási kérelmet előterjeszteni. Az igazolási kérelem benyújtási határideje jogvesztő. Észrevétel kizárólag az útmutatóban foglaltaktól eltérő javítás vagy az értékelés számszaki hibája esetében tehető. A vizsgázókat az írásbeli vizsga megkezdése előtt tájékoztatni kell arról, hogy hol és mikor tekinthetik meg az általuk elkészített vizsgadolgozatokat, és tehetnek észrevételt a szaktanár értékelésére.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igazgató az írásbeli vizsga iratait vizsgatárgyak, valamint vizsgabizottságok szerint szétválogatja, és legalább hét nappal a szóbeli vizsga kezdő napja előtt – a (4) bekezdésben meghatározott kivétellel – megküldi a </w:t>
      </w:r>
      <w:r>
        <w:rPr>
          <w:rFonts w:ascii="Times New Roman" w:hAnsi="Times New Roman" w:cs="Times New Roman"/>
          <w:sz w:val="20"/>
          <w:szCs w:val="20"/>
        </w:rPr>
        <w:lastRenderedPageBreak/>
        <w:t>vizsgabizottság elnökének. Az iratokkal együtt megküldi a szóbeli vizsga tételeit is. Az igazgató a következő iratokat továbbítja a vizsgabizottság elnökének: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vizsgázók által elkészített vizsgadolgozatokat és a javítási, értékelési útmutatókat,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b) </w:t>
      </w:r>
      <w:r>
        <w:rPr>
          <w:rFonts w:ascii="Times New Roman" w:hAnsi="Times New Roman" w:cs="Times New Roman"/>
          <w:sz w:val="20"/>
          <w:szCs w:val="20"/>
        </w:rPr>
        <w:t>az írásbeli vizsga folyamán felvett jegyzőkönyveket,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c) </w:t>
      </w:r>
      <w:r>
        <w:rPr>
          <w:rFonts w:ascii="Times New Roman" w:hAnsi="Times New Roman" w:cs="Times New Roman"/>
          <w:sz w:val="20"/>
          <w:szCs w:val="20"/>
        </w:rPr>
        <w:t>az írásbeli vizsgadolgozatok szaktanári értékelésére benyújtott vizsgázói észrevételeket,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d) </w:t>
      </w:r>
      <w:r>
        <w:rPr>
          <w:rFonts w:ascii="Times New Roman" w:hAnsi="Times New Roman" w:cs="Times New Roman"/>
          <w:sz w:val="20"/>
          <w:szCs w:val="20"/>
        </w:rPr>
        <w:t>a vizsgákra jelentkezőkről készített összesítő ívet,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e) </w:t>
      </w:r>
      <w:r>
        <w:rPr>
          <w:rFonts w:ascii="Times New Roman" w:hAnsi="Times New Roman" w:cs="Times New Roman"/>
          <w:sz w:val="20"/>
          <w:szCs w:val="20"/>
        </w:rPr>
        <w:t>a szaktanár által javasolt értékeléseket tartalmazó osztályozó ívet.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f)</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vizsgabizottság elnökének kérésére az igazgató a (3) bekezdésben felsorolt dokumentumok vagy azok egy részének megküldése helyett megteremti annak feltételeit, hogy a vizsgabizottság elnöke a helyszínen tanulmányozhassa az érettségi vizsga dokumentumait.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vizsgabizottság elnöke a (3) bekezdés szerinti dokumentumok vizsgálata során a középszintű vizsgadolgozatokban javítatlan hibát talált, vagy úgy ítéli meg, hogy a szaktanár eltért a javítási, értékelési útmutatótól, az igazgató útján haladéktalanul felhívja a javító szaktanárt az érintett vizsgadolgozatoknak a javítási, értékelési útmutató szerinti újbóli javítására.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vizsgabizottság előzetes értekezlete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sz w:val="20"/>
          <w:szCs w:val="20"/>
        </w:rPr>
        <w:t xml:space="preserve"> (1) A szóbeli vizsga megkezdése előtt, legkésőbb a szóbeli vizsga napján a vizsgabizottság értekezletet tart, amelyen megállapítja az írásbeli vizsgakérdésekre adott válaszok minősítését, a szóbeli vizsga időbeosztását, a vizsgázók és a vizsgatárgyak sorrendjét, valamint az eredményhirdetés időpontját.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igazgató gondoskodik arról, hogy a vizsgázók bizonyítványai, az iskolai törzslapok, a középiskola pedagógiai programja, a vizsgatárgyak követelményei a vizsgabizottság rendelkezésére álljanak.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írásbeli vizsgakérdésekre adott megoldás szaktanári értékelésére a vizsgázó észrevételt nyújtott be, az igazgató gondoskodik arról, hogy az előzetes értekezleten helyettes szaktanár álljon rendelkezésre az észrevételben foglaltak elbírálására. Az észrevétel elbírálásában nem vehet részt az a szaktanár, aki a megoldást értékelte. Az észrevétel kivizsgálásával kapcsolatosan részletes jegyzőkönyvet kell felvenni, és a döntést indokolással ellátott határozatba kell foglalni.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vizsgabizottság elnöke kezdeményezi a szaktanár által javasolt értékelés módosítását, ha javítatlan hibát, téves javítást talált, vagy a szaktanár eltért a javítási útmutatótól. Az értékelés megváltoztatásáról a vizsgabizottság határozatot hoz.</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írásbeli vizsgakérdésekre adott megoldások minősítését rá kell vezetni az osztályozó ívre.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sz w:val="20"/>
          <w:szCs w:val="20"/>
        </w:rPr>
        <w:t xml:space="preserve"> (1) A vizsgabizottság elnöke ellenőrizheti az érettségi vizsgára történő bocsátás jogszerűségét. Abban az esetben, ha a rendelkezésre álló iratok alapján valószínűsíthető, hogy a vizsgára bocsátás előfeltételei nem álltak fenn, vagy az írásbeli vizsga lebonyolítása során jogszabálysértés történt, és az igazgató, valamint a vizsgázó meghallgatásával sem tisztázható egyértelműen a vizsgára bocsátás jogszerűsége, a jogszabálysértés ténye, úgy a vizsgabizottság elnöke a tájékoztató értekezleten közli a vizsgázóval, hogy a vizsgát folytathatja, de amennyiben később bebizonyosodik, hogy a vizsgára bocsátás előfeltételei nem álltak fenn, vagy a vizsga lebonyolítása során jogszabálysértés történt, a miniszter az érettségi vizsgáját megsemmisítheti. A tájékoztatás megtörténtét a részletes jegyzőkönyvben rögzíteni kell.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vizsgabizottság megállapítja, hogy a vizsgára bocsátás előfeltételei valamely vizsgatárgyból nem álltak fenn, vagy a vizsga lebonyolítása során jogszabálysértés történt, és a jogszerű állapot helyreállítása nem lehetséges, megsemmisíti az adott vizsgatárgyból addig elért eredményt, és az adott vizsgatárgy vizsgáját határozattal törli.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vizsgabizottság elnöke, ha a vizsgabizottság nem ért egyet az indítványával – az iratok megküldésével – a kormányhivatal, ha a vizsgabizottságot a kormányhivatal működteti, a Hivatal intézkedését kezdeményezheti. </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vizsgabizottság elnöke, illetve a vizsgabizottság az eljárásáról részletes jegyzőkönyvet készít, melynek tartalmaznia kell az eljárás indokát, az alapjául szolgáló tényeket, az elhangzott nyilatkozatokat. A jegyzőkönyvet a vizsgabizottság elnöke és jegyzője, valamint az, akit meghallgattak, írja alá.</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vizsgabizottság elnökének a (3) bekezdésben indított eljárása esetén tájékoztatnia kell a vizsgázót, hogy a vizsgát folytathatja, de amennyiben a vizsgára bocsátás előfeltételei nem valósultak meg a miniszter az érettségi vizsgáját megsemmisítheti. A tájékoztatás megtörténtét a részletes jegyzőkönyvben rögzíteni kell.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sz w:val="20"/>
          <w:szCs w:val="20"/>
        </w:rPr>
        <w:t xml:space="preserve"> (1) A vizsgabizottság az előzetes értekezleten – az ügy kivizsgálása után – dönt az írásbeli vizsgával kapcsolatos szabálytalanságról.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vizsgabizottság indokolt esetben meghallgatja a vizsgázót, a felügyelő tanárt, a szaktanárt, az érdekelt és más vizsgázókat. A szabálytalanság kivizsgálásával kapcsolatosan – minden esetben – részletes jegyzőkönyvet </w:t>
      </w:r>
      <w:r>
        <w:rPr>
          <w:rFonts w:ascii="Times New Roman" w:hAnsi="Times New Roman" w:cs="Times New Roman"/>
          <w:sz w:val="20"/>
          <w:szCs w:val="20"/>
        </w:rPr>
        <w:lastRenderedPageBreak/>
        <w:t>kell készíteni. A részletes jegyzőkönyvben rögzíteni kell minden olyan eseményt, tényt, amelyből megállapítható, hogy mi történt, továbbá az elhangzott nyilatkozatokat. A jegyzőkönyvet a vizsgabizottság elnöke és jegyzője, a vizsgázó, valamint akiket meghallgattak, írja alá.</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vizsgázó szabálytalanságot követett el, a vizsgabizottság a cselekmény súlyosságának mérlegelésével a következő döntést hozhatja: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a) </w:t>
      </w:r>
      <w:r>
        <w:rPr>
          <w:rFonts w:ascii="Times New Roman" w:hAnsi="Times New Roman" w:cs="Times New Roman"/>
          <w:sz w:val="20"/>
          <w:szCs w:val="20"/>
        </w:rPr>
        <w:t>a vizsgakérdésre adott megoldást részben vagy egészben érvénytelennek nyilvánítja, és az érvénytelen rész figyelmen kívül hagyásával értékeli a vizsgán nyújtott teljesítményt,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b) </w:t>
      </w:r>
      <w:r>
        <w:rPr>
          <w:rFonts w:ascii="Times New Roman" w:hAnsi="Times New Roman" w:cs="Times New Roman"/>
          <w:sz w:val="20"/>
          <w:szCs w:val="20"/>
        </w:rPr>
        <w:t>az adott vizsgatárgyból a vizsgázót javítóvizsgára utasítja,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szabálytalansággal összefüggésben hozott döntést, annak indokait, valamint a döntés elleni jogorvoslati lehetőséget határozatba kell foglalni.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előzetes értekezletről jegyzőkönyv készül. A jegyzőkönyv tartalmazza az értekezlet idejét és helyét, a jelenlévő és a hiányzó vizsgabizottsági tag nevét, a vizsgabizottság jegyzője nevét, továbbá a távolmaradás okát, az értekezlet során hozott minden döntést és annak indokolását, az értekezlet esetleges vitaanyagát, a kisebbségi véleményt.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egyes vizsgatárgyból tett emelt szintű írásbeli érettségi vizsgára vonatkozó külön szabályok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sz w:val="20"/>
          <w:szCs w:val="20"/>
        </w:rPr>
        <w:t xml:space="preserve"> (1) Ha a vizsgázó a vizsgatárgyból emelt szintű érettségi vizsgát tesz, a vizsgatárgyak központi vizsgakövetelmények alapján kiadott feladatlapjain elkészített vizsgadolgozatok javításáról, értékeléséről a kormányhivatal gondoskodik. Az emelt szintű érettségi vizsga írásbeli feladatlapjainak és útmutatóinak kidolgozásába be kell vonni az érdekelt felsőoktatási szakcsoportok képviselőjét. A közreműködés rendjét az érdekeltek közösen állapítják meg.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esetben az írásbeli vizsgára vonatkozó rendelkezéseket a (2a)–(2p) bekezdésekben foglalt eltérésekkel kell alkalmazni.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 vizsgázót külön, kizárólag az emelt szintű vizsgán résztvevőkből álló vizsgacsoportba kell beosztani.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(2b) A feladatlapokat a felügyelő tanár – a járási hivatal közreműködésével – veszi át a kormányhivatal megbízottjától, és viszi magával a vizsga helyszínére.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(2c) A vizsgázókat a vizsgacsoporton belül folyamatosan, az arab számokat alkalmazva sorszámmal kell ellátni, a csoport száma törve a vizsgázó sorszámával adja a vizsgázó azonosító jelét.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(2d) A vizsgázókról – vizsgatermenként – vizsgáztatási jegyzéket kell készíteni, a vizsgáztatási jegyzék tartalmazza a vizsga helyét, idejét, a vizsgatárgyat, a vizsgázó nevét, anyja nevét, születési idejét és azonosító jelét.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(2e) A felügyelő tanár az ültetést követően megállapítja a vizsgázók személyazonosságát, ismerteti az írásbeli vizsga szabályait, és azok megszegésének lehetséges következményeit, majd minden vizsgázó részére átad egy-egy borítékot. A borítékon fel kell tüntetni a vizsgázó azonosító jelét, a vizsgatárgyat és a vizsga szintjét. A borítékon a vizsgázó nevét nem szabad feltüntetni. Ezt követően kiosztja a feladatlapokat. A feladatlapok kiosztásakor a vizsgázók közül csak a vizsgázásra kijelölt csoport tagjai lehetnek jelen. A feladatlapok kiosztása után a felügyelő tanár jelzi, hogy a vizsgázók a munkát megkezdhetik és ennek időpontját rögzíti a vizsga jegyzőkönyvében. A feladatok kidolgozására rendelkezésre álló időt ezen időponttól kell számítani. A vizsgázó mindegyik átvett feladatlap minden oldalán, valamint a pótlapokon feltünteti az azonosító jelét, valamint a pótlapokon a vizsganap keltét és a vizsgatárgy nevét. Vázlatot, jegyzetet csak ezeken a lapokon lehet készíteni.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(2f) Az írásbeli munka befejezése után a felügyelő tanár – a vizsgázó jelenlétében – ellenőrzi, hogy a vizsgadolgozaton, a borítékon és a jegyzékben szereplő azonosító jelek megegyeznek-e, továbbá a jegyzéken feljegyzi a befejezés időpontját, és aláírja a jegyzéket.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(2g) A vizsgázó a boríték lezárása után a jegyzék aláírásával igazolja, hogy az azonosító jelek egyeztetése megtörtént.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(2h) A kormányhivatal megbízottja a vizsgázók nevét és azonosító jelét tartalmazó jegyzéket a kidolgozási idő lejártával átveszi a felügyelő tanároktól.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(2i) A lezárt borítékot a kormányhivatal megbízottja és a felügyelő tanár aláírásával, valamint az iskola körbélyegzőjének lenyomatával hitelesíti. A kormányhivatal megbízottja a jegyzéket a vizsgahelyszínen való tárolás időtartama alatt köteles elzárni oly módon, hogy ahhoz illetéktelen személy ne férhessen hozzá.</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(2j) A vizsgadolgozatokat tartalmazó borítékokat, valamint a (2i) bekezdés szerint lezárt és hitelesített borítékban az emelt szintű vizsgacsoportok vizsgáztatási jegyzékeit, az írásbeli vizsgának a felügyelő tanár és a kormányhivatal megbízottja által aláírt jegyzőkönyvét, továbbá az esetleges szabálytalanságok kivizsgálásával kapcsolatosan a 23. § (2) bekezdése szerint elkészített jegyzőkönyveket a kormányhivatal által meghatározott időpontban át kell adni a kormányhivatalnak.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(2k) A vizsgadolgozatok kijavítása, értékelése a kormányhivatal által felkért szaktanár feladata.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(2l) A kormányhivatal a vizsgadolgozat kijavítása után a vizsgajegyzék alapján rávezeti a kijavított vizsgadolgozatra a vizsgázó nevét.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(2m) A kormányhivatal a kijavított vizsgadolgozatokat átadja a vizsgabizottságot működtető intézmény igazgatójának.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(2n) A vizsgadolgozatok megtekintésének napját a Hivatal határozza meg. A kormányhivatal tájékoztatja a vizsgázót, hogy a vizsgadolgozatát hol és mikor tekintheti meg.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(2o) Az igazgató a vizsgázónak a kijavított vizsgadolgozatra benyújtott észrevételét a vizsgadolgozattal együtt megküldi a kormányhivatalnak, amely az észrevétellel érintett feladatot egy olyan szaktanárral, aki a dolgozat értékelésében eddig nem vett részt a javítási, értékelési útmutató alapján újraértékelteti. A szaktanár megállapítja az általa javasolt pontszámot, amely a korábbiakban megállapított pontszámtól pozitív és negatív irányban is eltérhet, ezt követően a szaktanár értékelésének eredményét a kormányhivatal megküldi a vizsgabizottságot működtető intézmény igazgatójának.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(2p) Az igazgató a kormányhivatal által megküldött vizsgadolgozatokat és a szaktanári értékeléseket továbbítja a vizsgabizottság elnökének.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vizsgabizottság az előzetes értekezleten tudomásul veszi a kormányhivatal által megküldött szaktanári értékeléseket, és rávezeti azokat az osztályozó ívre. A tájékoztató értekezleten a vizsgázókat tájékoztatni kell a szaktanári értékelésről.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írásbeli vizsgán feltárt szabálytalanság esetén a vizsgadolgozatot javító szaktanárnak javaslatot kell tennie a minősítésre arra az esetre, ha a vizsgabizottság a szabálytalanságot megállapítja, és arra az esetre, ha megállapítja, hogy nem történt szabálytalanság; hasonló módon kell az értékelést elkészítenie, ha a javítás során következtet szabálytalanság elkövetésére. Ha a vizsgabizottságnak ki kell vizsgálnia az írásbeli vizsgán elkövetett szabálytalanságot, a szabálytalanság elkövetésével kapcsolatosan hozott döntésétől függően fogadja el a kormányhivatal által megküldött szaktanári értékelést.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Amennyiben az írásbeli vizsga lebonyolítása során a vizsgázó szerint az e rendeletben és az adott vizsgatárgy részletes vizsgakövetelményében foglalt vizsgaszervezési technikai jellegű előírásokat megszegték, az írásbeli vizsga lezárását követő két órán belül az írásbeli vizsga helyszínén, a kormányhivatal megbízottjánál a kormányhivatalnak címzett írásbeli észrevételt tehet. A határidő jogvesztő, igazolásnak helye nincs. A kormányhivatal megbízottja a vizsgázónak az írásbeli vizsga lebonyolításával kapcsolatban benyújtott észrevételt továbbítja a kormányhivatalnak. A kormányhivatal az észrevételt öt munkanapon belül kivizsgálja, és a vizsgálati eredményt, valamint a vizsga további menetével kapcsolatban a szükséges intézkedésekre vonatkozó javaslatait megküldi a vizsgabizottságot működtető intézmény igazgatójának, aki – szükség esetén – megteszi a vizsga további menetével kapcsolatos intézkedéseket. A vizsgabizottságot működtető intézmény igazgatója a kormányhivatal vizsgálatának eredményéről, és a további intézkedés szükségességéről írásban értesíti a vizsgabizottságot.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szóbeli vizsga menete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 §</w:t>
      </w:r>
      <w:r>
        <w:rPr>
          <w:rFonts w:ascii="Times New Roman" w:hAnsi="Times New Roman" w:cs="Times New Roman"/>
          <w:sz w:val="20"/>
          <w:szCs w:val="20"/>
        </w:rPr>
        <w:t xml:space="preserve"> (1) A kérdező tanár, a kormányhivatal által működtetett vizsgabizottság esetén a Hivatal az írásbeli vizsgák befejezését követően;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központi követelményekre épülő vizsgatárgyakhoz a miniszter által kiadott vizsgakövetelmények, illetve a helyi tantervekben található témakörök,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b)</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alapján – a vizsgakérdéseket tartalmazó – tételsort állít össze. A tételsorról legalább egy másolati példányt is készíteni kell. Ha az érettségi vizsgát középiskolában szervezik, a tételek elkészítésénél alkalmazni lehet a helyi tantervben található követelményeket is. A kormányhivatal által működtetett vizsgabizottság esetén a Hivatal a tételsorokat elektronikus formában átadja a kormányhivatalnak.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igazgató által megküldött tételsorokat a vizsgabizottság elnöke aláírásával jóváhagyja, megőrzi, és a vizsgabizottság előzetes értekezletén átadja a kérdező tanárnak. Ha a vizsgabizottság elnöke úgy ítéli meg, hogy a középszintű szóbeli tételsor eltér a vizsgatárgy részletes követelményeitől, az igazgató útján azonnal felhívja a kérdező tanárt az érintett szóbeli tételeknek a vizsgakövetelmények szerinti átdolgozására.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helyi tanterv követelményei alapján készített tétel csak attól a vizsgázótól kérhető számon, aki a középiskolával az érettségi vizsga idején tanulói jogviszonyban áll.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szóbeli vizsgára vonatkozó rendelkezéseket kell alkalmazni a gyakorlati vizsgára, amennyiben a vizsgafeladatot egyszeri alkalommal kell bemutatni, előadni és ennek alapján kell a vizsgázó teljesítményét értékelni (pl. éneklés, tornagyakorlat). A gyakorlati vizsgáztatás során a vizsgázó felkészülési és feleltetési idejére a 35. § (2)–(3) bekezdésében meghatározottakat akkor kell alkalmazni, ha a vizsgatárgy általános követelményei vagy az akkreditált vizsgatárgy követelményei eltérően nem rendelkeznek.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 Ha a vizsgázó egy vizsgatárgy gyakorlati vizsgarészének teljesítésére – neki fel nem róható okból – képtelenné válik, az igazgató engedélyével, a Hivatal, valamint a kormányhivatal egyidejű és azonnali értesítése mellett az adott vizsgatárgy helyett másik vizsgatárgyat választhat, vagy a gyakorlati vizsgarészt szóbeli vizsgarésszel pótolhatja. Amennyiben a vizsgázó új vizsgatárgyat választ, ám annak írásbeli vizsgája már lezajlott, az írásbeli vizsgát szóbeli vizsgával pótolhatja. Ebben az esetben a vizsgát a 37. § (3) bekezdése szerint kell megszervezni és minősíteni.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sz w:val="20"/>
          <w:szCs w:val="20"/>
        </w:rPr>
        <w:t xml:space="preserve"> </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 §</w:t>
      </w:r>
      <w:r>
        <w:rPr>
          <w:rFonts w:ascii="Times New Roman" w:hAnsi="Times New Roman" w:cs="Times New Roman"/>
          <w:sz w:val="20"/>
          <w:szCs w:val="20"/>
        </w:rPr>
        <w:t xml:space="preserve"> (1) A szóbeli vizsga megkezdése előtt a vizsgabizottság elnöke a jegyzőnek és a kérdező tanárnak átadja a vizsgázókról kiállított osztályozó ív egy-egy példányát.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szóbeli vizsga megkezdése előtt a vizsgabizottság elnöke tájékoztató értekezletet tart, amelyen ismerteti a vizsgázókkal a vizsgabizottság őket érintő döntéseit, az írásbeli vizsgán elért eredményeket, a szóbeli vizsgával kapcsolatos tudnivalókat, az érettségi vizsgát követő eredményhirdetés helyét és idejét, átadja a vizsgabizottság által hozott határozatokat, és ismerteti a vizsgabizottság döntése elleni jogorvoslat lehetőségét.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szóbeli vizsgán a vizsgabizottság tagjai közül egyidejűleg legalább háromnak – az elnöknek és a vizsgabizottság két tagjának – jelen kell lennie. A vizsgabizottság elnöke – a vizsga folytatása mellett – a vizsga helyiségét indokolt esetben, a szükséges ideig elhagyhatja, ha a háromtagú bizottság működése biztosított. Távollétében helyettesítését az általa kijelölt kérdező tanár látja el. Fel kell függeszteni a szóbeli vizsgát addig, ameddig a megfelelő számú bizottsági tag jelenléte nem biztosítható </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 §</w:t>
      </w:r>
      <w:r>
        <w:rPr>
          <w:rFonts w:ascii="Times New Roman" w:hAnsi="Times New Roman" w:cs="Times New Roman"/>
          <w:sz w:val="20"/>
          <w:szCs w:val="20"/>
        </w:rPr>
        <w:t xml:space="preserve"> (1) A szóbeli vizsga – beleértve a tételhúzást is – reggel nyolc óra előtt nem kezdhető el, és legfeljebb tizennyolc óráig tarthat.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vizsgázónak legalább harminc perccel korábban meg kell jelennie a vizsga helyszínén, mint amely időpontban az a vizsgacsoport megkezdi a vizsgát, amelybe beosztották.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 §</w:t>
      </w:r>
      <w:r>
        <w:rPr>
          <w:rFonts w:ascii="Times New Roman" w:hAnsi="Times New Roman" w:cs="Times New Roman"/>
          <w:sz w:val="20"/>
          <w:szCs w:val="20"/>
        </w:rPr>
        <w:t xml:space="preserve"> (1) A szóbeli vizsga nyilvánosságát a vizsgabizottság elnöke hivatalból vagy kérelemre korlátozhatja, illetve zárhatja ki. Ki kell zárni a nyilvánosságot, ha azt a vizsgázó érdeke indokolja. A vizsgabizottság munkájában közreműködők nem zárhatók ki a szóbeli vizsgáról. A nyilvánosság kizárásával kapcsolatos döntést a vizsga jegyzőkönyvében meg kell indokolni, és a vizsga helyszínén közzé kell tenni.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Minden vizsgázónak – az idegen nyelv kivételével – vizsgatárgyanként harminc perc gondolkodási időt kell biztosítani a felkészülésre. A felkészülési idő alatt a vizsgázó jegyzetet készíthet, de gondolatait szabad előadásban kell elmondania.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Egy-egy vizsgatárgyból a feleltetés időtartama – ha e szabályzat másképp nem rendelkezik – középszintű vizsga esetén tizenöt percnél több nem lehet.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egyes vizsgatárgyak szóbeli vizsgáihoz szükséges segédeszközökről a vizsgaszervező intézmény gondoskodik.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vizsgázók a vizsgateremben egymással nem beszélgethetnek, egymást nem segíthetik.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 §</w:t>
      </w:r>
      <w:r>
        <w:rPr>
          <w:rFonts w:ascii="Times New Roman" w:hAnsi="Times New Roman" w:cs="Times New Roman"/>
          <w:sz w:val="20"/>
          <w:szCs w:val="20"/>
        </w:rPr>
        <w:t xml:space="preserve"> (1) A szóbeli vizsga megkezdése előtt a vizsgabizottság elnöke meggyőződik a vizsgázó személyazonosságáról. A szóbeli vizsgán a tételt a vizsgázó húzza, és kiválasztja a tétel kifejtéséhez szükséges segédeszközt. A tételben szereplő kérdések megoldásának sorrendjét – ha a részletes vizsgakövetelmények másként nem rendelkeznek – a vizsgázó határozza meg. A kihúzott tétel sorszámát rá kell vezetni az osztályozó ívre.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vizsgázó útbaigazítás és támogatás nélkül, önállóan felel, de ha elakad vagy súlyosan téved, a vizsgabizottság tagjaitól segítséget kaphat. </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vizsgabizottság tagjai a tétellel kapcsolatosan a vizsgázónak kérdéseket tehetnek fel, ha meggyőződtek arról, hogy a vizsgázó a tétel kifejtését befejezte vagy a tétel kifejtésében elakadt, illetve súlyosan tévedett. A vizsgázó a tétel kifejtésében akkor szakítható félbe, ha súlyosan tévedett, vagy a rendelkezésre álló idő letelt.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vizsgázó a húzott tétel anyagából teljes tájékozatlanságot árul el, azaz feleletének értékelése nem éri el a szóbeli vizsgarészre adható összes pontszám 12%-át, az elnök egy alkalommal póttételt húzat vele. Ez esetben a szóbeli minősítést a póttételre adott felelet alapján kell kialakítani úgy, hogy az elért pontszámot meg kell felezni és egész pontra fel kell kerekíteni, majd a százalékos minősítést és az osztályzatot ennek alapján kell kiszámítani. Ha a vizsgázó a póttétel húzásától elzárkózik, ezt a tényt a jegyzőkönyvben rögzíteni kell.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vizsgázó a feleletet befejezte, a következő vizsgatárgyból történő tételhúzás előtt, szükség esetén a vizsgahelyiséget rövid időre elhagyhatja.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37. §</w:t>
      </w:r>
      <w:r>
        <w:rPr>
          <w:rFonts w:ascii="Times New Roman" w:hAnsi="Times New Roman" w:cs="Times New Roman"/>
          <w:sz w:val="20"/>
          <w:szCs w:val="20"/>
        </w:rPr>
        <w:t xml:space="preserve"> (1) A 6. § (7) bekezdése alapján a vizsgázó kérelmére, az igazgató engedélye alapján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a) </w:t>
      </w:r>
      <w:r>
        <w:rPr>
          <w:rFonts w:ascii="Times New Roman" w:hAnsi="Times New Roman" w:cs="Times New Roman"/>
          <w:sz w:val="20"/>
          <w:szCs w:val="20"/>
        </w:rPr>
        <w:t>a 35. § (2) bekezdésben meghatározott időt legfeljebb húsz perccel meg kell növelni,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b) </w:t>
      </w:r>
      <w:r>
        <w:rPr>
          <w:rFonts w:ascii="Times New Roman" w:hAnsi="Times New Roman" w:cs="Times New Roman"/>
          <w:sz w:val="20"/>
          <w:szCs w:val="20"/>
        </w:rPr>
        <w:t>engedélyezni kell, hogy a szóbeli vizsgát írásban tegye le,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lehetővé kell tenni, hogy a vizsga közben a szakvéleményben előírt vagy az iskolai tanulmányok során alkalmazott segédeszközt (pl. számítógép) használja,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tanuló a vizsgán mentesülhet az értékelés egy vagy több része alól, ha a középiskolában a megfelelő tantárgyból nem mentesítették az értékelés, minősítés egésze alól.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vizsgázó a szóbeli vizsgát írásban teszi le, a vizsgatétel kihúzása után, külön helyiségben, felügyelő tanár mellett készíti el dolgozatát. A dolgozat elkészítésére középszintű vizsga esetén harminc percet, emelt szintű vizsga esetén negyven percet kell biztosítani. A dolgozatot a vizsgázó vagy a vizsgázó kérésére a kérdező tanár felolvassa.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Ha a vizsgázónak a 6. § (7) bekezdése vagy az e rendelet 24. § (4) bekezdés </w:t>
      </w:r>
      <w:r>
        <w:rPr>
          <w:rFonts w:ascii="Times New Roman" w:hAnsi="Times New Roman" w:cs="Times New Roman"/>
          <w:i/>
          <w:iCs/>
          <w:sz w:val="20"/>
          <w:szCs w:val="20"/>
        </w:rPr>
        <w:t>b)</w:t>
      </w:r>
      <w:r>
        <w:rPr>
          <w:rFonts w:ascii="Times New Roman" w:hAnsi="Times New Roman" w:cs="Times New Roman"/>
          <w:sz w:val="20"/>
          <w:szCs w:val="20"/>
        </w:rPr>
        <w:t xml:space="preserve"> pontja, illetve 31. § (5) bekezdései alapján engedélyezték, hogy az írásbeli vagy a gyakorlati vizsgarész helyett szóbeli vizsgát tegyen, és a vizsga írásbeli vagy gyakorlati és szóbeli vizsgarészekből áll, két vizsgatételt kell húznia és kifejtenie. A felkészüléshez és a tétel kifejtéséhez rendelkezésre álló időt tételenként kell számítani. A vizsgázó kérésére a második tétel kihúzása előtt legalább tíz perc pihenőidőt kell adni. A vizsgázó a pihenőidő alatt a vizsgatermet nem hagyhatja el. Amennyiben a vizsgázó a gyakorlati vizsgarészt szóbeli vizsgarésszel pótolja, a törzslapján, az érettségi bizonyítványában, tanúsítványában ezt a tényt – záradék formájában – fel kell tüntetni.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 §</w:t>
      </w:r>
      <w:r>
        <w:rPr>
          <w:rFonts w:ascii="Times New Roman" w:hAnsi="Times New Roman" w:cs="Times New Roman"/>
          <w:sz w:val="20"/>
          <w:szCs w:val="20"/>
        </w:rPr>
        <w:t xml:space="preserve"> (1) Ha a vizsgázó befejezte a tétel kifejtését, a kérdező tanár rávezeti az általa javasolt értékelést az osztályozó ívre.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Azt követően, hogy a vizsganapon valamennyi vizsgázó befejezte a vizsgázást, előzetesen értékelni kell az azon a napon vizsgázók teljesítményét. A javasolt értékelést az elnök által vezetett osztályozó ívre kell ráírni.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 §</w:t>
      </w:r>
      <w:r>
        <w:rPr>
          <w:rFonts w:ascii="Times New Roman" w:hAnsi="Times New Roman" w:cs="Times New Roman"/>
          <w:sz w:val="20"/>
          <w:szCs w:val="20"/>
        </w:rPr>
        <w:t xml:space="preserve"> (1) Ha a szóbeli vizsgán a vizsgázó szabálytalanságot követ el (pl. társának segítséget nyújt, vagy társa segítségét veszi igénybe, meg nem engedett eszközt használ), vagy a vizsga rendjét zavarja, a vizsgabizottság elnöke figyelmezteti a vizsgázót, hogy a szóbeli vizsgát befejezheti ugyan, de ha szabálytalanság elkövetését, a vizsga rendjének megzavarását, a vizsgabizottság megállapítja, az elért eredményt megsemmisítheti. A figyelmeztetést a vizsga jegyzőkönyvében fel kell tüntetni.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igazgató a szóbeli vizsga szünetében vagy a befejezését követően haladéktalanul részletes jegyzőkönyvet készít a szabálytalanság elkövetéséről. A jegyzőkönyvnek tartalmaznia kell a meghallgatottak nyilatkozatát, minden olyan eseményt, körülményt, amely lehetővé teszi a szabálytalanság elkövetésének kivizsgálását. A jegyzőkönyvet vizsgabizottság elnöke és jegyzője, továbbá az, akit meghallgattak, írja alá. A vizsgázó külön véleményét a jegyzőkönyvre rávezetheti.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 §</w:t>
      </w:r>
      <w:r>
        <w:rPr>
          <w:rFonts w:ascii="Times New Roman" w:hAnsi="Times New Roman" w:cs="Times New Roman"/>
          <w:sz w:val="20"/>
          <w:szCs w:val="20"/>
        </w:rPr>
        <w:t xml:space="preserve"> (1) Ha a vizsgázó fel nem róható okból a szóbeli vizsgán nem jelenik meg, vagy a vizsga helyszínéről engedéllyel eltávozik, illetve a megkezdett vizsgát engedéllyel nem fejezi be, a szóbeli vizsgát – ha erre lehetőség van – az igazgató engedélyével az adott vizsganapon vagy az adott vizsgaidőszak másik vizsganapján megismételheti, illetve ha erre nincs mód, másik vizsgaidőszakban, pótló vizsgát tehet.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vizsgázó a szóbeli vizsgáról felróható okból távol marad, vagy a vizsga helyszínéről engedély nélkül eltávozik, illetve a megkezdett vizsgát engedély nélkül nem fejezi be, azokból a vizsgatárgyakból, amelyekből nem tett szóbeli vizsgát, másik vizsgaidőszakban javítóvizsgát tehet.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 alkalmazásában a vizsgázónak fel nem róható ok, minden olyan, a vizsgán való részvételt gátló esemény, körülmény, amelynek bekövetkezése nem vezethető vissza a vizsgázó szándékos vagy gondatlan magatartására.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egyes vizsgatárgyból tett emelt szintű szóbeli érettségi vizsgára vonatkozó külön szabályok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40/A. §</w:t>
      </w:r>
      <w:r>
        <w:rPr>
          <w:rFonts w:ascii="Times New Roman" w:hAnsi="Times New Roman" w:cs="Times New Roman"/>
          <w:sz w:val="20"/>
          <w:szCs w:val="20"/>
        </w:rPr>
        <w:t xml:space="preserve"> (1) Ha a vizsgázó emelt szintű érettségi vizsgát tesz, a 31–37. §-ban foglaltakat a következő eltéréssel kell alkalmazni: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szóbeli tételeket a Hivatal, a szakmai előkészítő vizsgatárgyak esetén a Nemzeti Szakképzési és Felnőttképzési Hivatal készítteti el, és a Hivatal juttatja el a kormányhivatalhoz, amely átadja azokat a tantárgyi bizottságoknak,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egy-egy vizsgatárgyból a feleltetés időtartama – ha e szabályzat másképp nem rendelkezik – húsz percnél több nem lehet,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vizsgázó teljesítményét a tantárgyi bizottság mindhárom tagja egyéni értékelő lapon külön értékeli, majd az egyéni értékelések egyeztetése után közösen tesznek javaslatot a vizsgázó minősítésére,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e)</w:t>
      </w:r>
      <w:r>
        <w:rPr>
          <w:rFonts w:ascii="Times New Roman" w:hAnsi="Times New Roman" w:cs="Times New Roman"/>
          <w:sz w:val="20"/>
          <w:szCs w:val="20"/>
        </w:rPr>
        <w:t xml:space="preserve"> a tantárgyi bizottság egyéni osztályozó ívet állít ki minden vizsgázóról, amelyet megküld a vizsgabizottság részére,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ha a vizsgázóval szemben annak gyanúja merült fel, hogy szabálytalanságot követett el, a tantárgyi bizottságnak javaslatot kell tenni a minősítésre arra az esetre, ha a vizsgabizottság a szabálytalanságot megállapítja, és arra az esetre, ha megállapítja, hogy nem történt szabálytalanság,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tantárgyi bizottság döntéseit szótöbbséggel hozza,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szóbeli vizsga megkezdése előtt a tantárgyi bizottság elnöke meggyőződik a vizsgázó személyazonosságáról.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vizsgabizottság a tantárgyi bizottság javaslatát tudomásul veszi. Ha a vizsgabizottságnak ki kell vizsgálnia a szóbeli vizsgán elkövetett szabálytalanságot, a szabálytalanság elkövetésével kapcsolatosan hozott döntésétől függően fogadja el a tantárgyi bizottság értékelését. A vizsgabizottság döntése meghozatalához kikérheti a tantárgyi bizottság elnökének véleményét.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előzetes értekezleten meghozott döntéseket a vizsgázóval a tájékoztató értekezleten közölni kell.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érettségi vizsga befejezése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 §</w:t>
      </w:r>
      <w:r>
        <w:rPr>
          <w:rFonts w:ascii="Times New Roman" w:hAnsi="Times New Roman" w:cs="Times New Roman"/>
          <w:sz w:val="20"/>
          <w:szCs w:val="20"/>
        </w:rPr>
        <w:t xml:space="preserve"> (1) Az érettségi vizsga egyes vizsgatárgyaiból a vizsgázó teljesítményét, ha a vizsga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írásbeli és szóbeli vizsgarészekből áll 1–150,</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csak írásbeli vizsgából áll 1–100,</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csak szóbeli vizsgából áll 1–50</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pontskálán egész számokkal kell értékelni.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vizsgázó teljesítményét a pontszámok százalékban és osztályzatban történő kifejezésével minősíteni kell. A teljesítmény százalékban történő kifejezésekor a számítást csak az egész szám megállapításáig lehet elvégezni, tizedesjegy nem állapítható meg. Ha a vizsgatárgy vizsgája több vizsgarészből áll, a vizsgázónak minden vizsgarészből legalább tizenkettő százalékot kell teljesítenie ahhoz, hogy a vizsgatárgyból a teljesített százalékérték alapján a (3)–(4) bekezdésben meghatározottak szerint legalább elégséges osztályzatot kaphasson. Középszintű matematika vizsgatárgyból tett vizsga esetén, ha a tanuló írásbeli teljesítménye elérte a tizenkettő százalékot, de nem érte el a huszonöt százalékot, a vizsgatárgy részletes követelményeiben meghatározott módon szóbeli vizsgát tehet. Több vizsgarész esetén az egyes vizsgarészeken elérhető pontszámot az adott vizsgatárgy részletes vizsgakövetelménye határozza meg. Ha a vizsgázó a szóbeli vizsgát írásban tette le, teljesítményét a szóbeli vizsgarésznek megfelelően kell minősíteni. Ha a vizsgázó az írásbeli vizsga helyett szóbeli vizsgát tett, mindkét tétel kifejtését a szóbeli tételek értékelési szabályai szerint kell értékelni, majd a két tételre adott pontszámok összegét a szóbeli vizsgán elérhető pontszám kétszeresének százalékában kell kifejezni, és ez adja a vizsga százalékos minősítését. A vizsgázónak ebben az esetben mindkét szóbeli vizsgáján legalább tizenkettő százalékot kell teljesítenie ahhoz, hogy a vizsgatárgyból a teljesített százalékérték alapján a (3)–(4) bekezdésben meghatározottak szerint legalább elégséges osztályzatot kaphasson.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Középszintű érettségi vizsga esetén az elérhető pontszámok százalékos teljesítésének osztályzatban történő kifejezése a következő:</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80–100% elérése esetén jeles (5),</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60–79% elérése esetén jó (4),</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40–59% elérése esetén közepes (3),</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25–39% elérése esetén elégséges (2),</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0–24% elérése esetén elégtelen (1).</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Emelt szintű érettségi vizsga esetén az elérhető pontszámok százalékos teljesítésének osztályzatban történő kifejezése a következő:</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60–100% elérése esetén jeles (5),</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47–59% elérése esetén jó (4),</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33–46% elérése esetén közepes (3),</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25–32% elérése esetén elégséges (2),</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0–24% elérése esetén elégtelen (1).</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vizsgázónak az érettségi bizonyítvány megszerzéséhez a kötelező vizsgatárgyakból és még legalább egy választott vizsgatárgyból legalább elégséges osztályzatot kell elérnie. A vizsgázónak javító érettségi vizsgát kell tennie abból a kötelező vizsgatárgyból, amelyből nem szerzett legalább elégséges (2) osztályzatot.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kétszintű érettségi vizsga bevezetése előtt tett tantárgyi érettségi vizsga a kétszintű rendszerben középszinten tett érettségi vizsgának minősül, és az érdemjegyek a következő százalékos teljesítésnek felelnek meg: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jeles (5) 100%,</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jó (4) 79%,</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közepes (3) 59%,</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elégséges (2) 39%.</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Pótló érettségi vizsga esetén az előzőleg sikeresen teljesített vizsgarészeket – amíg a vizsgakövetelmények az adott vizsgatárgyban nem változnak – nem kell megismételni.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42. §</w:t>
      </w:r>
      <w:r>
        <w:rPr>
          <w:rFonts w:ascii="Times New Roman" w:hAnsi="Times New Roman" w:cs="Times New Roman"/>
          <w:sz w:val="20"/>
          <w:szCs w:val="20"/>
        </w:rPr>
        <w:t xml:space="preserve"> (1) A szóbeli érettségi vizsga befejezése után, legkésőbb az azt követő munkanapon a vizsgabizottság záróértekezletet tart, amelyen megállapítja a vizsgázók szóbeli vizsgarészen nyújtott teljesítményének minősítését, valamint a teljes vizsga összesített minősítését (összpontszámát és annak százalékban történő kifejezését) és ennek alapján a vizsga végső osztályzatát.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záróértekezleten a vizsgabizottság megtárgyalja a szóbeli vizsgán elkövetett szabálytalanságot. A szabálytalanság elbírálására és a döntéshozatalra a vizsgaszabályzatnak az írásbeli vizsgán elkövetett szabálytalanság kivizsgálására vonatkozó rendelkezéseit kell alkalmazni [29. § (2)–(4) bek.].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vizsgázó a rendes érettségi vizsgán valamely vizsgatárgyból szintemelő vizsgát tett, a záróértekezleten megállapított eredmény ismeretében írásban nyilatkozik arról, hogy érettségi bizonyítványában melyik minősítés szerepeljen. Ha a vizsgázó a záróértekezlet időpontjában adott vizsgatárgyból több vizsgaeredménnyel rendelkezik, írásban nyilatkozik arról, hogy melyik az az egy vizsgaeredmény, amelynek az érettségi bizonyítványába való bejegyzését kéri. Az érettségi bizonyítványban nem szereplő vizsgaeredményekről a vizsgabizottságot működtető intézmény tanúsítványt állít ki.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43. §</w:t>
      </w:r>
      <w:r>
        <w:rPr>
          <w:rFonts w:ascii="Times New Roman" w:hAnsi="Times New Roman" w:cs="Times New Roman"/>
          <w:sz w:val="20"/>
          <w:szCs w:val="20"/>
        </w:rPr>
        <w:t xml:space="preserve"> (1) A záróértekezletről jegyzőkönyvet kell készíteni.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záróértekezlet jegyzőkönyve tartalmazza: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értekezlet helyét és idejét,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jelenlévő, illetőleg a hiányzó bizottsági tagok, szaktanárok és kérdező tanárok nevét, a távolmaradás okát,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vizsgabizottság döntéseit, a rövid indokolással és a szavazás eredményét,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azok nevét, akik javítóvizsgán megismételhetik, vagy pótló vizsgán folytathatják az érettségi vizsgát, a vizsgatárgy, vizsgarész, vizsgaszint megnevezésével, illetve azokét, akiket a vizsgáról kizártak, és a döntés okát,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vizsgabizottság elnökének rövid értékelését,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vizsgabizottság tagjainak hozzászólását, a kisebbségi véleményeket.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 §</w:t>
      </w:r>
      <w:r>
        <w:rPr>
          <w:rFonts w:ascii="Times New Roman" w:hAnsi="Times New Roman" w:cs="Times New Roman"/>
          <w:sz w:val="20"/>
          <w:szCs w:val="20"/>
        </w:rPr>
        <w:t xml:space="preserve"> (1) Az érettségi vizsga eredményét, a vizsgabizottság még nem ismertetett döntéseit a vizsgázók és a vizsgabizottság tagjai jelenlétében az elnök az eredményhirdető értekezleten ismerteti. Az eredmény kihirdetése nyilvános. A vizsgabizottság elnöke a vizsgaeredmények kihirdetése előtt röviden értékeli az érettségi vizsgát.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eredményhirdető értekezleten ismertetett vizsgabizottsági döntések elleni jogorvoslatra rendelkezésre álló időt az értekezletet követő első naptól kell számítani.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45. §</w:t>
      </w:r>
      <w:r>
        <w:rPr>
          <w:rFonts w:ascii="Times New Roman" w:hAnsi="Times New Roman" w:cs="Times New Roman"/>
          <w:sz w:val="20"/>
          <w:szCs w:val="20"/>
        </w:rPr>
        <w:t xml:space="preserve"> (1) Érettségi bizonyítványt kell kiállítani annak, aki teljesítette az érettségi vizsga követelményeit. Az érettségi bizonyítványt az a vizsgabizottság adja ki, amelyik előtt a vizsgázó az érettségi bizonyítvány megszerzéséhez szükséges összes rá vonatkozó feltételt teljesítette.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érettségi bizonyítvány, tanúsítvány tartalmazza a vizsgázó természetes személyazonosító adatait, a vizsga törzslapjának számát, annak tényét, hogy az érettségi bizonyítvány a Magyar Képesítési Keretrendszer szerinti 4. és az Európai Képesítési Keretrendszer szerinti 4. szintet tanúsít, a kiállításának keltét, továbbá a vizsgabizottság körbélyegzőjének lenyomatát, a vizsgabizottság elnökének és az igazgatónak az aláírását.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érettségi bizonyítványban, tanúsítványban fel kell tüntetni,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a) </w:t>
      </w:r>
      <w:r>
        <w:rPr>
          <w:rFonts w:ascii="Times New Roman" w:hAnsi="Times New Roman" w:cs="Times New Roman"/>
          <w:sz w:val="20"/>
          <w:szCs w:val="20"/>
        </w:rPr>
        <w:t>hogy a vizsgatárgy központi vizsgakövetelményekre vagy akkreditált vizsgakövetelményekre épül,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b) </w:t>
      </w:r>
      <w:r>
        <w:rPr>
          <w:rFonts w:ascii="Times New Roman" w:hAnsi="Times New Roman" w:cs="Times New Roman"/>
          <w:sz w:val="20"/>
          <w:szCs w:val="20"/>
        </w:rPr>
        <w:t>a vizsgatárgyak szintjét, százalékos teljesítését, osztályzatát.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vizsgázó érettségi bizonyítványa, tanúsítványa, ha idegen nyelvből, illetve a nyelvoktató nemzetiségi oktatásban nemzetiségi nyelvből emelt szintű érettségi vizsgát tett, és sikeresen teljesítette az érettségi vizsga írásbeli és szóbeli vizsgáit, azoknak minden vizsgarészét a részletes követelményekben meghatározott módon,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a) </w:t>
      </w:r>
      <w:r>
        <w:rPr>
          <w:rFonts w:ascii="Times New Roman" w:hAnsi="Times New Roman" w:cs="Times New Roman"/>
          <w:sz w:val="20"/>
          <w:szCs w:val="20"/>
        </w:rPr>
        <w:t>ha legalább 60%-ot ért el, középfokú (B2) komplex típusú,</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b) </w:t>
      </w:r>
      <w:r>
        <w:rPr>
          <w:rFonts w:ascii="Times New Roman" w:hAnsi="Times New Roman" w:cs="Times New Roman"/>
          <w:sz w:val="20"/>
          <w:szCs w:val="20"/>
        </w:rPr>
        <w:t>40–59% elérése esetén alapfokú (B1) komplex típusú,</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államilag elismert nyelvvizsga-bizonyítvánnyal egyenértékű okiratnak minősül.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Ha a vizsgázó az idegen nyelvből az emelt szintű érettségi vizsgát a 6. § (7) bekezdésében megfogalmazott jogával élve tette le, és megfelel a (4) bekezdés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pontjában foglalt további feltételeknek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 részletes követelményekben meghatározott módon teljesítette a szóbeli vizsga részeit, valamint élő idegen nyelvből a hallott szöveg értése vizsgarészt, érettségi bizonyítványa, tanúsítványa a megfelelő fokozatú szóbeli típusú, államilag elismert nyelvvizsga-bizonyítvánnyal egyenértékű okiratnak minősül,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részletes követelményekben meghatározott módon teljesítette élő idegen nyelvből az olvasott szöveg értése, az íráskészség és a nyelvhelyesség vizsgarészeket, illetve latin nyelvből az írásbeli vizsgarészt, érettségi </w:t>
      </w:r>
      <w:r>
        <w:rPr>
          <w:rFonts w:ascii="Times New Roman" w:hAnsi="Times New Roman" w:cs="Times New Roman"/>
          <w:sz w:val="20"/>
          <w:szCs w:val="20"/>
        </w:rPr>
        <w:lastRenderedPageBreak/>
        <w:t>bizonyítványa, tanúsítványa a megfelelő fokozatú írásbeli típusú, államilag elismert nyelvvizsga-bizonyítvánnyal egyenértékű okiratnak minősül.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vizsga iratai, az iratkezelés</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46. §</w:t>
      </w:r>
      <w:r>
        <w:rPr>
          <w:rFonts w:ascii="Times New Roman" w:hAnsi="Times New Roman" w:cs="Times New Roman"/>
          <w:sz w:val="20"/>
          <w:szCs w:val="20"/>
        </w:rPr>
        <w:t xml:space="preserve"> (1) Az érettségi vizsgával kapcsolatos iratokat, ha e szabályzat másképp nem rendelkezik két példányban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vizsgabizottság működési ideje előtt és után az igazgató készíti el és írja alá,</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vizsgabizottság működési ideje alatt a vizsgabizottság jegyzője készíti el, és a vizsgabizottság jegyzője, elnöke és az igazgató írja alá.</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vizsgabizottság üléseiről és értekezleteiről a jegyzőkönyvet az ülés, illetve az értekezlet napján, a záróértekezlet jegyzőkönyvét legfeljebb a záróértekezletet követő harmadik munkanap végéig el kell készíteni. A jegyzőkönyveket a vizsgabizottság tagjai, a vizsgabizottság jegyzője és az igazgató írja alá.</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vizsgaszabályzatban foglaltak szerint a vizsgabizottság döntését határozatba kell foglalni, a határozat egy példányát a vizsga jegyzőkönyvéhez kell csatolni. A határozatot az igazgató és a vizsgabizottság elnöke írja alá.</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érettségi vizsga jegyzőkönyvének, határozatának egy-egy példányát – időbeli sorrendben – össze kell kapcsolni. A jegyzőkönyvhöz csatolni kell a törzslapokat, az osztályozó ívet és az érettségi vizsga eredményeiről összeállított kimutatást (a továbbiakban: jegyzőkönyv és csatolt iratok).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tantárgyi bizottság ülésein jegyzőkönyvet kell készíteni, amelyet a bizottság mind a három tagjának alá kell írnia. A jegyzőkönyv készítésére a (2)–(3) bekezdésben foglaltakat kell alkalmazni.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 §</w:t>
      </w:r>
      <w:r>
        <w:rPr>
          <w:rFonts w:ascii="Times New Roman" w:hAnsi="Times New Roman" w:cs="Times New Roman"/>
          <w:sz w:val="20"/>
          <w:szCs w:val="20"/>
        </w:rPr>
        <w:t xml:space="preserve"> (1) A vizsgázókkal kapcsolatos adatokat a törzslap tartalmazza. A törzslap két részből áll, a vizsgázókról külön-külön kiállított egyéni lapokból (belív) és a vizsgabizottság adatait tartalmazó borítóból (külív).</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törzslap mindkét részét a kétszintű érettségi vizsga adminisztrációs rendszerében kell előkészíteni az írásbeli vizsga megkezdése előtt. A törzslapot a vizsgabizottság döntését követően, a vizsga minden szükséges adatának és záradékának elektronikus rögzítése után a kétszintű érettségi vizsga adminisztrációs rendszere készíti el elektronikus és kinyomtatható formában. A kétszintű érettségi vizsga adminisztrációs rendszerének lezárását követően a törzslapot csak kézzel, jól olvashatóan, nyomtatott betűvel, nem fakuló tintával lehet kitölteni és javítani.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törzslap tartalmazza a vizsgázó természetes személyazonosító adatait, annak az iskolának a nevét, amelyben a középiskolában folytatott tanulmányait befejezte, a befejezés tanévének feltüntetésével, a vizsgabizottságot működtető intézmény nevét, címét, OM azonosítóját, a vizsgatárgyakat, azok értékelését és minősítését a szükséges záradékokkal, a vizsga nyelvét (ha az nem a magyar nyelv), a vizsgaeredményt tartalmazó bizonyítvány vagy tanúsítvány sorszámát.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borítót vizsgabizottságonként kell elkészíteni. A borító tartalmazza a vizsgabizottságot működtető intézmény nevét és címét, a vizsgabizottság nevét, a vizsgabizottság tagjainak és az igazgatónak a nevét, valamint a vizsgabizottsághoz beosztott vizsgázók törzslapjainak számát.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kétszintű érettségi vizsga adminisztrációs rendszerébe az adatokat csak eredeti okmányok alapján szabad bejegyezni.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törzslapon – megfelelő záradék alkalmazásával – fel kell tüntetni a vizsgabizottság határozatait. A záradékokat a vizsgabizottság elnöke és jegyzője írja alá.</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törzslapon csak a vizsgaszabályzatban megjelölt módon szabad javítani. A téves, hibás bejegyzést egyszer át kell húzni, és a helyes bejegyzést e mellé vagy e fölé kell írni. A javított oldalt a vizsgabizottság elnöke és a vizsgabizottság jegyzője – megfelelő záradék alkalmazása után – aláírja. Az aláírások mellett szerepelnie kell a vizsgabizottság körbélyegzője lenyomatának.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borítót a vizsgabizottság elnöke és tagjai, a vizsgabizottság jegyzője és az igazgató írja alá.</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érettségi vizsga törzslapjának lapjait vizsgabizottságonként a borítóval együtt össze kell fűzni oly módon, hogy az egyes lapokat ne lehessen eltávolítani vagy kicserélni.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48. §</w:t>
      </w:r>
      <w:r>
        <w:rPr>
          <w:rFonts w:ascii="Times New Roman" w:hAnsi="Times New Roman" w:cs="Times New Roman"/>
          <w:sz w:val="20"/>
          <w:szCs w:val="20"/>
        </w:rPr>
        <w:t xml:space="preserve"> (1) Azok részére, akik vendégtanulóként tettek érettségi vizsgát, illetve akik pótló vizsgát tehetnek, vagy akiknek javítóvizsgát kell tenniük, valamint akik előrehozott vizsgát, vagy az érettségi bizonyítvány megszerzése előtt szintemelő vizsgát tettek, az érettségi vizsga eredményének kihirdetésekor a vizsgabizottság elnöke törzslapkivonatot ad át. Azok részére, akik pótló vizsgát tehetnek, a törzslapkivonathoz csatolni kell a már teljesített vizsgarészekről készült osztályozó ívet is. Az igazgató törzslapkivonatot állít ki és ad át annak is, aki a törzslapkivonatot elvesztette. A törzslapkivonat kiállításáért – kivéve, ha a vizsga a külön jogszabályban foglaltak szerint ingyenes – a kiállítás napján érvényes kötelező legkisebb munkabér (minimálbér) tíz százalékának megfelelő díjat kell befizetni a vizsgabizottságot működtető intézmény részére. Az előrehozott vagy az érettségi bizonyítvány megszerzése előtt letett szintemelő érettségi vizsgáról kiállított törzslapkivonat </w:t>
      </w:r>
      <w:r>
        <w:rPr>
          <w:rFonts w:ascii="Times New Roman" w:hAnsi="Times New Roman" w:cs="Times New Roman"/>
          <w:sz w:val="20"/>
          <w:szCs w:val="20"/>
        </w:rPr>
        <w:lastRenderedPageBreak/>
        <w:t>másolatát – ha az érettségi vizsgát nem abban a középiskolában tették le, amellyel a vizsgázó tanulói jogviszonyban áll – meg kell küldeni az érintett iskola igazgatójának.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törzslapkivonatot az érettségi törzslappal egyezően kell kiállítani. A törzslapkivonatot a vizsgabizottság elnöke, valamint az igazgató írja alá, és a vizsgabizottság körbélyegzőjének lenyomatával kell ellátni.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rendes érettségi vizsga törzslapjára az előrehozott érettségi vizsga eredményét, a vendégtanulóként tett vizsgák eredményét a kapcsolódó záradékokkal együtt a törzslapkivonattal egyezően rá kell vezetni, és a törzslapkivonatot csatolni kell a törzslapnak a tanulóra vonatkozó részéhez.</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érettségi bizonyítvány megszerzése után letett kiegészítő, szintemelő és ismétlő vizsgákról, valamint a 12. § (16) bekezdésében szabályozott előrehozott érettségi vizsgákról a vizsgabizottság tanúsítványt állít ki, és átadja vagy a záróértekezletet követő nyolc napon belül postai úton megküldi azt a vizsgázónak.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49. §</w:t>
      </w:r>
      <w:r>
        <w:rPr>
          <w:rFonts w:ascii="Times New Roman" w:hAnsi="Times New Roman" w:cs="Times New Roman"/>
          <w:sz w:val="20"/>
          <w:szCs w:val="20"/>
        </w:rPr>
        <w:t xml:space="preserve"> (1) Az írásbeli vizsga megkezdése előtt vizsgabizottságonként legalább három példányban osztályozó ívet kell készíteni. Az osztályozó ívnek tartalmaznia kell a vizsgabizottság nevét és címét, a vizsgázók nevét, törzslapjának számát, továbbá vizsgatárgyanként, azon belül vizsgarészenként a vizsgázó teljesítményének értékelését és minősítését.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vizsgázó egyes vizsgatárgyakból emelt szinten tesz érettségi vizsgát, a tantárgyi bizottság egyéni osztályozó ívet készít, amelyet a kormányhivatal küld meg a vizsgabizottságnak.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záróértekezlet után vizsgabizottságonként két példányban jelentést kell készíteni a vizsgaeredményekről. A jelentésekben fel kell tüntetni a vizsgára jelentkezők, a megjelentek, a vizsgát sikeresen befejezők, a javítóvizsgára utasított és a pótló vizsgára kényszerülők számát, vizsgatárgyanként és vizsgaszintenként összesítve az osztályzatokat.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50. §</w:t>
      </w:r>
      <w:r>
        <w:rPr>
          <w:rFonts w:ascii="Times New Roman" w:hAnsi="Times New Roman" w:cs="Times New Roman"/>
          <w:sz w:val="20"/>
          <w:szCs w:val="20"/>
        </w:rPr>
        <w:t xml:space="preserve"> (1) Az érettségi bizonyítványt, tanúsítványt az érettségi törzslap alapján – a bizonyítvány-, illetve tanúsítvány-nyomtatvány felhasználásával – a jegyző állítja ki, olvasható, nyomtatott betűkkel, nem fakuló tintával. A kiállított érettségi bizonyítványt, tanúsítványt legkésőbb a záróértekezletet követő első munkanapon át kell adni a vizsgázóknak.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érettségi bizonyítványba, tanúsítványba beírt adatoknak a megfelelő törzslapi adatokkal szó szerint egyezniük kell. Az érettségi bizonyítványon, tanúsítványon fel kell tüntetni a vizsgabizottságot működtető intézmény OM azonosítóját, kivéve, ha a vizsgabizottságot a kormányhivatal működteti. Erről az igazgatónak az érettségi bizonyítvány, tanúsítvány aláírása előtt meg kell győződnie.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érettségi bizonyítvány rovatainak kitöltésekor a vizsgatárgyak felesleges rovatait egy-egy vízszintes vonallal érvényteleníteni kell. A törzslapon és az érettségi bizonyítványban – feltéve, hogy a vizsgázó négy kötelező érettségi vizsgatárgyból tesz érettségi vizsgát – záradékkal kell rögzíteni azt, hogy a vizsgázó az iskolai rendszerű nevelésben-oktatásban szerzett államilag elismert szakképesítéssel rendelkezik.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érettségi bizonyítványban, tanúsítványban törölni, helyesbíteni vagy javítani nem szabad. Az elrontott tanúsítvány-nyomtatványra, illetve az elrontott bizonyítvány-nyomtatvány minden oldalára rá kell írni tintával, nyomtatott nagy betűkkel az „ELRONTOTT” kifejezést, és vastagon át kell húzni tintával.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jogorvoslati eljárásban a Hivatal, vagy a kormányhivatal döntését a bíróság utóbb megváltoztatja, a bíróság döntésének megfelelő érettségi bizonyítványt, tanúsítványt, törzslapkivonatot – az eredeti érettségi bizonyítvány, tanúsítvány, törzslapkivonat bevonása és érvénytelenítése után, a Hivatal, valamint a kormányhivatal egyidejű tájékoztatásával – a vizsgabizottságot működtető intézmény igazgatója állítja ki, írja alá, és látja el a vizsgabizottságot működtető intézmény körbélyegzőjének lenyomatával.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kiadott érettségi bizonyítványokról, tanúsítványokról és törzslapkivonatokról a vizsgabizottság jegyzője jelentést készít, amelyet – az érettségi vizsga eredményének kihirdetését követő öt munkanapon belül – elektronikus úton és nyomtatott formában hitelesítve, vagy elektronikus úton és elektronikusan hitelesítve megküld a Hivatalnak. A jelentésben a vizsgabizottságot működtető intézmény nevét, címét, OM azonosítóját, a vizsgázó természetes személyazonosító adatait, tanulói azonosítóját, és vizsgatárgyanként a vizsga szintjét, az elért százalékos eredményt és az osztályzatot, valamint a törzslap számát, az érettségi bizonyítvány, illetve tanúsítvány sorszámát és a vizsga időpontját kell feltüntetni. A tanúsítványokról készített jelentésben fel kell tüntetni az érettségi bizonyítvány sorszámát is. A jelentést az igazgató írja alá.</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Hivatal a kiadott érettségi bizonyítványokról, tanúsítványokról, és törzslapkivonatokról évenként és ezen belül vizsgaidőszakonként a köznevelési információs rendszer részeként központi nyilvántartást vezet.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51. §</w:t>
      </w:r>
      <w:r>
        <w:rPr>
          <w:rFonts w:ascii="Times New Roman" w:hAnsi="Times New Roman" w:cs="Times New Roman"/>
          <w:sz w:val="20"/>
          <w:szCs w:val="20"/>
        </w:rPr>
        <w:t xml:space="preserve"> (1) Az elveszett, megsemmisült érettségi bizonyítványról, tanúsítványról másodlatot lehet kiállítani, a törzslap alapján. A másodlatban mindazokat az adatokat fel kell tüntetni, amelyek az érettségi bizonyítványban szerepeltek. A másodlatot a kiállításra jogosult intézmény vezetője írja alá, és látja el az intézmény körbélyegzőjének lenyomatával. Ha törzslap hiányában másodlat nem állítható ki, a középiskolai </w:t>
      </w:r>
      <w:r>
        <w:rPr>
          <w:rFonts w:ascii="Times New Roman" w:hAnsi="Times New Roman" w:cs="Times New Roman"/>
          <w:sz w:val="20"/>
          <w:szCs w:val="20"/>
        </w:rPr>
        <w:lastRenderedPageBreak/>
        <w:t>bizonyítványban szereplő záradék alapján a vizsgabizottságot működtető intézmény – kérelemre – igazolást állít ki arról, hogy az érettségi vizsgát sikeresen letették, és az érettségi bizonyítványt kiállították.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Hivatal az érettségi bizonyítványok kiadásáról készített központi nyilvántartás alapján – kérelemre – igazolványt állít ki arról, hogy az érettségi vizsgát sikeresen letették, és az érettségi bizonyítványt kiállították. Az igazolványért – a (3) bekezdésben meghatározott kivétellel – a kiállítás napján érvényes kötelező legkisebb munkabér (minimálbér) húsz százalékának megfelelő díjat kell befizetni az Országos Közoktatási Intézet számlájára.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(1)–(2) bekezdésben szabályozott okiratokat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bizonyítvány tulajdonosának kérésére,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továbbá az Nkt. 41. § (5) bekezdésében felsoroltak megkeresésére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lehet kiállítani. A </w:t>
      </w:r>
      <w:r>
        <w:rPr>
          <w:rFonts w:ascii="Times New Roman" w:hAnsi="Times New Roman" w:cs="Times New Roman"/>
          <w:i/>
          <w:iCs/>
          <w:sz w:val="20"/>
          <w:szCs w:val="20"/>
        </w:rPr>
        <w:t>b)</w:t>
      </w:r>
      <w:r>
        <w:rPr>
          <w:rFonts w:ascii="Times New Roman" w:hAnsi="Times New Roman" w:cs="Times New Roman"/>
          <w:sz w:val="20"/>
          <w:szCs w:val="20"/>
        </w:rPr>
        <w:t xml:space="preserve"> pont alapján kiállított bizonyítvány kiállítása ingyenes.</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(2) bekezdésben szabályozott eljárás során megállapítható díj esetében alkalmazni kell az illetékekről szóló 1990. évi XCIII. törvény 33. §-át, 81. §-át és 88. §-át.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52. §</w:t>
      </w:r>
      <w:r>
        <w:rPr>
          <w:rFonts w:ascii="Times New Roman" w:hAnsi="Times New Roman" w:cs="Times New Roman"/>
          <w:sz w:val="20"/>
          <w:szCs w:val="20"/>
        </w:rPr>
        <w:t xml:space="preserve"> (1) Az érettségi vizsga iratainak első példányát a vizsgabizottságot működtető intézményben kell irattárba helyezni, az érettségi vizsga eredményének kihirdetését követő harminc napon belül.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iratokat az intézmény többi irataitól elkülönítve kell tárolni és kezelni. Az iratkezelésre az e rendeletben nem szabályozott kérdésekben a nevelési-oktatási intézmények iratkezelésére vonatkozó rendelkezéseket kell alkalmazni.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iratokat vizsgabizottságonként kell megőrizni.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iratok – az (5)–(6) bekezdésben meghatározott kivétellel – őrzési ideje tíz év.</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Tíz év eltelte után az iratokból a törzslapokat külön kell választani. A törzslapok nem selejtezhetők.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írásbeli vizsgadolgozatok őrzési ideje egy év. Az őrzési idő eltelte után – harminc napon belül, kérelemre – a vizsgadolgozatok átadhatók annak, aki írta.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érettségi vizsga időszakának utolsó napjától számítva az igazgató</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tizenöt napon belül a jegyzőkönyv és a törzslap egy példányát a kormányhivatalnak, a kormányhivatal által működtetett vizsgabizottság esetén a Hivatalnak,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tizenöt napon belül az érettségi vizsga eredményéről készült kimutatást a fenntartónak, az illetékes nemzetiségi önkormányzatnak</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megküldi.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tantárgyi bizottság üléseiről készített jegyzőkönyveket a kormányhivatalnál kell megőrizni, a többi irattól elkülönítve. Az őrzési idő tíz év.</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VEGYES ÉS ZÁRÓ RENDELKEZÉSEK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nemzetiségi nyelvű és a két tanítási nyelvű érettségi vizsgára vonatkozó külön rendelkezések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53. §</w:t>
      </w:r>
      <w:r>
        <w:rPr>
          <w:rFonts w:ascii="Times New Roman" w:hAnsi="Times New Roman" w:cs="Times New Roman"/>
          <w:sz w:val="20"/>
          <w:szCs w:val="20"/>
        </w:rPr>
        <w:t xml:space="preserve"> (1) Ha a középiskola (iskolai tagozat, osztály) részt vesz a nemzetiségi oktatásban a Nemzeti, etnikai kisebbség iskolai oktatásának irányelve határozza meg, hogy mely és hány tantárgy oktatása folyik a nemzeti, etnikai kisebbség nyelvén és a tanulónak hány tantárgyat kell ezen a nyelven tanulnia.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középiskola (iskolai tagozat, osztály) részt vesz a nemzetiségi oktatásban és az oktatás két nyelven (a nemzetiségi nyelven és magyarul) vagy kizárólag a nemzetiségi nyelven folyik az érettségi vizsgán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anyanyelv (nemzetiségi nyelv) és irodalom mellett, a nemzetiségi nyelven tanult tantárgyak közül legalább kettőből az érettségi vizsgát a nemzetiségi nyelven kell teljesíteni,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vizsgázó más vizsgatárgyakhoz kapcsolódóan vagy önálló választható vizsgatárgy keretében a népismeret körébe tartozó ismeretekből is számot ad tudásáról,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nemzetiségi nyelven folyó írásbeli vizsga idejét az írásbeli vizsga minden – időben elkülönülő – összetevője esetében huszonöt százalékkal meg kell növelni,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nemzetiségi nyelven folyó írásbeli vizsgán kétnyelvű szótár használható,</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nemzetiségi nyelven tanult vizsgatárgyakból a szóbeli vizsgán a feleltetés harminc percig tarthat,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vizsgabizottság elnöke az lehet, aki az adott nyelv oktatására jogosító, egyetemi szintű tanári szakképzettséggel vagy az adott nyelven folyó nevelő és oktató munkához a pedagógus-munkakör betöltéséhez szükséges egyetemen szerzett végzettséggel és szakképzettséggel rendelkezik.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középiskolában (iskolai tagozaton, osztályban) az oktatás a magyar nyelv mellett másik tannyelven (a továbbiakban: célnyelven) is folyik, (a továbbiakban: két tanítási nyelv) a Két tanítási nyelvű iskolai oktatás irányelve határozza meg, hogy mely és hány tantárgy oktatása folyik célnyelven.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 két tanítási nyelvű érettségi vizsgán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kötelező idegen nyelv vizsgatárgy a célnyelv,</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célnyelven tanult vizsgatárgyak közül legalább kettőből – annak valamennyi tételéből – célnyelven kell vizsgázni,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célnyelven folyó írásbeli vizsga idejét az írásbeli vizsga minden – időben elkülönülő – összetevője esetében huszonöt százalékkal meg kell növelni,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célnyelven folyó írásbeli vizsgán kétnyelvű szótár használható,</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célnyelven tanult vizsgatárgyakból a szóbeli vizsgán a feleltetés harminc percig tarthat,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vizsgabizottság elnöke az lehet, aki a célnyelv oktatására jogosító egyetemen szerzett pedagógus végzettséggel és szakképzettséggel vagy az adott nyelven folyó nevelő és oktató munkához a pedagógus-munkakör betöltéséhez szükséges egyetemen szerzett végzettséggel és szakképzettséggel rendelkezik.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vizsgázó az (1) vagy a (3) bekezdésben meghatározott középiskolában (tagozaton, osztályban) folytatja tanulmányait, tanulói jogviszonyának fennállása alatt a (2), illetve a (4) bekezdésben meghatározottak szerint, tanulói jogviszonyának megszűnését követően – választása szerint – az általános szabályok vagy e §-ban foglaltak szerint tehet érettségi vizsgát.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nemzetiségi nyelven vagy célnyelven teljesített emelt szintű szóbeli vizsgatárgyi érettségi vizsgán a vizsgatárgyi bizottsági tag megbízása során a kormányhivatal a képesítési követelmények és a bizottság létszáma tekintetében eltérhet e rendelet 17/A. § (2) bekezdésében meghatározott feltételektől.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két tanítási nyelvű, valamint a nemzetiségi oktatásban részt vevő iskola tanulójának a történelem vizsgatárgy célnyelven, nemzetiségi nyelven folyó írásbeli és szóbeli érettségi vizsgáján a forrásszövegeket magyar nyelven is rendelkezésére kell bocsátani.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54. §</w:t>
      </w:r>
      <w:r>
        <w:rPr>
          <w:rFonts w:ascii="Times New Roman" w:hAnsi="Times New Roman" w:cs="Times New Roman"/>
          <w:sz w:val="20"/>
          <w:szCs w:val="20"/>
        </w:rPr>
        <w:t xml:space="preserve"> (1) A vizsgázó érettségi bizonyítványa,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 vizsgázó nemzetiségi nyelv és irodalom vizsgatárgyból emelt szinten legalább 60%-ot ért el, és sikeresen teljesítette az érettségi vizsga írásbeli és szóbeli vizsgáit, azoknak minden vizsgarészét a részletes követelményekben meghatározott módon, továbbá</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nemzetiségi nyelven legalább még két vizsgatárgyból sikeres, legalább középszintű vizsgát tett, felsőfokú (C1) komplex típusú államilag elismert nyelvvizsga-bizonyítvánnyal egyenértékű okiratnak minősül.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vizsgázó érettségi bizonyítványa,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 vizsgázó nemzetiségi nyelv és irodalom vizsgatárgyból emelt szinten 25–59%-ot vagy középszinten legalább 80%-ot ért el, és sikeresen teljesítette az érettségi vizsga írásbeli és szóbeli vizsgáit, azoknak minden vizsgarészét a részletes követelményekben meghatározott módon, továbbá</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nemzetiségi nyelven legalább még két vizsgatárgyból sikeres, legalább középszintű vizsgát tett, középfokú (B2) komplex típusú államilag elismert nyelvvizsga-bizonyítvánnyal egyenértékű okiratnak minősül.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vizsgázó érettségi bizonyítványa,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 vizsgázó nemzetiségi nyelv és irodalom vizsgatárgyból középszinten legalább 60%-ot ért el, és sikeresen teljesítette az érettségi vizsga írásbeli és szóbeli vizsgáit, azoknak minden vizsgarészét a részletes követelményekben meghatározott módon, továbbá</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nemzetiségi nyelven legalább még két vizsgatárgyból sikeres, legalább középszintű vizsgát tett alapfokú (B1) komplex típusú államilag elismert nyelvvizsga-bizonyítvánnyal egyenértékű okiratnak minősül.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vizsgázó érettségi bizonyítványa, ha a vizsgázó célnyelvből sikeresen teljesítette emelt szinten az érettségi vizsga írásbeli és szóbeli vizsgáit, azoknak minden vizsgarészét a részletes követelményekben meghatározott módon, továbbá</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legalább 60%-ot ért el, és</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másik két vizsgatárgyból célnyelven, sikeres, legalább középszintű, vizsgát tett,</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felsőfokú (C1) komplex típusú államilag elismert nyelvvizsga-bizonyítvánnyal egyenértékű okiratnak minősül.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Amennyiben a vizsgázó célnyelvből az emelt szintű vizsgát a 6. § (7) bekezdésében megfogalmazott jogával élve tette le, és megfelel a (4) bekezdésben foglalt feltételeknek, és,</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részletes követelményekben meghatározott módon teljesítette a szóbeli és a hallott szöveg értése vizsgarészeket, érettségi bizonyítványa felsőfokú (C1) szóbeli típusú államilag elismert nyelvvizsga-bizonyítvánnyal egyenértékű okiratnak minősül,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részletes követelményekben meghatározott módon teljesítette az olvasott szöveg értése, az íráskészség és a nyelvhelyesség vizsgarészeket, érettségi bizonyítványa felsőfokú (C1) írásbeli típusú államilag elismert nyelvvizsga-bizonyítvánnyal egyenértékű okiratnak minősül.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vizsgázó nem az (1)–(5) bekezdésben meghatározottak szerint tesz érettségi vizsgát, a 45. § (4) bekezdésében foglaltakat kell alkalmazni.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55. §</w:t>
      </w:r>
      <w:r>
        <w:rPr>
          <w:rFonts w:ascii="Times New Roman" w:hAnsi="Times New Roman" w:cs="Times New Roman"/>
          <w:sz w:val="20"/>
          <w:szCs w:val="20"/>
        </w:rPr>
        <w:t xml:space="preserve"> Az 53. § (2)–(4) bekezdése szerint szervezett érettségi vizsgán a nemzetiségi nyelven, illetve a célnyelven és magyar nyelven kell elkészíteni és kiállítani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feladatlapokat és az útmutatókat,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törzslapot és a törzslapkivonatot,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érettségi bizonyítványt,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tanúsítványt.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külföldön szerzett</w:t>
      </w:r>
      <w:r>
        <w:rPr>
          <w:rFonts w:ascii="Times New Roman" w:hAnsi="Times New Roman" w:cs="Times New Roman"/>
          <w:i/>
          <w:iCs/>
          <w:sz w:val="20"/>
          <w:szCs w:val="20"/>
        </w:rPr>
        <w:br/>
        <w:t>érettségi bizonyítványokra vonatkozó rendelkezések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56. §</w:t>
      </w:r>
      <w:r>
        <w:rPr>
          <w:rFonts w:ascii="Times New Roman" w:hAnsi="Times New Roman" w:cs="Times New Roman"/>
          <w:sz w:val="20"/>
          <w:szCs w:val="20"/>
        </w:rPr>
        <w:t xml:space="preserve"> Ha a külföldi oktatási intézményben szerzett és Magyarországon nemzetközi szerződéssel egyenértékűnek el nem ismert bizonyítvány középiskolai érettségi bizonyítványként történő elismerése – a külföldi bizonyítványok és oklevelek elismeréséről szóló 2001. évi C. törvény (a továbbiakban: elismerési törvény) 13. §-a alapján – nem lehetséges, a bizonyítvány tulajdonosa az elismerési törvény 62. §-a alapján kérheti a középiskolától a külföldön folytatott tanulmányok beszámítását. Az iskola igazgatója az elismerési törvény 62. §-a alapján lefolytatott eljárás keretében dönt arról, hogy a bizonyítvány tulajdonosa – a külföldön folytatott tanulmányok beszámítása alapján – befejezte-e a középiskolai tanulmányait, és érettségi vizsgára bocsátható. Ha az iskola igazgatója megállapítja, hogy a bizonyítvány tulajdonosa a középiskolai tanulmányait befejezte, és érettségi vizsgát tehet, ezt a tényt záradék formájában a külföldön kiállított bizonyítvány fordítására rávezeti. A záradékot iktatószámmal, az iskola bélyegzőjének lenyomatával és az igazgató aláírásával kell ellátni. A záradékkal ellátott bizonyítvány másolatát – a bizonyítványokra vonatkozó rendelkezések szerint – az iskola irattárában el kell helyezni. A záradékkal ellátott bizonyítvány tulajdonosa az e rendeletben meghatározottak szerint jelentkezhet érettségi vizsgára.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Átmeneti és vegyes rendelkezések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56/A. §</w:t>
      </w:r>
      <w:r>
        <w:rPr>
          <w:rFonts w:ascii="Times New Roman" w:hAnsi="Times New Roman" w:cs="Times New Roman"/>
          <w:sz w:val="20"/>
          <w:szCs w:val="20"/>
        </w:rPr>
        <w:t xml:space="preserve"> (1) Nemzetközi érettségi bizonyítványt az a középiskola állíthat ki, amelyik rendelkezik a Nemzetközi Érettségi Szervezet (International Baccalaureate Organisation) hozzájárulásával. A nemzetközi érettségi vizsgát a Nemzetközi Érettségi Szervezet által meghatározott eljárás szerint kell lefolytatni. A nemzetközi érettségi bizonyítvány tulajdonosát megilletik mindazok a jogok, amelyek a magyar érettségi bizonyítvánnyal rendelkezőket.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magyar érettségi bizonyítványt a középiskola nemzetközi szerződés alapján állíthat ki.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Magyarországon kiadott nemzetközi érettségi bizonyítvány, valamint államközi megállapodás alapján Magyarországon működő külföldi vagy külföldi rendszerű iskola által kiállított érettségi bizonyítvány eredményei alapján – a miniszter egyedi határozata szerint – az iskola magyar érettségi bizonyítványt is kiállíthat.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57. §</w:t>
      </w:r>
      <w:r>
        <w:rPr>
          <w:rFonts w:ascii="Times New Roman" w:hAnsi="Times New Roman" w:cs="Times New Roman"/>
          <w:sz w:val="20"/>
          <w:szCs w:val="20"/>
        </w:rPr>
        <w:t xml:space="preserve"> (1) Az igazgató vagy a vizsgabizottság elnöke az érettségi vizsga törvényes megtartását veszélyeztető eseményről értesíti a kormányhivatal közreműködésével, a kormányhivatal által működtetett vizsgabizottság esetén közvetlenül a Hivatalt, akinek az intézkedéséig a vizsga nem kezdhető meg, illetve nem folytatható. A Hivatal indokolt esetben megkeresi a minisztert az Nkt. 78.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illetve e szabályzat 58. §-ában szabályozott intézkedés kezdeményezése céljából.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Hivatal az érettségi vizsga törvényes lefolytatásának biztosítása céljából a következő intézkedéseket hozhatja: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új feladatlapokat, szóbeli tételeket igényel, illetve készíttet,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érettségi biztost küld a vizsga törvényes lefolytatásának ellenőrzésére,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érettségi biztos jelentése alapján az (1) bekezdésben meghatározottak szerint jár el.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17. § (1) bekezdésében meghatározott szervezetek képviselője szükség esetén megkeresi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fenntartót, ha az iskola működésével kapcsolatban az Nkt. 86.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szabályozott törvényességi ellenőrzést tart szükségesnek, illetve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kormányhivatal közreműködésével a Hivatalt, az (1)–(2) bekezdésben szabályozott intézkedés kezdeményezése céljából.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58. §</w:t>
      </w:r>
      <w:r>
        <w:rPr>
          <w:rFonts w:ascii="Times New Roman" w:hAnsi="Times New Roman" w:cs="Times New Roman"/>
          <w:sz w:val="20"/>
          <w:szCs w:val="20"/>
        </w:rPr>
        <w:t xml:space="preserve"> (1) A miniszter – hivatalból vagy a Hivatal megkeresésére indított eljárásban – megvonhatja a középiskolától az érettségi vizsga megszervezésének jogát, amennyiben a vizsgáztatás tárgyilagos, szakszerű megszervezésének, lebonyolításának nincsenek meg az előfeltételei. A határozatban meg kell jelölni azt a </w:t>
      </w:r>
      <w:r>
        <w:rPr>
          <w:rFonts w:ascii="Times New Roman" w:hAnsi="Times New Roman" w:cs="Times New Roman"/>
          <w:sz w:val="20"/>
          <w:szCs w:val="20"/>
        </w:rPr>
        <w:lastRenderedPageBreak/>
        <w:t>középiskolát, amelyben az érintettek érettségi vizsgát tehetnek. A vizsgáztatási jog megvonása legfeljebb két tanítási évre szólhat, de újabb határozattal több alkalommal is megismételhető.</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miniszter az érettségi vizsga eredményét – határozattal – megsemmisíti, és a kiállított érettségi bizonyítványt, tanúsítványt vagy törzslapkivonatot érvénytelennek nyilvánítja, ha bebizonyosodik, hogy a bizonyítványt, tanúsítványt vagy törzslapkivonatot jogellenesen szerezték meg.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miniszter a jogerős határozat megküldésével intézkedik a megsemmisítés és érvénytelenné nyilvánítás tényének az érettségi vizsga törzslapjára történő rávezetéséről.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határozat jogerőre emelkedése után az érvénytelenné nyilvánított érettségi bizonyítványt, tanúsítványt vagy törzslapkivonatot be kell vonni, és az érvénytelenné nyilvánító határozatot az oktatásért felelős miniszter által vezetett minisztérium hivatalos honlapján – indokolás nélkül – közzé kell tenni.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 §</w:t>
      </w:r>
      <w:r>
        <w:rPr>
          <w:rFonts w:ascii="Times New Roman" w:hAnsi="Times New Roman" w:cs="Times New Roman"/>
          <w:sz w:val="20"/>
          <w:szCs w:val="20"/>
        </w:rPr>
        <w:t xml:space="preserve"> (1) A vizsgázó, a kiskorú vizsgázó szülője a vizsgabizottság döntése ellen az Nkt. 38. § (7) bekezdésében szabályozott fellebbezést – a kormányhivatalnak, a kormányhivatal által működtetett vizsgabizottság esetén a Hivatalnak címezve – az igazgatónak nyújthatja be.</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igazgató a fellebbezést a döntéssel kapcsolatosan rendelkezésre álló valamennyi irat másolatával együtt a benyújtás napján, illetve, ha ez nem lehetséges, a benyújtást követő első munkanapon kézbesítővel megküldi a kormányhivatalnak, a kormányhivatal által működtetett vizsgabizottság esetén a Hivatalnak. A fellebbezéshez csatolni kell a vizsgabizottság elnökének az üggyel kapcsolatos nyilatkozatát is.</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kormányhivatal, a kormányhivatal által működtetett vizsgabizottság esetén a Hivatal a fellebbezés tárgyában – az Nkt. 38. § (7) bekezdése alapján – meghozott döntéséről, a kézbesítéssel egyidejűleg – rövid úton (futár, telefax, távbeszélő) értesíti az igazgatót, aki arról haladéktalanul tájékoztatja a vizsgabizottság elnökét. A kormányhivatal, a kormányhivatal által működtetett vizsgabizottság esetén a Hivatal a döntését – annak érdekében, hogy a bírósági felülvizsgálattól függetlenül végre lehessen hajtani – előzetesen végrehajthatóvá nyilvánítja.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 §</w:t>
      </w:r>
      <w:r>
        <w:rPr>
          <w:rFonts w:ascii="Times New Roman" w:hAnsi="Times New Roman" w:cs="Times New Roman"/>
          <w:sz w:val="20"/>
          <w:szCs w:val="20"/>
        </w:rPr>
        <w:t xml:space="preserve"> (1) Az érettségi vizsgán végzett munkáért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vizsgabizottság és a tantárgyi bizottság elnökének, a szaktanárnak, a kérdező tanárnak, a vizsgabizottság jegyzőjének vizsgáztatási díj,</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vizsgabiztosnak, a felügyelő tanárnak, a helyettesnek, valamint a kormányhivatal által működtetett vizsgabizottság kivételével az igazgatónak díjazás</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vizsgáztatási díj nem lehet kevesebb a vizsgáztatási alapdíj (a továbbiakban: alapdíj) százalékában meghatározott összegnél. Az alapdíj összege százegyezer-ötszáz forint.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vizsgáztatási díj legkisebb mértékét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vizsgabizottság elnöke részére vizsgabizottságba beosztott összes vizsgázó száma és az alapdíj egy százalékának szorzata, továbbá a vizsgabizottság által lebonyolított összes középszintű vizsgatárgyi vizsga számának és az alapdíj fél százalékának szorzata,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középszintű vizsga esetében a szaktanár részére az általa javított vizsgadolgozatok száma és az alapdíj kettő százaléka szorzata,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emelt szintű vizsga esetében a szaktanár részére az általa javított vizsgadolgozatok száma és az alapdíj három százaléka szorzata,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középszintű vizsga esetében a kérdező tanár részére az általa tartott szóbeli vizsgák száma és az alapdíj kettő százaléka szorzata,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vizsgabizottság jegyzője részére a törzslapon feltüntetett valamennyi vizsgázó száma és az alapdíj kettő százaléka szorzata,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tantárgyi bizottság elnöke részére legalább az alapdíj huszonöt százalékában, illetve, ha ezt meghaladja, a tantárgyi bizottságba beosztott összes vizsgázó száma és az alapdíj három százaléka szorzata,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tantárgyi bizottság kérdező tanára részére legalább az alapdíj tizenöt százalékában, illetve ha ezt meghaladja, a tantárgyi bizottságba beosztott összes vizsgázó száma és az alapdíj kettő százaléka szorzata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eredményeként kell megállapítani.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szaktanári és a kérdező tanári feladatokat azonos személy látja el, a vizsgadíj mind a kettő jogcímen megilleti.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igazgató és a vizsgabiztos díjazásának összege nem lehet kevesebb az alapdíj</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összegének ötven százalékánál, ha a vizsgázók száma öt vagy annál kevesebb,</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összegénél, ha a vizsgázók száma meghaladja az ötöt, de nem haladja meg a harmincat,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kétszeresénél, ha a vizsgázók száma meghaladja a harmincat, de nem haladja meg a hetvenet,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háromszorosánál, ha a vizsgázók száma meghaladja a hetvenet.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Ha az igazgató az érettségi vizsga szervezésével kapcsolatos feladatainak ellátásába a helyettesét, illetve más megbízottját is bevonta, a feladatainak ellátásában közreműködők díjazását az érintett vizsgázók számára tekintettel az igazgató állapítja meg.</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felügyelő tanár részére díjazás azokra az órákra állapítható meg, amelyeken legalább harminc percig felügyeletet látott el. Több megkezdett óra idejét össze kell vonni. Az egy óráért járó összeg nem lehet kevesebb az alapdíj kettő százalékánál.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helyettesek részére azokra a napokra, amelyek alatt készenlétben kell állniuk, az alapdíj négy százaléka jár.</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 a vizsgabizottság elnökének tartózkodási helye – ennek hiányában lakóhelye – és a vizsgabizottság működési helye nem egy településen van, a vizsgaelnök számára a vizsgaelnöki teendőivel kapcsolatos utazás igazolt költségeit meg kell téríteni.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e §-ban szabályozott díjak közül a vizsgabizottság elnökével, valamint az emelt szintű vizsgáztatással kapcsolatos költségeket a kormányhivatal, a kormányhivatal által működtetett vizsgabizottság esetén a vizsgabizottság elnökével kapcsolatos költségeket a Hivatal, minden egyéb költséget a vizsgabizottságot működtető intézmény köteles fedezni. A díjat, díjazást száz forintra kerekítve kell megállapítani.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60/A. §</w:t>
      </w:r>
      <w:r>
        <w:rPr>
          <w:rFonts w:ascii="Times New Roman" w:hAnsi="Times New Roman" w:cs="Times New Roman"/>
          <w:sz w:val="20"/>
          <w:szCs w:val="20"/>
        </w:rPr>
        <w:t xml:space="preserve"> (1) Az érettségi írásbeli feladatlapjait – amennyiben azokat az erre jogosult minősítő korlátozott terjesztésűvé minősítette – a minősítés érvényességi idejéig a korlátozott terjesztésű minősítésű adatok védelmére vonatkozó rendelkezések szerint kell kezelni.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vizsgabizottságot működtető intézmény vezetője felel a minősített adatok védelmére vonatkozó rendelkezések megtartásáért az érettségi írásbeli feladatlapok tekintetében. A vizsgabizottságot működtető intézmény vezetője az intézmény iratkezelési szabályzatának részeként meghatározza a minősített adatok védelmével kapcsolatos intézményi feladatokat.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vizsgabizottságot működtető intézmény a kétszintű érettségi vizsga során a kétszintű érettségi vizsga adminisztrációs rendszerében végzi el a vizsgázók jelentkeztetését, az írásbeli vizsgák beosztását, a vizsgaeredmények rögzítését, a vizsgadokumentumok (vizsgáztatási jegyzék, írásbeli vizsgajegyzőkönyvek, osztályozó ív, törzslap külív és belív, törzslapkivonat) előállítását, kinyomtatását. Az emelt szintű vizsgák szervezéséhez szükséges, a Hivatal által meghatározott adatokat a kormányhivatal, a Hivatal által meghatározott ütemezés szerint rögzíti a kétszintű érettségi vizsga adminisztrációs rendszerében. Az informatikai rendszer tartalmának meghatározása és ellenőrzése a Hivatal feladata. Az informatikai rendszerben rögzített adatok hitelességéért annak az intézménynek az igazgatója felel, amelyik az adat rögzítésére jogosult.</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vizsgabizottságot működtető intézmény igazgatójának biztosítania kell a Hivatal által működtetett elektronikus üzenetküldő rendszer folyamatos figyelemmel kísérését minden vizsgahelyszínen, minden vizsganapon. Az intézményben folyó írásbeli, gyakorlati érettségi vizsgák alkalmával a figyelemmel kísérést a vizsga kezdete előtt legalább 30 perccel meg kell kezdeni és az írásbeli, gyakorlati vizsgára a részletes vizsgakövetelményekben meghatározott időtartam letelte után 30 percig kell biztosítani. Az intézményben folyó szóbeli vizsgák időtartama alatt az elektronikus üzenetküldő rendszert legalább kétóránként kell megtekinteni (vagy ellenőrizni).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60/B. §</w:t>
      </w:r>
      <w:r>
        <w:rPr>
          <w:rFonts w:ascii="Times New Roman" w:hAnsi="Times New Roman" w:cs="Times New Roman"/>
          <w:sz w:val="20"/>
          <w:szCs w:val="20"/>
        </w:rPr>
        <w:t xml:space="preserve"> (1) Azoknak a tanulóknak, akik a felnőttoktatásban nem a nappali oktatás munkarendje szerint készülnek fel, a 2009/2010. tanév május–júniusi vizsgaidőszakától kezdődően kötelező idegen nyelvből érettségi vizsgát tenni. Addig az időpontig a tanulók az idegen nyelv vizsgatárgy helyett más vizsgatárgyból vizsgázhatnak.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Idegen nyelv érettségi vizsga nélkül tehet érettségi vizsgát az, akinek a tanulói jogviszonya megszűnésének időpontjában hatályos érettségi vizsgaszabályzat rendelkezései szerint nem kellett idegen nyelvből érettségi vizsgát tennie. Az idegen nyelv vizsgatárgy helyett másik vizsgatárgyból kell érettségi vizsgát tenni.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aki a 2007/2008-as tanévben vagy azt megelőzően részt vett az országos középiskolai (szakmai) tanulmányi verseny döntőjében, az adott vizsgatárgyból teljesítette az érettségi vizsga vizsgakövetelményeit, és tekintetükben e rendelet 12. §-a (1) bekezdésének első mondatát nem kell alkalmazni. Az országos tanulmányi verseny 2007/2008. tanévi versenykiírása határozza meg, hogy a döntőben részt vett versenyzők közül hányan kaphatnak emelt szintű, és hányan középszintű érettségi vizsgaeredményt. Aki az e bekezdésben meghatározottak szerint teljesítette az érettségi vizsga követelményét, annak tudását – középszinten, illetve emelt szinten – jeles osztályzattal és százszázalékos minősítéssel kell elismerni. A tanulmányi versenyen elért középszintű vizsgaeredmény nem zárja ki, hogy az érintett emelt szintű érettségi vizsga letételére jelentkezzen.</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Akkreditált érettségi vizsgatárgyakból a 2014/2015. tanév október–novemberi vizsgaidőszakban lehet utoljára érettségi vizsgát tenni. A pszichológia vizsgatárgyból a 2014/2015. tanév május–júniusi vizsgaidőszakában lehet először választható közismereti vizsgatárgyként érettségi vizsgát tenni.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vizsgaszabályzat 2. számú melléklet ELSŐ RÉSZ cím AZ ÉRETTSÉGI VIZSGA VIZSGATÁRGYI ÉS A VIZSGA FORMÁI alcímet követő táblázatának Választható közismereti vizsgatárgyak 23. Utazás és turizmus </w:t>
      </w:r>
      <w:r>
        <w:rPr>
          <w:rFonts w:ascii="Times New Roman" w:hAnsi="Times New Roman" w:cs="Times New Roman"/>
          <w:sz w:val="20"/>
          <w:szCs w:val="20"/>
        </w:rPr>
        <w:lastRenderedPageBreak/>
        <w:t>vizsgatárgyából csak a kötelezően választott vizsgatárgyon felüli, hatodik vizsgatárgyként lehet érettségi vizsgát tenni a 2013/2014. tanév május–júniusi vizsgaidőszaktól.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2013/2014. tanév május–júniusi érettségi vizsgaidőszaktól a nemzetiségi nyelvet tanulók az adott nemzetiségi nyelvnek megfelelő idegen nyelv vizsgatárgyból jelentkeznek érettségi vizsgára. A középszintű szóbeli érettségi vizsgán a nemzetiségi nyelvet tanulók számára – a 31.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 – készített tételsorba az intézmény pedagógiai programja alapján a nemzetiségi nyelvoktatás részét képező nemzetiségi ismereteiket is be kell építeni.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Hatályba léptető rendelkezések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61. §</w:t>
      </w:r>
      <w:r>
        <w:rPr>
          <w:rFonts w:ascii="Times New Roman" w:hAnsi="Times New Roman" w:cs="Times New Roman"/>
          <w:sz w:val="20"/>
          <w:szCs w:val="20"/>
        </w:rPr>
        <w:t xml:space="preserve"> (1) Ez a rendelet a kihirdetését követő 8. napon lép hatályba.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(3)–(4)</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2002–2005-ben szervezett vizsgaidőszakokban teljesítette idegen nyelvből az érettségi vizsgát az, aki – egynyelvű vagy kétnyelvű – legalább középfokú, „C” típusú, államilag elismert nyelvvizsga-bizonyítvánnyal vagy azzal egyenértékű okirattal rendelkezik. Ebben az esetben a vizsgázó tudását 2004-ig jeles (5) osztályzattal; 2005-ben emelt szintű jeles (5) (100%) osztályzattal kell minősíteni. A felsőoktatási felvételi eljárás során a jelentkezési feltételként meghatározott emelt szintű idegen nyelvi érettségi vizsga teljesítését nem helyettesíti az e bekezdés szerint a nyelvvizsga-bizonyítvány alapján kiadott érettségi bizonyítvány. Az a tanuló, akinek a felsőoktatási továbbtanulásnál feltétel az idegen nyelvi emelt szintű érettségi vizsga letétele, és aki korábban államilag elismert nyelvvizsga-bizonyítvány alapján teljesítette az előrehozott emelt szintű idegen nyelvi érettségit, még tanulói jogviszonya alatt jelentkezhet ugyanabból a nyelvből emelt szintű idegen nyelvi érettségi vizsgára.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(12)–(14)</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61/A. §</w:t>
      </w:r>
      <w:r>
        <w:rPr>
          <w:rFonts w:ascii="Times New Roman" w:hAnsi="Times New Roman" w:cs="Times New Roman"/>
          <w:sz w:val="20"/>
          <w:szCs w:val="20"/>
        </w:rPr>
        <w:t xml:space="preserve"> A 2013. évi május–júniusi vizsgaidőszaktól kezdődően emelt szintű érettségi vizsga abból a vizsgatárgyból tehető, amely – mint a felsőoktatási felvételi eljárás során figyelembe vehető érettségi vizsgatárgy – a felsőoktatási felvételi eljárásról szóló 423/2012. (XII. 29.) Korm. rendelet 2. mellékletében szerepel.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61/B. §</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61/B. §</w:t>
      </w:r>
      <w:r>
        <w:rPr>
          <w:rFonts w:ascii="Times New Roman" w:hAnsi="Times New Roman" w:cs="Times New Roman"/>
          <w:sz w:val="20"/>
          <w:szCs w:val="20"/>
        </w:rPr>
        <w:t xml:space="preserve"> A katonai alapismeretek érettségi vizsgatárgyból érettségi vizsgát emelt szinten első alkalommal a 2012/2013. tanév május-júniusi vizsgaidőszakban lehet tenni.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61/C. §</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61/D. §</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61/E. §</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61/F. §</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62. §</w:t>
      </w:r>
      <w:r>
        <w:rPr>
          <w:rFonts w:ascii="Times New Roman" w:hAnsi="Times New Roman" w:cs="Times New Roman"/>
          <w:sz w:val="20"/>
          <w:szCs w:val="20"/>
        </w:rPr>
        <w:t xml:space="preserve"> (1)</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63. §</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64. §</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lastRenderedPageBreak/>
        <w:t>65. §</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számú melléklet a 100/1997. (VI. 13.) Korm. rendelethez</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érettségi vizsga iratai és záradékai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 Nyomtatványok</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Érettségi bizonyítvány*</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Érettségi vizsga törzslapja (külív, belív)*</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Törzslapkivonat az érettségi vizsgáról*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Jelentkezés érettségi vizsgára</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Jegyzőkönyv az írásbeli, szóbeli vizsgáról és a vizsgabizottság üléseiről, illetve a tantárgyi vizsgabizottság üléseiről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Tanúsítvány az érettségi vizsgáról*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Jelentés a vizsgaeredményekről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Kimutatás az érettségi bizonyítványokról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Osztályozó ív (külív, belív), egyéni osztályozó ív</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Vizsgáztatási jegyzék a vizsgázókról</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_______</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*-gal jelölt nyomtatványok gyártásához és forgalmazásához az oktatásért felelős miniszter által vezetett minisztérium engedélye szükséges.</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0" w:line="360" w:lineRule="auto"/>
        <w:jc w:val="center"/>
        <w:rPr>
          <w:rFonts w:ascii="Times New Roman" w:hAnsi="Times New Roman" w:cs="Times New Roman"/>
          <w:sz w:val="20"/>
          <w:szCs w:val="20"/>
        </w:rPr>
      </w:pPr>
    </w:p>
    <w:p w:rsidR="004C2997" w:rsidRDefault="004C2997" w:rsidP="004C2997">
      <w:pPr>
        <w:autoSpaceDE w:val="0"/>
        <w:autoSpaceDN w:val="0"/>
        <w:adjustRightInd w:val="0"/>
        <w:spacing w:after="0" w:line="360" w:lineRule="auto"/>
        <w:jc w:val="center"/>
        <w:rPr>
          <w:rFonts w:ascii="Times New Roman" w:hAnsi="Times New Roman" w:cs="Times New Roman"/>
          <w:sz w:val="20"/>
          <w:szCs w:val="20"/>
        </w:rPr>
      </w:pPr>
      <w:r>
        <w:rPr>
          <w:rFonts w:ascii="Times New Roman" w:hAnsi="Times New Roman" w:cs="Times New Roman"/>
          <w:sz w:val="20"/>
          <w:szCs w:val="20"/>
        </w:rPr>
        <w:t>Záradékok</w:t>
      </w:r>
    </w:p>
    <w:p w:rsidR="004C2997" w:rsidRDefault="004C2997" w:rsidP="004C2997">
      <w:pPr>
        <w:autoSpaceDE w:val="0"/>
        <w:autoSpaceDN w:val="0"/>
        <w:adjustRightInd w:val="0"/>
        <w:spacing w:after="0" w:line="36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360" w:lineRule="auto"/>
        <w:jc w:val="both"/>
        <w:rPr>
          <w:rFonts w:ascii="Times New Roman" w:hAnsi="Times New Roman" w:cs="Times New Roman"/>
          <w:sz w:val="20"/>
          <w:szCs w:val="20"/>
        </w:rPr>
      </w:pPr>
      <w:r>
        <w:rPr>
          <w:rFonts w:ascii="Times New Roman" w:hAnsi="Times New Roman" w:cs="Times New Roman"/>
          <w:sz w:val="20"/>
          <w:szCs w:val="20"/>
        </w:rPr>
        <w:t>1. Az érettségi vizsgabizottság körbélyegzőjének felirata: ................................ mellett működő érettségi vizsgabizottság.</w:t>
      </w:r>
    </w:p>
    <w:p w:rsidR="004C2997" w:rsidRDefault="004C2997" w:rsidP="004C2997">
      <w:pPr>
        <w:autoSpaceDE w:val="0"/>
        <w:autoSpaceDN w:val="0"/>
        <w:adjustRightInd w:val="0"/>
        <w:spacing w:after="0" w:line="360" w:lineRule="auto"/>
        <w:jc w:val="both"/>
        <w:rPr>
          <w:rFonts w:ascii="Times New Roman" w:hAnsi="Times New Roman" w:cs="Times New Roman"/>
          <w:sz w:val="20"/>
          <w:szCs w:val="20"/>
        </w:rPr>
      </w:pPr>
      <w:r>
        <w:rPr>
          <w:rFonts w:ascii="Times New Roman" w:hAnsi="Times New Roman" w:cs="Times New Roman"/>
          <w:sz w:val="20"/>
          <w:szCs w:val="20"/>
        </w:rPr>
        <w:t>2. Az érettségi vizsga követelményeit .............................................................. vizsgatárgyból nem teljesítette, ....................................... javítóvizsgát tehet. (A második pontozott rész: az adott vizsgatárgyból az adott tanuló hányadik alkalommal tehet javítóvizsgát.)</w:t>
      </w:r>
    </w:p>
    <w:p w:rsidR="004C2997" w:rsidRDefault="004C2997" w:rsidP="004C2997">
      <w:pPr>
        <w:autoSpaceDE w:val="0"/>
        <w:autoSpaceDN w:val="0"/>
        <w:adjustRightInd w:val="0"/>
        <w:spacing w:after="0" w:line="360" w:lineRule="auto"/>
        <w:jc w:val="both"/>
        <w:rPr>
          <w:rFonts w:ascii="Times New Roman" w:hAnsi="Times New Roman" w:cs="Times New Roman"/>
          <w:sz w:val="20"/>
          <w:szCs w:val="20"/>
        </w:rPr>
      </w:pPr>
      <w:r>
        <w:rPr>
          <w:rFonts w:ascii="Times New Roman" w:hAnsi="Times New Roman" w:cs="Times New Roman"/>
          <w:sz w:val="20"/>
          <w:szCs w:val="20"/>
        </w:rPr>
        <w:t>3. Az érettségi vizsgát fel nem róható okból nem tudta befejezni, .............................................. vizsgatárgyból pótló vizsgát tehet.</w:t>
      </w:r>
    </w:p>
    <w:p w:rsidR="004C2997" w:rsidRDefault="004C2997" w:rsidP="004C2997">
      <w:pPr>
        <w:autoSpaceDE w:val="0"/>
        <w:autoSpaceDN w:val="0"/>
        <w:adjustRightInd w:val="0"/>
        <w:spacing w:after="0" w:line="360" w:lineRule="auto"/>
        <w:jc w:val="both"/>
        <w:rPr>
          <w:rFonts w:ascii="Times New Roman" w:hAnsi="Times New Roman" w:cs="Times New Roman"/>
          <w:sz w:val="20"/>
          <w:szCs w:val="20"/>
        </w:rPr>
      </w:pPr>
      <w:r>
        <w:rPr>
          <w:rFonts w:ascii="Times New Roman" w:hAnsi="Times New Roman" w:cs="Times New Roman"/>
          <w:sz w:val="20"/>
          <w:szCs w:val="20"/>
        </w:rPr>
        <w:t>4. Az érettségi vizsgát felróható okból nem fejezte be, ....................................... vizsgatárgyból ...................................... javítóvizsgát tehet. (A második pontozott rész: az adott vizsgatárgyból az adott tanuló hányadik alkalommal tehet javítóvizsgát.)</w:t>
      </w:r>
    </w:p>
    <w:p w:rsidR="004C2997" w:rsidRDefault="004C2997" w:rsidP="004C2997">
      <w:pPr>
        <w:autoSpaceDE w:val="0"/>
        <w:autoSpaceDN w:val="0"/>
        <w:adjustRightInd w:val="0"/>
        <w:spacing w:after="0" w:line="360" w:lineRule="auto"/>
        <w:jc w:val="both"/>
        <w:rPr>
          <w:rFonts w:ascii="Times New Roman" w:hAnsi="Times New Roman" w:cs="Times New Roman"/>
          <w:sz w:val="20"/>
          <w:szCs w:val="20"/>
        </w:rPr>
      </w:pPr>
      <w:r>
        <w:rPr>
          <w:rFonts w:ascii="Times New Roman" w:hAnsi="Times New Roman" w:cs="Times New Roman"/>
          <w:sz w:val="20"/>
          <w:szCs w:val="20"/>
        </w:rPr>
        <w:t>5. Szabálytalanság elkövetése miatt ................................................................. vizsgatárgyból a vizsgabizottság döntése szerint  ........................................ javítóvizsgát tehet. (A második pontozott rész: az adott vizsgatárgyból az adott tanuló hányadik alkalommal tehet javítóvizsgát.)</w:t>
      </w:r>
    </w:p>
    <w:p w:rsidR="004C2997" w:rsidRDefault="004C2997" w:rsidP="004C2997">
      <w:pPr>
        <w:autoSpaceDE w:val="0"/>
        <w:autoSpaceDN w:val="0"/>
        <w:adjustRightInd w:val="0"/>
        <w:spacing w:after="0" w:line="360" w:lineRule="auto"/>
        <w:jc w:val="both"/>
        <w:rPr>
          <w:rFonts w:ascii="Times New Roman" w:hAnsi="Times New Roman" w:cs="Times New Roman"/>
          <w:sz w:val="20"/>
          <w:szCs w:val="20"/>
        </w:rPr>
      </w:pPr>
      <w:r>
        <w:rPr>
          <w:rFonts w:ascii="Times New Roman" w:hAnsi="Times New Roman" w:cs="Times New Roman"/>
          <w:sz w:val="20"/>
          <w:szCs w:val="20"/>
        </w:rPr>
        <w:t>6. ........................................... nyelvi minősítését a ............................... számú nyelvvizsga-bizonyítvány alapján kapta.</w:t>
      </w:r>
    </w:p>
    <w:p w:rsidR="004C2997" w:rsidRDefault="004C2997" w:rsidP="004C2997">
      <w:pPr>
        <w:autoSpaceDE w:val="0"/>
        <w:autoSpaceDN w:val="0"/>
        <w:adjustRightInd w:val="0"/>
        <w:spacing w:after="0" w:line="360" w:lineRule="auto"/>
        <w:jc w:val="both"/>
        <w:rPr>
          <w:rFonts w:ascii="Times New Roman" w:hAnsi="Times New Roman" w:cs="Times New Roman"/>
          <w:sz w:val="20"/>
          <w:szCs w:val="20"/>
        </w:rPr>
      </w:pPr>
      <w:r>
        <w:rPr>
          <w:rFonts w:ascii="Times New Roman" w:hAnsi="Times New Roman" w:cs="Times New Roman"/>
          <w:sz w:val="20"/>
          <w:szCs w:val="20"/>
        </w:rPr>
        <w:lastRenderedPageBreak/>
        <w:t>7. A(z) .............................................. vizsgatárgy minősítését a ............... évi OKTV/SZÉTV eredménye alapján kapta.</w:t>
      </w:r>
    </w:p>
    <w:p w:rsidR="004C2997" w:rsidRDefault="004C2997" w:rsidP="004C2997">
      <w:pPr>
        <w:autoSpaceDE w:val="0"/>
        <w:autoSpaceDN w:val="0"/>
        <w:adjustRightInd w:val="0"/>
        <w:spacing w:after="0" w:line="360" w:lineRule="auto"/>
        <w:jc w:val="both"/>
        <w:rPr>
          <w:rFonts w:ascii="Times New Roman" w:hAnsi="Times New Roman" w:cs="Times New Roman"/>
          <w:sz w:val="20"/>
          <w:szCs w:val="20"/>
        </w:rPr>
      </w:pPr>
      <w:r>
        <w:rPr>
          <w:rFonts w:ascii="Times New Roman" w:hAnsi="Times New Roman" w:cs="Times New Roman"/>
          <w:sz w:val="20"/>
          <w:szCs w:val="20"/>
        </w:rPr>
        <w:t>8. A(z) ...................................... vizsgatárgy akkreditált vizsgakövetelményekre épül.</w:t>
      </w:r>
    </w:p>
    <w:p w:rsidR="004C2997" w:rsidRDefault="004C2997" w:rsidP="004C2997">
      <w:pPr>
        <w:autoSpaceDE w:val="0"/>
        <w:autoSpaceDN w:val="0"/>
        <w:adjustRightInd w:val="0"/>
        <w:spacing w:after="0" w:line="360" w:lineRule="auto"/>
        <w:jc w:val="both"/>
        <w:rPr>
          <w:rFonts w:ascii="Times New Roman" w:hAnsi="Times New Roman" w:cs="Times New Roman"/>
          <w:sz w:val="20"/>
          <w:szCs w:val="20"/>
        </w:rPr>
      </w:pPr>
      <w:r>
        <w:rPr>
          <w:rFonts w:ascii="Times New Roman" w:hAnsi="Times New Roman" w:cs="Times New Roman"/>
          <w:sz w:val="20"/>
          <w:szCs w:val="20"/>
        </w:rPr>
        <w:t>9. A(z) ........................................... vizsgatárgy(ak) minősítését a 2005. év előtt hatályos vizsgarendszer szabályai szerint kapta.</w:t>
      </w:r>
    </w:p>
    <w:p w:rsidR="004C2997" w:rsidRDefault="004C2997" w:rsidP="004C2997">
      <w:pPr>
        <w:autoSpaceDE w:val="0"/>
        <w:autoSpaceDN w:val="0"/>
        <w:adjustRightInd w:val="0"/>
        <w:spacing w:after="0" w:line="360" w:lineRule="auto"/>
        <w:jc w:val="both"/>
        <w:rPr>
          <w:rFonts w:ascii="Times New Roman" w:hAnsi="Times New Roman" w:cs="Times New Roman"/>
          <w:sz w:val="20"/>
          <w:szCs w:val="20"/>
        </w:rPr>
      </w:pPr>
      <w:r>
        <w:rPr>
          <w:rFonts w:ascii="Times New Roman" w:hAnsi="Times New Roman" w:cs="Times New Roman"/>
          <w:sz w:val="20"/>
          <w:szCs w:val="20"/>
        </w:rPr>
        <w:t>10. A magyar nyelv és irodalom vizsgatárgy helyett – az érettségi vizsga vizsgaszabályzatának kiadásáról szóló 100/1997. (VI. 13.) Korm. rendelet 6. § (5)-(6) bekezdése alapján – magyar mint idegen nyelv vizsgatárgyból tett érettségi vizsgát.</w:t>
      </w:r>
    </w:p>
    <w:p w:rsidR="004C2997" w:rsidRDefault="004C2997" w:rsidP="004C2997">
      <w:pPr>
        <w:autoSpaceDE w:val="0"/>
        <w:autoSpaceDN w:val="0"/>
        <w:adjustRightInd w:val="0"/>
        <w:spacing w:after="0" w:line="360" w:lineRule="auto"/>
        <w:jc w:val="both"/>
        <w:rPr>
          <w:rFonts w:ascii="Times New Roman" w:hAnsi="Times New Roman" w:cs="Times New Roman"/>
          <w:sz w:val="20"/>
          <w:szCs w:val="20"/>
        </w:rPr>
      </w:pPr>
      <w:r>
        <w:rPr>
          <w:rFonts w:ascii="Times New Roman" w:hAnsi="Times New Roman" w:cs="Times New Roman"/>
          <w:sz w:val="20"/>
          <w:szCs w:val="20"/>
        </w:rPr>
        <w:t>11. Az érettségi vizsgát fel nem róható okból nem kezdte meg, .............................................. vizsgatárgyból pótló vizsgát tehet.</w:t>
      </w:r>
    </w:p>
    <w:p w:rsidR="004C2997" w:rsidRDefault="004C2997" w:rsidP="004C2997">
      <w:pPr>
        <w:autoSpaceDE w:val="0"/>
        <w:autoSpaceDN w:val="0"/>
        <w:adjustRightInd w:val="0"/>
        <w:spacing w:after="0" w:line="360" w:lineRule="auto"/>
        <w:jc w:val="both"/>
        <w:rPr>
          <w:rFonts w:ascii="Times New Roman" w:hAnsi="Times New Roman" w:cs="Times New Roman"/>
          <w:sz w:val="20"/>
          <w:szCs w:val="20"/>
        </w:rPr>
      </w:pPr>
      <w:r>
        <w:rPr>
          <w:rFonts w:ascii="Times New Roman" w:hAnsi="Times New Roman" w:cs="Times New Roman"/>
          <w:sz w:val="20"/>
          <w:szCs w:val="20"/>
        </w:rPr>
        <w:t>12. Az érettségi vizsgát felróható okból nem kezdte meg, ................. vizsgatárgyból ............... javítóvizsgát tehet.</w:t>
      </w:r>
    </w:p>
    <w:p w:rsidR="004C2997" w:rsidRDefault="004C2997" w:rsidP="004C2997">
      <w:pPr>
        <w:autoSpaceDE w:val="0"/>
        <w:autoSpaceDN w:val="0"/>
        <w:adjustRightInd w:val="0"/>
        <w:spacing w:after="0" w:line="360" w:lineRule="auto"/>
        <w:jc w:val="both"/>
        <w:rPr>
          <w:rFonts w:ascii="Times New Roman" w:hAnsi="Times New Roman" w:cs="Times New Roman"/>
          <w:sz w:val="20"/>
          <w:szCs w:val="20"/>
        </w:rPr>
      </w:pPr>
      <w:r>
        <w:rPr>
          <w:rFonts w:ascii="Times New Roman" w:hAnsi="Times New Roman" w:cs="Times New Roman"/>
          <w:sz w:val="20"/>
          <w:szCs w:val="20"/>
        </w:rPr>
        <w:t>(A második pontozott rész: az adott vizsgatárgyból az adott tanuló hányadik alkalommal tehet javítóvizsgát.)</w:t>
      </w:r>
    </w:p>
    <w:p w:rsidR="004C2997" w:rsidRDefault="004C2997" w:rsidP="004C2997">
      <w:pPr>
        <w:autoSpaceDE w:val="0"/>
        <w:autoSpaceDN w:val="0"/>
        <w:adjustRightInd w:val="0"/>
        <w:spacing w:after="0" w:line="360" w:lineRule="auto"/>
        <w:jc w:val="both"/>
        <w:rPr>
          <w:rFonts w:ascii="Times New Roman" w:hAnsi="Times New Roman" w:cs="Times New Roman"/>
          <w:sz w:val="20"/>
          <w:szCs w:val="20"/>
        </w:rPr>
      </w:pPr>
      <w:r>
        <w:rPr>
          <w:rFonts w:ascii="Times New Roman" w:hAnsi="Times New Roman" w:cs="Times New Roman"/>
          <w:sz w:val="20"/>
          <w:szCs w:val="20"/>
        </w:rPr>
        <w:t>13. A ......................................... vizsgatárgy érettségi vizsgáján a gyakorlati vizsgarész helyett szóbeli vizsgát tett.</w:t>
      </w:r>
    </w:p>
    <w:p w:rsidR="004C2997" w:rsidRDefault="004C2997" w:rsidP="004C2997">
      <w:pPr>
        <w:autoSpaceDE w:val="0"/>
        <w:autoSpaceDN w:val="0"/>
        <w:adjustRightInd w:val="0"/>
        <w:spacing w:after="0" w:line="360" w:lineRule="auto"/>
        <w:jc w:val="both"/>
        <w:rPr>
          <w:rFonts w:ascii="Times New Roman" w:hAnsi="Times New Roman" w:cs="Times New Roman"/>
          <w:sz w:val="20"/>
          <w:szCs w:val="20"/>
        </w:rPr>
      </w:pPr>
      <w:r>
        <w:rPr>
          <w:rFonts w:ascii="Times New Roman" w:hAnsi="Times New Roman" w:cs="Times New Roman"/>
          <w:sz w:val="20"/>
          <w:szCs w:val="20"/>
        </w:rPr>
        <w:t>14. A ………….. kötelező vizsgatárgy vizsgája alól mentesült.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15. A vizsgabizottság szükség szerint döntéseihez megfelelő további záradékot alakíthat ki.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u w:val="single"/>
        </w:rPr>
      </w:pPr>
      <w:r>
        <w:rPr>
          <w:rFonts w:ascii="Times New Roman" w:hAnsi="Times New Roman" w:cs="Times New Roman"/>
          <w:sz w:val="20"/>
          <w:szCs w:val="20"/>
        </w:rPr>
        <w:t>16. Jelen érettségi bizonyítványt a vizsgázó által bemutatott, iskolai rendszerű nevelésben-oktatásban szerzett, államilag elismert szakképesítésről kiadott bizonyítvány figyelembevételével állították ki.</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100/1997. (VI. 13.) Korm. rendelethez</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ELSŐ RÉSZ</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ELSŐ RÉSZ</w:t>
      </w:r>
    </w:p>
    <w:p w:rsidR="004C2997" w:rsidRDefault="004C2997" w:rsidP="004C2997">
      <w:pPr>
        <w:autoSpaceDE w:val="0"/>
        <w:autoSpaceDN w:val="0"/>
        <w:adjustRightInd w:val="0"/>
        <w:spacing w:after="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AZ ÉRETTSÉGI VIZSGA VIZSGATÁRGYAI ÉS A VIZSGA FORMÁI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Ind w:w="4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43" w:type="dxa"/>
          <w:right w:w="43" w:type="dxa"/>
        </w:tblCellMar>
        <w:tblLook w:val="0000" w:firstRow="0" w:lastRow="0" w:firstColumn="0" w:lastColumn="0" w:noHBand="0" w:noVBand="0"/>
      </w:tblPr>
      <w:tblGrid>
        <w:gridCol w:w="1560"/>
        <w:gridCol w:w="2268"/>
        <w:gridCol w:w="1275"/>
        <w:gridCol w:w="1418"/>
        <w:gridCol w:w="1843"/>
        <w:gridCol w:w="1275"/>
      </w:tblGrid>
      <w:tr w:rsidR="004C2997">
        <w:tblPrEx>
          <w:tblCellMar>
            <w:top w:w="0" w:type="dxa"/>
            <w:bottom w:w="0" w:type="dxa"/>
          </w:tblCellMar>
        </w:tblPrEx>
        <w:trPr>
          <w:cantSplit/>
        </w:trPr>
        <w:tc>
          <w:tcPr>
            <w:tcW w:w="1560" w:type="dxa"/>
            <w:vMerge w:val="restart"/>
          </w:tcPr>
          <w:p w:rsidR="004C2997" w:rsidRDefault="004C2997">
            <w:pPr>
              <w:autoSpaceDE w:val="0"/>
              <w:autoSpaceDN w:val="0"/>
              <w:adjustRightInd w:val="0"/>
              <w:spacing w:before="40" w:after="20" w:line="240" w:lineRule="auto"/>
              <w:jc w:val="center"/>
              <w:rPr>
                <w:rFonts w:ascii="Times New Roman" w:hAnsi="Times New Roman" w:cs="Times New Roman"/>
                <w:sz w:val="16"/>
                <w:szCs w:val="16"/>
              </w:rPr>
            </w:pPr>
          </w:p>
        </w:tc>
        <w:tc>
          <w:tcPr>
            <w:tcW w:w="2268" w:type="dxa"/>
            <w:vMerge w:val="restart"/>
            <w:vAlign w:val="center"/>
          </w:tcPr>
          <w:p w:rsidR="004C2997" w:rsidRDefault="004C2997">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vizsgatárgy neve</w:t>
            </w:r>
          </w:p>
        </w:tc>
        <w:tc>
          <w:tcPr>
            <w:tcW w:w="5811" w:type="dxa"/>
            <w:gridSpan w:val="4"/>
          </w:tcPr>
          <w:p w:rsidR="004C2997" w:rsidRDefault="004C2997">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vizsga részei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before="40" w:after="20" w:line="240" w:lineRule="auto"/>
              <w:jc w:val="center"/>
              <w:rPr>
                <w:rFonts w:ascii="Times New Roman" w:hAnsi="Times New Roman" w:cs="Times New Roman"/>
                <w:sz w:val="16"/>
                <w:szCs w:val="16"/>
              </w:rPr>
            </w:pPr>
          </w:p>
        </w:tc>
        <w:tc>
          <w:tcPr>
            <w:tcW w:w="2268" w:type="dxa"/>
            <w:vMerge/>
          </w:tcPr>
          <w:p w:rsidR="004C2997" w:rsidRDefault="004C2997">
            <w:pPr>
              <w:autoSpaceDE w:val="0"/>
              <w:autoSpaceDN w:val="0"/>
              <w:adjustRightInd w:val="0"/>
              <w:spacing w:before="40" w:after="20" w:line="240" w:lineRule="auto"/>
              <w:jc w:val="center"/>
              <w:rPr>
                <w:rFonts w:ascii="Times New Roman" w:hAnsi="Times New Roman" w:cs="Times New Roman"/>
                <w:sz w:val="16"/>
                <w:szCs w:val="16"/>
              </w:rPr>
            </w:pPr>
          </w:p>
        </w:tc>
        <w:tc>
          <w:tcPr>
            <w:tcW w:w="2693" w:type="dxa"/>
            <w:gridSpan w:val="2"/>
          </w:tcPr>
          <w:p w:rsidR="004C2997" w:rsidRDefault="004C2997">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középszinten</w:t>
            </w:r>
          </w:p>
        </w:tc>
        <w:tc>
          <w:tcPr>
            <w:tcW w:w="3118" w:type="dxa"/>
            <w:gridSpan w:val="2"/>
          </w:tcPr>
          <w:p w:rsidR="004C2997" w:rsidRDefault="004C2997">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emelt szinten</w:t>
            </w:r>
          </w:p>
        </w:tc>
      </w:tr>
      <w:tr w:rsidR="004C2997">
        <w:tblPrEx>
          <w:tblCellMar>
            <w:top w:w="0" w:type="dxa"/>
            <w:bottom w:w="0" w:type="dxa"/>
          </w:tblCellMar>
        </w:tblPrEx>
        <w:trPr>
          <w:cantSplit/>
        </w:trPr>
        <w:tc>
          <w:tcPr>
            <w:tcW w:w="1560" w:type="dxa"/>
            <w:vMerge w:val="restart"/>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Kötelező vizsgatárgyak</w:t>
            </w: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 Magyar nyelv és irodalom</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 Nemzetiségi nyelv és irodalom</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 Történelem</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 Matematika</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 Élő idegen nyelv</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vagy</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Latin nyelv</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 olvasott szöveg értése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 nyelvhelyesség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 hallott szöveg értése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 íráskészség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val="restart"/>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Választható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közismereti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vizsgatárgyak</w:t>
            </w: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 Élő idegen nyelv</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 olvasott szöveg értése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 nyelvhelyesség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 hallott szöveg értése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 íráskészség</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 Fizika</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 Kémia</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 Biológia</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 Földrajz</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 Ének-zene</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 Rajz és vizuális kultúra</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8. Informatika</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 Testnevelés</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 Filozófia</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 Hittan</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12. Természettudomány</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13. Latin nyelv</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14. Emberismeret és etika</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15. Társadalomismeret</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16. Ember- és társadalomismeret, etika</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17. Dráma</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18. Mozgóképkultúra és médiaismeret</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gyakorlati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gyakorlati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19. Nemzetiségi (kisebbségi) népismeret</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20. Célnyelvi civilizáció</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 Belügyi rendészeti 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22. Katonai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23. Utazás és turizmus</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24. Gazdasági 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25. Judaisztika</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26. Bibliaismeret – Hit Gyülekezete</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27. Művészettörténet</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28. Népművészet</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29. Pszichológia</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p>
        </w:tc>
      </w:tr>
      <w:tr w:rsidR="004C2997">
        <w:tblPrEx>
          <w:tblCellMar>
            <w:top w:w="0" w:type="dxa"/>
            <w:bottom w:w="0" w:type="dxa"/>
          </w:tblCellMar>
        </w:tblPrEx>
        <w:trPr>
          <w:cantSplit/>
        </w:trPr>
        <w:tc>
          <w:tcPr>
            <w:tcW w:w="1560" w:type="dxa"/>
            <w:vMerge w:val="restart"/>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Választható szakmai előkészítő vizsgatárgyak</w:t>
            </w: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 Egészségügyi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 Szociális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 Oktatási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 Művelődési és kommunikációs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 Gépészeti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 Elektronikai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 Informatikai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8. Vegyipari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 Építészeti és építési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 Könnyűipari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 Faipari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12. Nyomdaipari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13. a) Közlekedési alapismeretek (közlekedés-üzemvitel)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 Közlekedési alapismeretek (közlekedéstechnika)</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14. Környezetvédelmi- vízgazdálkodási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15. a) Közgazdasági alapismeretek (üzleti gazdaságtan)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 Közgazdasági alapismeretek (elméleti gazdaságtan)</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16. Ügyviteli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17. Kereskedelmi és marketing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18. Vendéglátás- idegenforgalom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19. Rendészeti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20. Mezőgazdasági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r w:rsidR="004C2997">
        <w:tblPrEx>
          <w:tblCellMar>
            <w:top w:w="0" w:type="dxa"/>
            <w:bottom w:w="0" w:type="dxa"/>
          </w:tblCellMar>
        </w:tblPrEx>
        <w:trPr>
          <w:cantSplit/>
        </w:trPr>
        <w:tc>
          <w:tcPr>
            <w:tcW w:w="15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2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 Élelmiszeripari alapismeretek</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c>
          <w:tcPr>
            <w:tcW w:w="18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w:t>
            </w:r>
          </w:p>
        </w:tc>
        <w:tc>
          <w:tcPr>
            <w:tcW w:w="127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szóbeli</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MÁSODIK RÉSZ</w:t>
      </w: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ÉRETTSÉGI VIZSGATÁRGYAK ÁLTALÁNOS KÖVETELMÉNYEI</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MAGYAR NYELV ÉS IRODALOM</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magyar nyelv és irodalom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 vizsgakövetelményekben a vizsga mindkét szintjén meghatározó szerepet töltenek be a szövegértés, az írásbeli és szóbeli szövegalkotás képességei és tevékenységei. Hangsúlyosak azok a szövegfeldolgozási, elemzési és értelmezési szempontok, nyelvi és irodalmi ismeretek, amelyek a magyar és az európai kulturális hagyomány mellett a jelen világának, a jelen kultúrájának megértéséhez elengedhetetlenek, amelyek szükségesek az önálló tájékozódáshoz, az ítélőképességhez, az érzelmi, a szociális, az intellektuális élmények megéléséhez és kifejezséhez. A magyar nyelv és irodalom érettségi vizsgája olyan kitüntetett alkalom, amely az alábbi célokat követve teszi lehetővé a vizsgázó nyelvi kultúrájának és irodalmi műveltségének minősítését és értékelését. </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Az érettségi vizsga célja annak megállapítása, hogy a vizsgázó </w:t>
      </w:r>
    </w:p>
    <w:p w:rsidR="004C2997" w:rsidRDefault="004C2997" w:rsidP="004C2997">
      <w:pPr>
        <w:tabs>
          <w:tab w:val="left" w:pos="587"/>
        </w:tabs>
        <w:autoSpaceDE w:val="0"/>
        <w:autoSpaceDN w:val="0"/>
        <w:adjustRightInd w:val="0"/>
        <w:spacing w:after="0" w:line="240" w:lineRule="auto"/>
        <w:ind w:left="587"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hogyan tudja alkalmazni nyelvi, nyelvhasználati, irodalmi és fogalmi ismereteit, olvasói tapasztalatait a múlt és a jelenkor nyelvi, kulturális jelenségeinek megértésében; </w:t>
      </w:r>
    </w:p>
    <w:p w:rsidR="004C2997" w:rsidRDefault="004C2997" w:rsidP="004C2997">
      <w:pPr>
        <w:tabs>
          <w:tab w:val="left" w:pos="587"/>
        </w:tabs>
        <w:autoSpaceDE w:val="0"/>
        <w:autoSpaceDN w:val="0"/>
        <w:adjustRightInd w:val="0"/>
        <w:spacing w:after="0" w:line="240" w:lineRule="auto"/>
        <w:ind w:left="587" w:hanging="360"/>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hogyan képes tudását, gondolatait, véleményét szóban és írásban előadni a vizsgafeladatoknak megfelelő műfaban, a szükséges és lehetséges tartalmakkal, szerkezetben és stílusban;</w:t>
      </w:r>
    </w:p>
    <w:p w:rsidR="004C2997" w:rsidRDefault="004C2997" w:rsidP="004C2997">
      <w:pPr>
        <w:tabs>
          <w:tab w:val="left" w:pos="587"/>
        </w:tabs>
        <w:autoSpaceDE w:val="0"/>
        <w:autoSpaceDN w:val="0"/>
        <w:adjustRightInd w:val="0"/>
        <w:spacing w:after="0" w:line="240" w:lineRule="auto"/>
        <w:ind w:left="587"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önállóan tud-e reagálni különböző korszakok különböző műfajú szépirodalmi, köznapi, tudományos szövegeinek gondolataira, állításaira, következtetéseire;</w:t>
      </w:r>
    </w:p>
    <w:p w:rsidR="004C2997" w:rsidRDefault="004C2997" w:rsidP="004C2997">
      <w:pPr>
        <w:tabs>
          <w:tab w:val="left" w:pos="587"/>
        </w:tabs>
        <w:autoSpaceDE w:val="0"/>
        <w:autoSpaceDN w:val="0"/>
        <w:adjustRightInd w:val="0"/>
        <w:spacing w:after="0" w:line="240" w:lineRule="auto"/>
        <w:ind w:left="587"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élethelyzetek, döntési szituációk, etikai kérdések, gondolatok, érzelmek, magatartások, szociális beálltódások, elvek, eszmék, érzelmek árnyalt bemutatására, értelmezésére;</w:t>
      </w:r>
    </w:p>
    <w:p w:rsidR="004C2997" w:rsidRDefault="004C2997" w:rsidP="004C2997">
      <w:pPr>
        <w:tabs>
          <w:tab w:val="left" w:pos="587"/>
        </w:tabs>
        <w:autoSpaceDE w:val="0"/>
        <w:autoSpaceDN w:val="0"/>
        <w:adjustRightInd w:val="0"/>
        <w:spacing w:after="0" w:line="240" w:lineRule="auto"/>
        <w:ind w:left="587"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teljesítményében kifejeződik-e önálló gondolkodása, problémalátása, lényegkiemelő és rendszerező képessége, kreativitása, nyelvi-irodalmi kultúrájának egyéni sajátosságai, értékválasztásai;</w:t>
      </w:r>
    </w:p>
    <w:p w:rsidR="004C2997" w:rsidRDefault="004C2997" w:rsidP="004C2997">
      <w:pPr>
        <w:tabs>
          <w:tab w:val="left" w:pos="587"/>
        </w:tabs>
        <w:autoSpaceDE w:val="0"/>
        <w:autoSpaceDN w:val="0"/>
        <w:adjustRightInd w:val="0"/>
        <w:spacing w:after="0" w:line="240" w:lineRule="auto"/>
        <w:ind w:left="587"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logikusan érvelni, következtetéseit, gondolatait világos nyelvi formában előadni, véleményt alkotni;</w:t>
      </w:r>
    </w:p>
    <w:p w:rsidR="004C2997" w:rsidRDefault="004C2997" w:rsidP="004C2997">
      <w:pPr>
        <w:tabs>
          <w:tab w:val="left" w:pos="587"/>
        </w:tabs>
        <w:autoSpaceDE w:val="0"/>
        <w:autoSpaceDN w:val="0"/>
        <w:adjustRightInd w:val="0"/>
        <w:spacing w:after="0" w:line="240" w:lineRule="auto"/>
        <w:ind w:left="587"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különböző alkotói magatartások, kifejezésmódok megkülönböztetésére, összevetésére, különböző szövegek elemzésére, összehasonlítására, értelmezésére, értékelésére;</w:t>
      </w:r>
    </w:p>
    <w:p w:rsidR="004C2997" w:rsidRDefault="004C2997" w:rsidP="004C2997">
      <w:pPr>
        <w:tabs>
          <w:tab w:val="left" w:pos="587"/>
        </w:tabs>
        <w:autoSpaceDE w:val="0"/>
        <w:autoSpaceDN w:val="0"/>
        <w:adjustRightInd w:val="0"/>
        <w:spacing w:after="0" w:line="240" w:lineRule="auto"/>
        <w:ind w:left="587"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felismeri-e egy-egy korszak kifejezésmódjának, művészetének találkozási pontjait;</w:t>
      </w:r>
    </w:p>
    <w:p w:rsidR="004C2997" w:rsidRDefault="004C2997" w:rsidP="004C2997">
      <w:pPr>
        <w:tabs>
          <w:tab w:val="left" w:pos="587"/>
        </w:tabs>
        <w:autoSpaceDE w:val="0"/>
        <w:autoSpaceDN w:val="0"/>
        <w:adjustRightInd w:val="0"/>
        <w:spacing w:after="0" w:line="240" w:lineRule="auto"/>
        <w:ind w:left="587"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irodalmi és nem irodalmi szövegek kérdésfelvetések és válaszok sokféleségében tematikusan és kronológiailag tájékozódni.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középszintű vizsga a magyar nyelv használatában és az irodalomban tájékozódni tudó ember nyelvi, irodalmi műveltségét, szövegértő és szövegalkotó képességeit, problémalátását, problémamegoldó gondolkodását vizsgálja, így a vizsga a jelöltektől a mindennapi életben és az önművelésben szükséges ismeretszerzési eljárásokat, írásbeli és szóbeli kifejezőképességet, a rendszerezés és alkalmazás alapvető formáit, valamint az elemzés, az értelmezés és az ítéletalkotás képességének bizonyítását várja el.</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emelt szintű vizsga elsősorban a felsőoktatásban tovább tanulni szándékozó vizsgázó képességeit és ismereteit vizsgálja</w:t>
      </w:r>
      <w:r>
        <w:rPr>
          <w:rFonts w:ascii="Times New Roman" w:hAnsi="Times New Roman" w:cs="Times New Roman"/>
          <w:i/>
          <w:iCs/>
          <w:sz w:val="20"/>
          <w:szCs w:val="20"/>
        </w:rPr>
        <w:t xml:space="preserve">. </w:t>
      </w:r>
      <w:r>
        <w:rPr>
          <w:rFonts w:ascii="Times New Roman" w:hAnsi="Times New Roman" w:cs="Times New Roman"/>
          <w:sz w:val="20"/>
          <w:szCs w:val="20"/>
        </w:rPr>
        <w:t>Ez a gyakorlatban azt jelenti, hogy a vizsga a jelöltektől a középszintű követelményeket meghaladó bonyolultabb</w:t>
      </w:r>
      <w:r>
        <w:rPr>
          <w:rFonts w:ascii="Times New Roman" w:hAnsi="Times New Roman" w:cs="Times New Roman"/>
          <w:i/>
          <w:iCs/>
          <w:sz w:val="20"/>
          <w:szCs w:val="20"/>
        </w:rPr>
        <w:t xml:space="preserve"> </w:t>
      </w:r>
      <w:r>
        <w:rPr>
          <w:rFonts w:ascii="Times New Roman" w:hAnsi="Times New Roman" w:cs="Times New Roman"/>
          <w:sz w:val="20"/>
          <w:szCs w:val="20"/>
        </w:rPr>
        <w:t>ismeretszerzési eljárásokat, összetettebb</w:t>
      </w:r>
      <w:r>
        <w:rPr>
          <w:rFonts w:ascii="Times New Roman" w:hAnsi="Times New Roman" w:cs="Times New Roman"/>
          <w:i/>
          <w:iCs/>
          <w:sz w:val="20"/>
          <w:szCs w:val="20"/>
        </w:rPr>
        <w:t xml:space="preserve"> </w:t>
      </w:r>
      <w:r>
        <w:rPr>
          <w:rFonts w:ascii="Times New Roman" w:hAnsi="Times New Roman" w:cs="Times New Roman"/>
          <w:sz w:val="20"/>
          <w:szCs w:val="20"/>
        </w:rPr>
        <w:t>rendszerezési, alkalmazási összehasonlítási, és elemzési szempontokat, valamint magasabb fokú gondolkodási, önállóbb ítéletalkotási képességeket várja el, az olvasottság, a nyelvi, irodalmi, fogalmi ismeretek, tények, összefüggések tágabb körét kéri számon.</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KÖZÉPSZINT ÉS EMELT SZINT</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10"/>
        <w:gridCol w:w="8"/>
        <w:gridCol w:w="14"/>
        <w:gridCol w:w="6640"/>
      </w:tblGrid>
      <w:tr w:rsidR="004C2997">
        <w:tblPrEx>
          <w:tblCellMar>
            <w:top w:w="0" w:type="dxa"/>
            <w:bottom w:w="0" w:type="dxa"/>
          </w:tblCellMar>
        </w:tblPrEx>
        <w:tc>
          <w:tcPr>
            <w:tcW w:w="2432" w:type="dxa"/>
            <w:gridSpan w:val="3"/>
            <w:tcBorders>
              <w:bottom w:val="nil"/>
            </w:tcBorders>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képességek</w:t>
            </w:r>
          </w:p>
        </w:tc>
        <w:tc>
          <w:tcPr>
            <w:tcW w:w="6640" w:type="dxa"/>
            <w:tcBorders>
              <w:bottom w:val="nil"/>
            </w:tcBorders>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c>
          <w:tcPr>
            <w:tcW w:w="9072" w:type="dxa"/>
            <w:gridSpan w:val="4"/>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Szövegértés</w:t>
            </w:r>
          </w:p>
        </w:tc>
      </w:tr>
      <w:tr w:rsidR="004C2997">
        <w:tblPrEx>
          <w:tblCellMar>
            <w:top w:w="0" w:type="dxa"/>
            <w:bottom w:w="0" w:type="dxa"/>
          </w:tblCellMar>
        </w:tblPrEx>
        <w:tc>
          <w:tcPr>
            <w:tcW w:w="2418"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feldolgozása és megítélése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Szépirodalmi és nem irodalmi szövegek értelmezése</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Nyomtatott és elektronikus közlések információinak célirányos és kritikus használata.</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szövegértési képesség bizonyítása különféle szakmai-tudományos, publicisztikai, gyakorlati, szépirodalmi szövegek értelmezésével, összehasonlításával.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Különböző szövegértelmezési eljárások alkalmazása.</w:t>
            </w:r>
          </w:p>
        </w:tc>
      </w:tr>
      <w:tr w:rsidR="004C2997">
        <w:tblPrEx>
          <w:tblCellMar>
            <w:top w:w="0" w:type="dxa"/>
            <w:bottom w:w="0" w:type="dxa"/>
          </w:tblCellMar>
        </w:tblPrEx>
        <w:tc>
          <w:tcPr>
            <w:tcW w:w="9072" w:type="dxa"/>
            <w:gridSpan w:val="4"/>
            <w:tcBorders>
              <w:bottom w:val="nil"/>
            </w:tcBorders>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Szövegalkotás</w:t>
            </w:r>
          </w:p>
        </w:tc>
      </w:tr>
      <w:tr w:rsidR="004C2997">
        <w:tblPrEx>
          <w:tblCellMar>
            <w:top w:w="0" w:type="dxa"/>
            <w:bottom w:w="0" w:type="dxa"/>
          </w:tblCellMar>
        </w:tblPrEx>
        <w:tc>
          <w:tcPr>
            <w:tcW w:w="2432" w:type="dxa"/>
            <w:gridSpan w:val="3"/>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Írásbeli kifejezőképesség</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Különböző témákban, különböző műfajokban széles körű olvasottságon alapuló tájékozottság és személyes vélemény megfogalmazása a műfajnak, a témának, a címzettnek megfelelő szabatossággal.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Kérdéskör, kérdés, probléma írásbeli megvitatása, a téma több nézőpontú értékelését is magában foglaló vélemény, álláspont, következtetés megfogalmazása az érvelés</w:t>
            </w:r>
            <w:r>
              <w:rPr>
                <w:rFonts w:ascii="Times New Roman" w:hAnsi="Times New Roman" w:cs="Times New Roman"/>
                <w:i/>
                <w:iCs/>
                <w:sz w:val="20"/>
                <w:szCs w:val="20"/>
              </w:rPr>
              <w:t xml:space="preserve"> </w:t>
            </w:r>
            <w:r>
              <w:rPr>
                <w:rFonts w:ascii="Times New Roman" w:hAnsi="Times New Roman" w:cs="Times New Roman"/>
                <w:sz w:val="20"/>
                <w:szCs w:val="20"/>
              </w:rPr>
              <w:t>módszerével.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Hivatalos írásművek nyelvi normáinak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köznyelvi norma alkalmazása, biztos helyesírás, rendezett, olvasható kézírás, a helyesírási és nyelvhelyességi hibák javításának képessége.</w:t>
            </w:r>
          </w:p>
        </w:tc>
      </w:tr>
      <w:tr w:rsidR="004C2997">
        <w:tblPrEx>
          <w:tblCellMar>
            <w:top w:w="0" w:type="dxa"/>
            <w:bottom w:w="0" w:type="dxa"/>
          </w:tblCellMar>
        </w:tblPrEx>
        <w:tc>
          <w:tcPr>
            <w:tcW w:w="9072" w:type="dxa"/>
            <w:gridSpan w:val="4"/>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Beszéd, szóbeli szövegalkotás</w:t>
            </w:r>
          </w:p>
        </w:tc>
      </w:tr>
      <w:tr w:rsidR="004C2997">
        <w:tblPrEx>
          <w:tblCellMar>
            <w:top w:w="0" w:type="dxa"/>
            <w:bottom w:w="0" w:type="dxa"/>
          </w:tblCellMar>
        </w:tblPrEx>
        <w:tc>
          <w:tcPr>
            <w:tcW w:w="2432" w:type="dxa"/>
            <w:gridSpan w:val="3"/>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beszédhelyzetnek, a műfajnak és a témának megfelelő tartalmú, szóhasználatú lényegre törő, világos felépítésű, kifejtett közlés.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Memoriter: teljes művek és részletek szöveghű előadása.</w:t>
            </w:r>
          </w:p>
        </w:tc>
      </w:tr>
      <w:tr w:rsidR="004C2997">
        <w:tblPrEx>
          <w:tblCellMar>
            <w:top w:w="0" w:type="dxa"/>
            <w:bottom w:w="0" w:type="dxa"/>
          </w:tblCellMar>
        </w:tblPrEx>
        <w:tc>
          <w:tcPr>
            <w:tcW w:w="9072" w:type="dxa"/>
            <w:gridSpan w:val="4"/>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Fogalmi műveltség </w:t>
            </w:r>
          </w:p>
        </w:tc>
      </w:tr>
      <w:tr w:rsidR="004C2997">
        <w:tblPrEx>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Fogalomismeret, fogalomhasználat</w:t>
            </w:r>
          </w:p>
        </w:tc>
        <w:tc>
          <w:tcPr>
            <w:tcW w:w="6662" w:type="dxa"/>
            <w:gridSpan w:val="3"/>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Nyelvi és irodalmi fogalmak beszédhelyzetnek, témának, megfelelő helyénvaló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Fogalmak értelmezése.</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32"/>
        <w:gridCol w:w="6640"/>
      </w:tblGrid>
      <w:tr w:rsidR="004C2997">
        <w:tblPrEx>
          <w:tblCellMar>
            <w:top w:w="0" w:type="dxa"/>
            <w:bottom w:w="0" w:type="dxa"/>
          </w:tblCellMar>
        </w:tblPrEx>
        <w:tc>
          <w:tcPr>
            <w:tcW w:w="2432" w:type="dxa"/>
            <w:tcBorders>
              <w:bottom w:val="nil"/>
            </w:tcBorders>
            <w:shd w:val="pct25" w:color="auto" w:fill="auto"/>
            <w:vAlign w:val="center"/>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6640" w:type="dxa"/>
            <w:tcBorders>
              <w:bottom w:val="nil"/>
            </w:tcBorders>
            <w:shd w:val="pct25" w:color="auto" w:fill="auto"/>
            <w:vAlign w:val="center"/>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1. Magyar nyelv</w:t>
            </w:r>
          </w:p>
        </w:tc>
      </w:tr>
      <w:tr w:rsidR="004C2997">
        <w:tblPrEx>
          <w:tblCellMar>
            <w:top w:w="0" w:type="dxa"/>
            <w:bottom w:w="0" w:type="dxa"/>
          </w:tblCellMar>
        </w:tblPrEx>
        <w:tc>
          <w:tcPr>
            <w:tcW w:w="2432"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 Ember és nyelv</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nyelv mint jelrendszer.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beszéd mint cselekvés.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nyelv és a gondolkodás viszonya.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Nyelvcsalád, nyelvtípus.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nyelvhasználat társadalmi vonatkozásai.</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1.2. Kommunikáció</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kommunikációs folyamat tényezői és funkciói, ezek összefüggései a kifejezésmóddal.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kommunikáció interdiszciplináris jellege.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Jel, jelrendszer.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Nyelvi és vizuális kommunikáció.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nyelvhasználat, mint kommunikáció.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Kommunikációs funkciók és közlésmódok.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Személyközi kommunikáció.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tömegkommunikáció.</w:t>
            </w:r>
          </w:p>
        </w:tc>
      </w:tr>
      <w:tr w:rsidR="004C2997">
        <w:tblPrEx>
          <w:tblCellMar>
            <w:top w:w="0" w:type="dxa"/>
            <w:bottom w:w="0" w:type="dxa"/>
          </w:tblCellMar>
        </w:tblPrEx>
        <w:tc>
          <w:tcPr>
            <w:tcW w:w="243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1.3. A magyar nyelv története</w:t>
            </w:r>
          </w:p>
        </w:tc>
        <w:tc>
          <w:tcPr>
            <w:tcW w:w="6640"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Változás és állandóság a nyelvben.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nyelv rokonsága.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nyelv történetének fő szakaszai. A tihanyi apátság alapítólevele, a Halotti beszéd és könyörgés, Ó-magyar Mária-siralom.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Nyelvművelés.</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1.4. Nyelv és társadalom</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Társadalmi és területi nyelvváltozatok.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Rétegzettség és norma a nyelvhasználatban.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Kisebbségi nyelvhasználat.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határon túli magyar nyelvűség.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Tömegkommunikáció és nyelvhasználat.</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1.5. A nyelvi szintek </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Hangtan.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Alaktan és szótan.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Mondattan.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mondat szintagmatikus szerkezete.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mondat a szövegben.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Logikai és grammatikai viszonyok az összetett mondatban. Szókincs és frazeológia.</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1.6. A szöveg </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szöveg és a kommunikáció.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szöveg szerkezete és jelentése.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Szövegértelmezés.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szöveg szóban és írásban.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intertextualitás.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szövegtípusok.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 a médiában.</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1.7. A retorika alapjai</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nyilvános beszéd.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Érvelés, megvitatás, vita.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szövegszerkesztés eljárásai.</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1.8. Stílus és jelentés</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Szóhasználat és stílus.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szójelentés.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Állandósult nyelvi formák.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Nyelvi, stilisztikai változatok.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Stíluseszközök.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Stílusréteg, stílusváltozat.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2. Irodalom</w:t>
            </w:r>
          </w:p>
        </w:tc>
      </w:tr>
      <w:tr w:rsidR="004C2997">
        <w:tblPrEx>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2.1. Szerző, művek</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2.1.1. Életművek a magyar irodalomból</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Petőfi Sándor, Arany János, Ady Endre, Babits Mihály, Kosztolányi Dezső, József Attila.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életmű: az életút jelentős tényei, a főbb művek szövegismereten alapuló értelmezése, kapcsolatok a művek között.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Memoriterek.</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2.1.2. Portrék </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Balassi Bálint, Csokonai Vitéz Mihály, Berzsenyi Dániel, Kölcsey Ferenc,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Vörösmarty Mihály, Jókai Mór, Mikszáth Kálmán, Móricz Zsigmond, Szabó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Lőrinc, Radnóti Miklós, Weöres Sándor, Ottlik Géza, Márai Sándor, Pilinszky János.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Két-három lírai és/vagy néhány epikai/drámai alkotás bemutatása,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Memoriterek.</w:t>
            </w:r>
          </w:p>
        </w:tc>
      </w:tr>
      <w:tr w:rsidR="004C2997">
        <w:tblPrEx>
          <w:tblCellMar>
            <w:top w:w="0" w:type="dxa"/>
            <w:bottom w:w="0" w:type="dxa"/>
          </w:tblCellMar>
        </w:tblPrEx>
        <w:tc>
          <w:tcPr>
            <w:tcW w:w="243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2.1.3. Látásmódok</w:t>
            </w:r>
          </w:p>
        </w:tc>
        <w:tc>
          <w:tcPr>
            <w:tcW w:w="6640"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Zrínyi Miklós, Jókai Mór, Krúdy Gyula, Karinthy Frigyes, Kassák Lajos, Illyés Gyula, Radnóti Miklós, Szabó Lőrinc, Németh László, Örkény István, Nagy László, Nemes Nagy Ágnes, Szilágyi Domokos.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Választandó legalább három szerző a felsoroltak közül. (A lista bővíthető legfeljebb két, a fentiekhez hasonló jelentőségű szerzővel).</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2.1.4. A kortárs irodalomból</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Legalább egy szerző 2-3 lírai és/vagy epikai művének értelmezése az 1980-tól napjainkig tartó időszakból.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Irodalmi nyilvánosság; nyomtatott szöveg, digitális közlés.</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2.1.5. Világirodalom</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európai irodalom alapvető hagyományai: az antikvitás és a Biblia.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romantika, a századfordulós modernség (a szimbolizmustól az avantgárdig) jellemzői és egy-két kiemelkedő képviselője.</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2.1.6. Színház és dráma</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Színház és dráma különböző korszakokban.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 mű értelmezése: Szophoklész, Shakespeare, Moliere, Katona József: Bánk bán, Madách Imre: Az ember tragédiája.</w:t>
            </w:r>
          </w:p>
        </w:tc>
      </w:tr>
      <w:tr w:rsidR="004C2997">
        <w:tblPrEx>
          <w:tblCellMar>
            <w:top w:w="0" w:type="dxa"/>
            <w:bottom w:w="0" w:type="dxa"/>
          </w:tblCellMar>
        </w:tblPrEx>
        <w:tc>
          <w:tcPr>
            <w:tcW w:w="243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2.1.7. Az irodalom határterületei </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irodalom kulturális határterületei. Népköltészet, műköltészet, folklór.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adaptáció – irodalom filmen, dalszövegben, a virtuális valóságban.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szórakoztató irodalom hatáskeltő eszközei, egy-két tipikus műfaja.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Mítosz, mese és kultusz. Sikerek, divatjelenségek.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irodalmi ismeretterjesztés nyomtatott és elektronikus műfajai.</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2.1.8. Regionális kultúra</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Interkulturalitás.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régió, a tájegység, a település irodalmi, kulturális hagyományai.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Kisebbségi irodalmak.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Életmódra, kulturális szokásokra utaló dokumentumok bemutatása.</w:t>
            </w:r>
          </w:p>
        </w:tc>
      </w:tr>
      <w:tr w:rsidR="004C2997">
        <w:tblPrEx>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t>2. 2. Értelmezési szintek, megközelítések</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2.2.1. Témák, motívumok</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Szépirodalmi alkotások gondolati, tematikus, motivikus egyezéseinek és különbségeinek összevetése.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olvasott művekben motívumok, témák változatainak felismerése, értelmezése.</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2.2.2. Műfajok, poétika</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Műnemek, műfajok. Poétikai fogalmak alkalmazása. </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2.2.3. Korszakok, stílustörténet</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kifejezésmód és világlátás változása a különböző korszakokban a középkortól a szimbolizmusig.</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32"/>
        <w:gridCol w:w="6640"/>
      </w:tblGrid>
      <w:tr w:rsidR="004C2997">
        <w:tblPrEx>
          <w:tblCellMar>
            <w:top w:w="0" w:type="dxa"/>
            <w:bottom w:w="0" w:type="dxa"/>
          </w:tblCellMar>
        </w:tblPrEx>
        <w:tc>
          <w:tcPr>
            <w:tcW w:w="2432" w:type="dxa"/>
            <w:tcBorders>
              <w:bottom w:val="nil"/>
            </w:tcBorders>
            <w:shd w:val="pct25" w:color="auto" w:fill="auto"/>
            <w:vAlign w:val="center"/>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6640" w:type="dxa"/>
            <w:tcBorders>
              <w:bottom w:val="nil"/>
            </w:tcBorders>
            <w:shd w:val="pct25" w:color="auto" w:fill="auto"/>
            <w:vAlign w:val="center"/>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1. Magyar nyelv</w:t>
            </w:r>
          </w:p>
        </w:tc>
      </w:tr>
      <w:tr w:rsidR="004C2997">
        <w:tblPrEx>
          <w:tblCellMar>
            <w:top w:w="0" w:type="dxa"/>
            <w:bottom w:w="0" w:type="dxa"/>
          </w:tblCellMar>
        </w:tblPrEx>
        <w:tc>
          <w:tcPr>
            <w:tcW w:w="2432"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1.1.Ember és nyelv</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nyelv mint jelrendszer.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beszéd mint cselekvés.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nyelv és a gondolkodás viszonya.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Nyelvcsalád, nyelvtípus.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nyelvhasználat társadalmi vonatkozásai.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nyelvi változás, a nyelv mint változó rendszer.</w:t>
            </w:r>
          </w:p>
        </w:tc>
      </w:tr>
      <w:tr w:rsidR="004C2997">
        <w:tblPrEx>
          <w:tblCellMar>
            <w:top w:w="0" w:type="dxa"/>
            <w:bottom w:w="0" w:type="dxa"/>
          </w:tblCellMar>
        </w:tblPrEx>
        <w:tc>
          <w:tcPr>
            <w:tcW w:w="2432" w:type="dxa"/>
            <w:tcBorders>
              <w:bottom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1.2. Kommunikáció</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bottom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kommunikációs folyamat tényezői és funkciói, ezek összefüggései a kifejezésmóddal.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Jel, jelrendszer.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Nyelvi és vizuális kommunikáció.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nyelvhasználat, mint kommunikáció.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Kommunikációs funkciók és közlésmódok.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Személyközi kommunikáció.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tömegkommunikáció.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Társadalmak és kultúrák jelrendszerei.</w:t>
            </w:r>
          </w:p>
        </w:tc>
      </w:tr>
      <w:tr w:rsidR="004C2997">
        <w:tblPrEx>
          <w:tblCellMar>
            <w:top w:w="0" w:type="dxa"/>
            <w:bottom w:w="0" w:type="dxa"/>
          </w:tblCellMar>
        </w:tblPrEx>
        <w:tc>
          <w:tcPr>
            <w:tcW w:w="243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1.3. A magyar nyelv története</w:t>
            </w:r>
          </w:p>
        </w:tc>
        <w:tc>
          <w:tcPr>
            <w:tcW w:w="664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Változás és állandóság a nyelvben.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nyelv rokonsága.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nyelv történetének fő szakaszai. A tihanyi apátság alapítólevele, a Halotti beszéd és könyörgés, Ó-magyar Mária-siralom.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Életmód és szókincs összefüggései. A szókészlet rétegei.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Régi magyar irodalmi szövegek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egységes írott nyelvi norma kialakulása.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nyelvművelés szerepe.</w:t>
            </w:r>
          </w:p>
        </w:tc>
      </w:tr>
      <w:tr w:rsidR="004C2997">
        <w:tblPrEx>
          <w:tblCellMar>
            <w:top w:w="0" w:type="dxa"/>
            <w:bottom w:w="0" w:type="dxa"/>
          </w:tblCellMar>
        </w:tblPrEx>
        <w:tc>
          <w:tcPr>
            <w:tcW w:w="2432" w:type="dxa"/>
            <w:tcBorders>
              <w:top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1.4. Nyelv és társadalom</w:t>
            </w:r>
          </w:p>
        </w:tc>
        <w:tc>
          <w:tcPr>
            <w:tcW w:w="6640" w:type="dxa"/>
            <w:tcBorders>
              <w:top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Társadalmi és területi nyelvváltozatok.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Rétegzettség és norma a nyelvhasználatban.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nyelvjárás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Kisebbségi nyelvhasználat.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határon túli magyar nyelvűség.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Kétnyelvűség, kettős nyelvűség.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Nyelvpolitika, nyelvi tervezés.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Tömegkommunikáció és nyelvhasználat.</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1.5. A nyelvi szintek </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leíró grammatika mint a magyar nyelvi rendszer modellje. Hangtan.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Alaktan és szótan.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Mondattan.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mondat szintagmatikus szerkezete.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mondat a szövegben.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Logikai és grammatikai viszonyok az összetett mondatban. Szókincs és frazeológia.</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1.6. A szöveg </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szöveg és a kommunikáció.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szöveg pragmatikai, szemantikai és grammatikai megközelítése.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szöveg szerkezete és jelentése.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Szövegértelmezés.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szöveg szóban és írásban.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intertextualitás.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szövegtípusok.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 a médiában. Médiaközlések elemzése.</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1.7. A retorika alapjai</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retorika jelentősége és alkalmazásának társadalmi színterei.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nyilvános beszéd.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Érvelés, megvitatás, vita.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szövegszerkesztés eljárásai.</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1.8. Stílus és jelentés</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Szóhasználat és stílus.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szójelentés.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Állandósult nyelvi formák.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Nyelvi, stilisztikai változatok.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Stíluseszközök.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Stílusréteg, stílusváltozat.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Stílus és norma koronkénti változatai.</w:t>
            </w:r>
          </w:p>
        </w:tc>
      </w:tr>
      <w:tr w:rsidR="004C2997">
        <w:tblPrEx>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2. Irodalom</w:t>
            </w:r>
          </w:p>
        </w:tc>
      </w:tr>
      <w:tr w:rsidR="004C2997">
        <w:tblPrEx>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t>2.1. Szerző, művek</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2.1.1. Életművek a magyar irodalomból</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Petőfi Sándor, Arany János, Ady Endre, Babits Mihály, Kosztolányi Dezső, József Attila.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életmű: az életút jelentős tényei, a főbb művek szövegismereten alapuló értelmezése, kapcsolatok a művek között.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Irányzatok, szellemi kötődések.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Művek hatása, utóélete az irodalmi-kulturális hagyományban.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Memoriterek.</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2.1.2. Portrék </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Balassi Bálint, Csokonai Vitéz Mihály, Berzsenyi Dániel, Kölcsey Ferenc,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Vörösmarty Mihály, Jókai Mór, Mikszáth Kálmán, Móricz Zsigmond, Szabó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Lőrinc, Radnóti Miklós, Weöres Sándor, Ottlik Géza, Márai Sándor, Pilinszky János.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Három-négy lírai és/vagy egy-két epikai néhány epikai/drámai alkotás több szemponton alapuló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Összefüggések a korszak irányzataival, korstílussal.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Etikai, esztétikai, filozófiai vonatkozások.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Művek hatása, utóélete az irodalmi-kulturális hagyományban.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Memoriterek.</w:t>
            </w:r>
          </w:p>
        </w:tc>
      </w:tr>
      <w:tr w:rsidR="004C2997">
        <w:tblPrEx>
          <w:tblCellMar>
            <w:top w:w="0" w:type="dxa"/>
            <w:bottom w:w="0" w:type="dxa"/>
          </w:tblCellMar>
        </w:tblPrEx>
        <w:tc>
          <w:tcPr>
            <w:tcW w:w="243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2.1.3. Látásmódok</w:t>
            </w:r>
          </w:p>
        </w:tc>
        <w:tc>
          <w:tcPr>
            <w:tcW w:w="6640"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Zrínyi Miklós, Jókai Mór, Krúdy Gyula, Karinthy Frigyes, Kassák Lajos, Illyés Gyula, Radnóti Miklós, Szabó Lőrinc, Németh László, Örkény István, Nagy László, Nemes Nagy Ágnes, Szilágyi Domokos.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Választandó legalább négy szerző a felsoroltak közül. (A lista bővíthető legfeljebb két, a fentiekhez hasonló jelentőségű szerzővel).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Összefüggések a korszak irányzataival, korstílussal.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Etikai, esztétikai, filozófiai vonatkozások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Művek hatása, utóélete az irodalmi-kulturális hagyományban.</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2.1.4. A kortárs irodalomból</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költő néhány versének; egy-egy drámaíró, illetve prózaíró 1-2 művének értelmezése az 1980-tól napjainkig tartó időszakból.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Irodalmi nyilvánosság; nyomtatott szöveg, digitális közlés.</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2.1.5. Világirodalom</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európai irodalom alapvető hagyományai: az antikvitás és a Biblia.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Középkor, reneszánsz, barokk, felvilágosodás, romantika, a XIX. század második fele, avantgárd és a XX. század első fele, a XX. század második fele és a kortárs világirodalom jellemzői, korszakonként két mű bemutatása.</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2.1.6. Színház és dráma</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Színház és dráma különböző korszakokban.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Egy-egy mű értelmezése: Szophoklész, Shakespeare, Moliere, Katona József: Bánk bán, Madách Imre: Az ember tragédiája.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Egy-egy dráma elemzése: Ibsen, Csehov, epikus színház, abszurd dráma.</w:t>
            </w:r>
          </w:p>
        </w:tc>
      </w:tr>
      <w:tr w:rsidR="004C2997">
        <w:tblPrEx>
          <w:tblCellMar>
            <w:top w:w="0" w:type="dxa"/>
            <w:bottom w:w="0" w:type="dxa"/>
          </w:tblCellMar>
        </w:tblPrEx>
        <w:tc>
          <w:tcPr>
            <w:tcW w:w="243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2.1.7. Az irodalom határterületei </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irodalom kulturális határterületei. Népköltészet, műköltészet, folklór.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adaptáció – irodalom filmen, dalszövegben, a virtuális valóságban.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szórakoztató irodalom hatáskeltő eszközei, egy-két tipikus műfaja.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„Magas” (elit) művészet és a tömegkultúra viszonyának problémája egy korszakban.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Mítosz, mese és kultusz.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irodalmi ismeretterjesztés nyomtatott és elektronikus műfajai.</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2.1.8. Regionális kultúra</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Interkulturalitás.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régió, a tájegység, a település irodalmi, kulturális hagyományai.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Kisebbségi irodalmak.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Életmódra, kulturális szokásokra utaló dokumentumok bemutatása.</w:t>
            </w:r>
          </w:p>
        </w:tc>
      </w:tr>
      <w:tr w:rsidR="004C2997">
        <w:tblPrEx>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t>2. 2. Értelmezési szintek, megközelítések</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2.2.1. Témák, motívumok</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Szépirodalmi alkotások gondolati, tematikus, motivikus egyezéseinek és különbségeinek összevetése.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olvasott művekben motívumok, témák változatainak értelmezése.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Műveket összekötő motivikus összefüggések.</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2.2.2. Műfajok, poétika</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Műnemek, műfajok. Poétikai fogalmak alkalmazása.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Műfajteremtő művek.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Poétikai jellemzők történeti változásai.</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2.2.3. Korszakok, stílustörténet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2.2.3.1. Irodalomtörténet</w:t>
            </w:r>
          </w:p>
          <w:p w:rsidR="004C2997" w:rsidRDefault="004C2997">
            <w:pPr>
              <w:autoSpaceDE w:val="0"/>
              <w:autoSpaceDN w:val="0"/>
              <w:adjustRightInd w:val="0"/>
              <w:spacing w:after="0" w:line="240" w:lineRule="auto"/>
              <w:rPr>
                <w:rFonts w:ascii="Times New Roman" w:hAnsi="Times New Roman" w:cs="Times New Roman"/>
                <w:i/>
                <w:iCs/>
                <w:sz w:val="20"/>
                <w:szCs w:val="20"/>
              </w:rPr>
            </w:pP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kifejezésmód és világlátás változása a különböző korszakokban a középkortól a szimbolizmusig.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irodalom, az irodalmiság változó hagyománya.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irodalomtörténet/művelődéstörténet főbb korszakainak néhány jellemzője.</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NEMZETISÉGI NYELV ÉS IRODALOM</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jc w:val="both"/>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vizsgakövetelményekben a vizsga mindkét szintjén meghatározó szerepet töltenek be a szövegértés, az írásbeli és a szóbeli szövegalkotás képességei és tevékenységei. Hangsúlyosak azok a szöveg-feldolgozási, elemzési és értelmezési szempontok, nyelvi és irodalmi ismeretek, amelyek a hazai nemzetiségi, az anyanemzet és az európai kulturális hagyomány mellett a jelen világának, a jelen kultúrájának megértéséhez elengedhetetlenek, amelyek szükségesek az önálló tájékozódáshoz, az ítélőképességhez, az érzelmi, szociális, az intellektuális élmények megéléséhez és kifejezéséhez.</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nemzetiségi nyelv és irodalom érettségi vizsgája olyan kitüntetett alkalom, amely az alábbi célokat követve teszi lehetővé a vizsgázó nyelvi kultúrájának és irodalmi műveltségének minősítését és értékelését.</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 érettségi vizsga célja annak megállapítása, hogy a vizsgázó</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rendelkezik-e az anyanyelvi műveltség tartalmi és magatartásbeli elemeivel;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elsajátította-e megfelelő szinten a nyelvhasználati képességeket a beszédértésben, a beszédben, a szövegértés és a szövegalkotás tevékenységében;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hogyan tudja alkalmazni nyelvi, irodalmi és fogalmi ismereteit, olvasói tapasztalatait a nyelvi és kulturális jelenségek megítélésében;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az adott nyelvhez kapcsolódó kultúrát, illetve nemzetisége kultúráját, nyelvi sajátosságait, valamint a kisebbségeket érintő aktuális kérdéseket Magyarországon és Európában;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gondolatait, véleményét szóban és írásban előadni a vizsgafeladatoknak megfelelő műfajban, elsajátította-e a közlés szándékához, céljához, tartalmához, helyzetéhez való stiláris alkalmazkodás képességét, a szövegalkotás tartalmi és formai követelményeit;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tájékozott-e az adott anyanemzet és magyarországi nemzetisége irodalmában, képes-e az irodalmi és nem irodalmi szövegek sokféleségében és kérdésfeltevéseiben eligazodni;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szövegelemző tevékenységében felismeri-e a műalkotások belső világát, annak megjelenési formáját, a kronológiai és kifejezésbeli összefüggéseket;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érvényre jut-e önálló gondolkodása, problémaérzékenysége, lényegkiemelő és rendszerező képessége, nyelvi- irodalmi kultúrájának egyéni sajátosságai;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logikusan érvelni, következtetni, döntési szituációkban eligazodni;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mondanivalóját világos nyelvi formába, szabatosan, árnyaltan kifejezni;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nyelvművelés kérdését és jelentőségét, tudatában van-e az anyanyelv közösség- és identitásformáló funkciójával.</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emelt szintű vizsga a nemzetiségi nyelv használatában és az irodalomban tájékozódni tudó ember nyelvi, irodalmi műveltségét, szövegértő és szövegalkotó képességeit, problémalátását, problémamegoldó gondolkodását vizsgálja, így a vizsga a jelöltektől a mindennapi életben és az önművelésben szükséges ismeretszerzési eljárásokat, írásbeli és szóbeli kifejezőképességet, a rendszerezés és alkalmazás formáit, az elemzés, az értelmezés és az önálló ítéletalkotás képességének bizonyítását várja el, valamint az olvasottság, a nyelvi, irodalmi, fogalmi ismeretek, tények összefüggések széles körét kéri számon.</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 középszintű érettségi vizsga a jelöltektől az emelt szintű követelményektől egyszerűbb rendszerezési, alkalmazási, összehasonlítási és elemzési szempontokat vár el, illetve a nyelvi, irodalmi, fogalmi ismeretek, tények, összefüggések szűkebb körét kéri számon. Az emelt szint abban különbözik a középszinttől, hogy a magasabb nyelvi készségek mellett a nyelvhasználati képességek biztonságát feltételezi a nyelvi, irodalmi ismeretek befogadásában és interpretálásában. </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lastRenderedPageBreak/>
        <w:t>Az emelt és középszinten a témakörök lényegében nem különböznek egymástól, de különböző a témák megközelítési módja. Míg az emelt szinten a megközelítési mód általános, elvont és összetett, addig a középszinten a megközelítési mód személyes, konkrét és egyszerűbb.</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05"/>
        <w:gridCol w:w="6307"/>
      </w:tblGrid>
      <w:tr w:rsidR="004C2997">
        <w:tblPrEx>
          <w:tblCellMar>
            <w:top w:w="0" w:type="dxa"/>
            <w:bottom w:w="0" w:type="dxa"/>
          </w:tblCellMar>
        </w:tblPrEx>
        <w:tc>
          <w:tcPr>
            <w:tcW w:w="2905" w:type="dxa"/>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Ismeretek és képességek</w:t>
            </w:r>
          </w:p>
        </w:tc>
        <w:tc>
          <w:tcPr>
            <w:tcW w:w="6307" w:type="dxa"/>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Height w:val="200"/>
        </w:trPr>
        <w:tc>
          <w:tcPr>
            <w:tcW w:w="9208" w:type="dxa"/>
            <w:gridSpan w:val="2"/>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1. Írásbeli és szóbeli nyelvhasználat</w:t>
            </w:r>
          </w:p>
        </w:tc>
      </w:tr>
      <w:tr w:rsidR="004C2997">
        <w:tblPrEx>
          <w:tblCellMar>
            <w:top w:w="0" w:type="dxa"/>
            <w:bottom w:w="0" w:type="dxa"/>
          </w:tblCellMar>
        </w:tblPrEx>
        <w:trPr>
          <w:trHeight w:val="339"/>
        </w:trPr>
        <w:tc>
          <w:tcPr>
            <w:tcW w:w="290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Szövegértés</w:t>
            </w:r>
          </w:p>
        </w:tc>
        <w:tc>
          <w:tcPr>
            <w:tcW w:w="630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Különböző műfajú és tematikájú szövegek értelmezése, összevetése, az így szerzett ismeretek alkalmazása beszédben és írásban.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cél, a szándékok, érvelések, vélemények felismerése köznyelvi szóbeli és írásbeli szövegfajtában.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szöveg lényegének megítélése.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Irodalmi és nem irodalmi (pl. publicisztikai, ismeretterjesztő, audiális és vizuális tömegtájékoztatás műfajai) szövegek gondolatmenetének követése, a nyelvi eszközök jelentőségének felismerése.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társadalomtudományi és természettudományi tantárgyak anyanyelvű szövegeinek megértése.</w:t>
            </w:r>
          </w:p>
        </w:tc>
      </w:tr>
      <w:tr w:rsidR="004C2997">
        <w:tblPrEx>
          <w:tblCellMar>
            <w:top w:w="0" w:type="dxa"/>
            <w:bottom w:w="0" w:type="dxa"/>
          </w:tblCellMar>
        </w:tblPrEx>
        <w:trPr>
          <w:trHeight w:val="339"/>
        </w:trPr>
        <w:tc>
          <w:tcPr>
            <w:tcW w:w="290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Szövegalkotás</w:t>
            </w:r>
          </w:p>
        </w:tc>
        <w:tc>
          <w:tcPr>
            <w:tcW w:w="630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Állásfoglalás megfogalmazása aktuális témával, illetve problémával kapcsolatban.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Vélemény, álláspont hatásos kifejtése.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Képesség a kulturált, a partner véleményét figyelembe vevő vitatkozásra.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Tárgyszerű, a szituációknak megfelelő formában történő információadás képessége (tudósítás, felvilágosítás stb.).</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Beszámoló szövegekkel és filmekkel kapcsolatban különböző szempontból.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Kiselőadás (referátum) előkészítése és szabatos előadása.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Szépirodalmi és ismeretterjesztő szövegek lényegének megragadása és írásban szabatos formában való megfogalmazása.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Aktuális problémákkal, ill. olvasott művekkel, szövegekkel kapcsolatban érvek és ellenérvek összegyűjtése és ütköztetése, kifejtő fogalmazás írása.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Szövegek értelmezése, ezekkel kapcsolatos állásfoglalás.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Megadott szempontok alapján szövegek megváltoztatása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(szemlélet- és stílusváltás, befejezetlen szöveg folytatása).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magán- és a közéletben használatos különböző szövegfajták szerkesztése (önéletrajz, pályázat, hirdetés, olvasói levél stb.).</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Összefüggő értekező fogalmazások írása megadott szempontok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szövegalkotás során a tanult műfajok ismérveinek rendszerezése, a fogalmazás technikai eljárásainak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helyesírási ismeretek biztos alkalmazása.</w:t>
            </w:r>
          </w:p>
        </w:tc>
      </w:tr>
      <w:tr w:rsidR="004C2997">
        <w:tblPrEx>
          <w:tblCellMar>
            <w:top w:w="0" w:type="dxa"/>
            <w:bottom w:w="0" w:type="dxa"/>
          </w:tblCellMar>
        </w:tblPrEx>
        <w:trPr>
          <w:trHeight w:val="343"/>
        </w:trPr>
        <w:tc>
          <w:tcPr>
            <w:tcW w:w="2903"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2. Nyelvi ismeretek</w:t>
            </w:r>
          </w:p>
        </w:tc>
        <w:tc>
          <w:tcPr>
            <w:tcW w:w="630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Kommunikatív kompetenciák elsajátítása, azaz az adott nemzetiségi nyelv rendszerének és szabályainak ismerete, alkalmazásuk szóban és írásban.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nyelv leíró nyelvtanában való jártasság a hangtan, az alaktan és a mondattan egymással való összefüggésében (hangváltozások, szórend, egyeztetések…). Hangsúlyok az egyes nyelvekben.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Jelentéstani és stilisztikai ismeretek.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Szövegek leíró nyelvtani és stilisztikai elemzése.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retorika alapfogalmainak áttekintése.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nyelv helye a jelrendszerek sorában. A nyelv és a beszéd.</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Anyanyelv, idegen nyelv, kétnyelvűség.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adott nemzetiség nyelvének eredete, helye a világ nyelvei között és az indoeurópai nyelvcsaládban, nyelvrokonság.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Irodalmi nyelv, köznyelv, dialektusok.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nyelvújítás fogalma, kiemelkedő nyelvújítók az egyes nyelvekben.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Nyelvművelés.</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trHeight w:val="343"/>
        </w:trPr>
        <w:tc>
          <w:tcPr>
            <w:tcW w:w="2903"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3. Irodalmi ismeretek</w:t>
            </w:r>
          </w:p>
        </w:tc>
        <w:tc>
          <w:tcPr>
            <w:tcW w:w="630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irodalomban közvetített esztétikai, erkölcsi és szociális értékek felismerésének képessége, a szépirodalom eszköztárának fogalmi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különféle irodalmi műfajú és nem irodalmi művek több szempontú </w:t>
            </w:r>
            <w:r>
              <w:rPr>
                <w:rFonts w:ascii="Times New Roman" w:hAnsi="Times New Roman" w:cs="Times New Roman"/>
                <w:sz w:val="20"/>
                <w:szCs w:val="20"/>
              </w:rPr>
              <w:lastRenderedPageBreak/>
              <w:t xml:space="preserve">elemzésének és értelmezésének képessége,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műelemzés, az értelmezés és az értékelés megkülönböztetése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Irodalmi művek olvasása során rögződött nyelvi fordulatok használata, idézetek, memoriterek tudása.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világirodalmi kontextusba való elhelyezés képessége.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adott magyarországi nemzetiség irodalma. A nemzetiségek nyelvén alkotott irodalmi értékek ismerete nyelvenként.</w:t>
            </w:r>
          </w:p>
        </w:tc>
      </w:tr>
      <w:tr w:rsidR="004C2997">
        <w:tblPrEx>
          <w:tblCellMar>
            <w:top w:w="0" w:type="dxa"/>
            <w:bottom w:w="0" w:type="dxa"/>
          </w:tblCellMar>
        </w:tblPrEx>
        <w:trPr>
          <w:cantSplit/>
          <w:trHeight w:val="314"/>
        </w:trPr>
        <w:tc>
          <w:tcPr>
            <w:tcW w:w="9208" w:type="dxa"/>
            <w:gridSpan w:val="2"/>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Témakörök</w:t>
            </w:r>
          </w:p>
        </w:tc>
      </w:tr>
      <w:tr w:rsidR="004C2997">
        <w:tblPrEx>
          <w:tblCellMar>
            <w:top w:w="0" w:type="dxa"/>
            <w:bottom w:w="0" w:type="dxa"/>
          </w:tblCellMar>
        </w:tblPrEx>
        <w:trPr>
          <w:trHeight w:val="343"/>
        </w:trPr>
        <w:tc>
          <w:tcPr>
            <w:tcW w:w="290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Szerzők és művek</w:t>
            </w:r>
          </w:p>
        </w:tc>
        <w:tc>
          <w:tcPr>
            <w:tcW w:w="630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Népköltészet.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Életművek az anyanemzetek és a magyarországi nemzetiségek irodalmából.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szerző és művének beható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Szerzők és művek az anyanemzetek és a magyarországi nemzetiségek irodalmából (egy-egy szerző több jelentős művének ismerete).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XX. század és a kortárs irodalom alkotóinak művei.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Világirodalom (ahol az anyanyelvi órák keretében tanítják).</w:t>
            </w:r>
          </w:p>
        </w:tc>
      </w:tr>
      <w:tr w:rsidR="004C2997">
        <w:tblPrEx>
          <w:tblCellMar>
            <w:top w:w="0" w:type="dxa"/>
            <w:bottom w:w="0" w:type="dxa"/>
          </w:tblCellMar>
        </w:tblPrEx>
        <w:trPr>
          <w:trHeight w:val="342"/>
        </w:trPr>
        <w:tc>
          <w:tcPr>
            <w:tcW w:w="290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Értelmezési szintek, megközelítések</w:t>
            </w:r>
          </w:p>
        </w:tc>
        <w:tc>
          <w:tcPr>
            <w:tcW w:w="630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Irodalomtörténeti, stílustörténeti megközelítés.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Tematikus, motivikus értelmezés.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Műfaji, poétikai megközelítés.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Kultúrtörténeti értelmezés.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(Művészeti ágak közötti kapcsolatok, az egyes nemzetiségek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irodalmának világirodalmi helye, kölcsönhatások, kapcsolatok a magyar irodalommal).</w:t>
            </w:r>
          </w:p>
        </w:tc>
      </w:tr>
      <w:tr w:rsidR="004C2997">
        <w:tblPrEx>
          <w:tblCellMar>
            <w:top w:w="0" w:type="dxa"/>
            <w:bottom w:w="0" w:type="dxa"/>
          </w:tblCellMar>
        </w:tblPrEx>
        <w:trPr>
          <w:trHeight w:val="342"/>
        </w:trPr>
        <w:tc>
          <w:tcPr>
            <w:tcW w:w="2903"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4. Fogalomismeret, fogalomhasználat nyelvből és irodalomból</w:t>
            </w:r>
          </w:p>
        </w:tc>
        <w:tc>
          <w:tcPr>
            <w:tcW w:w="630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(nemzetiségenként, a részletes követelmények tartalmazzák)</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05"/>
        <w:gridCol w:w="6307"/>
      </w:tblGrid>
      <w:tr w:rsidR="004C2997">
        <w:tblPrEx>
          <w:tblCellMar>
            <w:top w:w="0" w:type="dxa"/>
            <w:bottom w:w="0" w:type="dxa"/>
          </w:tblCellMar>
        </w:tblPrEx>
        <w:tc>
          <w:tcPr>
            <w:tcW w:w="2905" w:type="dxa"/>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Ismeretek és képességek</w:t>
            </w:r>
          </w:p>
        </w:tc>
        <w:tc>
          <w:tcPr>
            <w:tcW w:w="6307" w:type="dxa"/>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208" w:type="dxa"/>
            <w:gridSpan w:val="2"/>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1. Írásbeli és szóbeli nyelvhasználat</w:t>
            </w:r>
          </w:p>
        </w:tc>
      </w:tr>
      <w:tr w:rsidR="004C2997">
        <w:tblPrEx>
          <w:tblCellMar>
            <w:top w:w="0" w:type="dxa"/>
            <w:bottom w:w="0" w:type="dxa"/>
          </w:tblCellMar>
        </w:tblPrEx>
        <w:trPr>
          <w:cantSplit/>
        </w:trPr>
        <w:tc>
          <w:tcPr>
            <w:tcW w:w="290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Szövegértés</w:t>
            </w:r>
          </w:p>
        </w:tc>
        <w:tc>
          <w:tcPr>
            <w:tcW w:w="630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 és a kommunikatív kontextus meghatározása, a szerzői előfelvetések, szándékok felismerése, rekonstruálása írott közlésekben és szóbeli megnyilatkozásokban.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szövegek lényegének megítélése, illetve annak mérlegelése, hogy a hallott vagy olvasott szöveg mennyire alkalmas információk szerzésére.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Irodalmi és nem irodalmi (pl. publicisztikai, ismeretterjesztő, audiális és vizuális tömegtájékoztatás műfajai) szövegek gondolatmenetének követése, az érvelő szándék felismerése.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tanulók tanulmányaival összefüggő társadalomtudományi és természettudományi szövegek körében való biztos tájékozódás, a tantárgyak körén kívül eső szakmai szövegek megértése szótár használatával.</w:t>
            </w:r>
          </w:p>
        </w:tc>
      </w:tr>
      <w:tr w:rsidR="004C2997">
        <w:tblPrEx>
          <w:tblCellMar>
            <w:top w:w="0" w:type="dxa"/>
            <w:bottom w:w="0" w:type="dxa"/>
          </w:tblCellMar>
        </w:tblPrEx>
        <w:trPr>
          <w:cantSplit/>
        </w:trPr>
        <w:tc>
          <w:tcPr>
            <w:tcW w:w="290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Szövegalkotás</w:t>
            </w:r>
          </w:p>
        </w:tc>
        <w:tc>
          <w:tcPr>
            <w:tcW w:w="630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Állásfoglalás megfogalmazása aktuális témával, illetve problémával kapcsolatban.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Vélemény, álláspont hatásos kifejtése.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Képesség a kulturált, a partner véleményét figyelembe vevő vitatkozásra.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Tárgyszerű, a szituációnak megfelelő formában történő információadás képessége (tudósítás, felvilágosítás stb.).</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Kiselőadás (referátum) előkészítése és szabatos előadása.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Szépirodalmi és ismeretterjesztő szövegek lényegének megragadása és írásban szabatos formában való megfogalmazása.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Aktuális problémákkal, illetve olvasott művekkel, szövegekkel kapcsolatban érvek és ellenérvek összegyűjtése és ütköztetése, kifejtő fogalmazás írása.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Szövegek értelmezése, ezekkel kapcsolatos állásfoglalás.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Megadott szempontok alapján szövegek megváltoztatása (szemlélet- és stílusváltás, befejezetlen szöveg folytatása).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szövegalkotás során a tanult műfajok ismérveinek rendszerezése: az egyes műfajok tartalmi és stiláris követelményeinek, szerkezeti felépítésének alapos ismerete.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Irodalmi és más olvasmányok alapján értekezés, esszé, érvelés, összehasonlítás megfogalmazása.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Színházi és filmélmény személyes érintettséget is magában foglaló megfogalmazása.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Hibátlan helyesírás.</w:t>
            </w:r>
          </w:p>
        </w:tc>
      </w:tr>
      <w:tr w:rsidR="004C2997">
        <w:tblPrEx>
          <w:tblCellMar>
            <w:top w:w="0" w:type="dxa"/>
            <w:bottom w:w="0" w:type="dxa"/>
          </w:tblCellMar>
        </w:tblPrEx>
        <w:trPr>
          <w:cantSplit/>
        </w:trPr>
        <w:tc>
          <w:tcPr>
            <w:tcW w:w="2903"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2. Nyelvi ismeretek</w:t>
            </w:r>
          </w:p>
        </w:tc>
        <w:tc>
          <w:tcPr>
            <w:tcW w:w="630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Kommunikatív kompetenciák elsajátítása, azaz az adott nemzetiségi nyelv rendszerének és szabályainak ismerete definíciók szintjén is, alkalmazásuk szóban és írásban.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nyelvtan terminológiájának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Szövegek leíró nyelvtani, szövegtani és stilisztikai elemzése, valamint az elemzésben alkalmazott fogalmak, nyelvi rendszerbeli összefüggések felismerése.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flektáló és agglutináló nyelvek közötti különbségek felismerése (a nemzetiségek „hajlító”, azaz deklináló nyelvei és a ragok a magyar nyelvben).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nyelvművelés szerepe, a nyelvek rétegeződése, fejlődése, a nyelvhasználat társadalmi összefüggései.</w:t>
            </w:r>
          </w:p>
        </w:tc>
      </w:tr>
      <w:tr w:rsidR="004C2997">
        <w:tblPrEx>
          <w:tblCellMar>
            <w:top w:w="0" w:type="dxa"/>
            <w:bottom w:w="0" w:type="dxa"/>
          </w:tblCellMar>
        </w:tblPrEx>
        <w:trPr>
          <w:cantSplit/>
        </w:trPr>
        <w:tc>
          <w:tcPr>
            <w:tcW w:w="2903"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3. Irodalmi ismeretek</w:t>
            </w:r>
          </w:p>
        </w:tc>
        <w:tc>
          <w:tcPr>
            <w:tcW w:w="630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irodalomban közvetített esztétikai, erkölcsi és szociális értékek felismerésének képessége, a szépirodalom eszköztárának fogalmi ismerete; az élmények befogadásán túl személyes állásfoglalás kialakítása.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különféle irodalmi műfajú és nem irodalmi művek több szempontú elemzése, a művek közvetítette gondolatok, értékek összevetésének és szembesítésének képessége.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műelemzés, az értelmezés, az értékelés megkülönböztetése, olvasat és személyes érintettség megfogalmazása.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adott nemzetiségi nyelven íródott irodalom világirodalmi helyének megállapítása, a világirodalmi és magyar irodalmi kapcsolatok felismerésének és értékelésének képessége.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Irodalmi művek olvasása során rögződött nyelvi fordulatok használata, idézetek, memoriterek.</w:t>
            </w:r>
          </w:p>
        </w:tc>
      </w:tr>
      <w:tr w:rsidR="004C2997">
        <w:tblPrEx>
          <w:tblCellMar>
            <w:top w:w="0" w:type="dxa"/>
            <w:bottom w:w="0" w:type="dxa"/>
          </w:tblCellMar>
        </w:tblPrEx>
        <w:trPr>
          <w:cantSplit/>
        </w:trPr>
        <w:tc>
          <w:tcPr>
            <w:tcW w:w="2903"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Témakörök</w:t>
            </w:r>
          </w:p>
        </w:tc>
        <w:tc>
          <w:tcPr>
            <w:tcW w:w="630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Népköltészet.</w:t>
            </w:r>
          </w:p>
        </w:tc>
      </w:tr>
      <w:tr w:rsidR="004C2997">
        <w:tblPrEx>
          <w:tblCellMar>
            <w:top w:w="0" w:type="dxa"/>
            <w:bottom w:w="0" w:type="dxa"/>
          </w:tblCellMar>
        </w:tblPrEx>
        <w:trPr>
          <w:cantSplit/>
        </w:trPr>
        <w:tc>
          <w:tcPr>
            <w:tcW w:w="290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Szerzők és művek</w:t>
            </w:r>
          </w:p>
        </w:tc>
        <w:tc>
          <w:tcPr>
            <w:tcW w:w="630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Életművek az anyanemzet és az adott magyarországi nemzetiség irodalmából.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szerző és művének beható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Szerzők és művek az adott nemzetiség nyelvén íródott irodalmából (egy-egy szerző több jelentős művének ismerete).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XX. század és a kortárs irodalom alkotóinak művei.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Világirodalom (ahol az anyanyelvi órák keretében tanítják).</w:t>
            </w:r>
          </w:p>
        </w:tc>
      </w:tr>
      <w:tr w:rsidR="004C2997">
        <w:tblPrEx>
          <w:tblCellMar>
            <w:top w:w="0" w:type="dxa"/>
            <w:bottom w:w="0" w:type="dxa"/>
          </w:tblCellMar>
        </w:tblPrEx>
        <w:trPr>
          <w:cantSplit/>
        </w:trPr>
        <w:tc>
          <w:tcPr>
            <w:tcW w:w="290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Értelmezési szintek, megközelítések</w:t>
            </w:r>
          </w:p>
        </w:tc>
        <w:tc>
          <w:tcPr>
            <w:tcW w:w="630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Irodalomtörténeti, stílustörténeti megközelítés.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Tematikus, motivikus értelmezés.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Műfaji, poétikai megközelítés.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Kultúrtörténeti értelmezés.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(Művészeti ágak közötti kapcsolatok, az egyes nemzetiségek nyelvén íródott irodalom világirodalmi helye, kölcsönhatások, kapcsolatok a magyar irodalommal).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magyarországi nemzetiségek irodalma.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Height w:val="386"/>
        </w:trPr>
        <w:tc>
          <w:tcPr>
            <w:tcW w:w="2903"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4. Fogalomismeret, fogalomhasználat nyelvből és irodalomból</w:t>
            </w:r>
          </w:p>
        </w:tc>
        <w:tc>
          <w:tcPr>
            <w:tcW w:w="630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(nemzetiségenként, a részletes követelmények tartalmazzák)</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TÖRTÉNELEM</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történelem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vizsga azt hivatott megállapítani, hogy a vizsgázó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történeti gondolkodásmód kialakulásához szükséges alapokkal;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birtokában van-e az alapvető történelmi tényeknek (időpontok, személyek stb.);</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használni a történelmi fogalmakat, a szaknyelvet;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ismereteit szóban és írásban előadni;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elsajátította-e azokat a képességeket és ismereteket, amelyekkel a történelmi eseményeket és jelenségeket értelmezni tudja;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történelmi forrásokat – legyenek akár eredeti források, akár a múltról szóló feldolgozások – vizsgálni és elemezni, a múlt emberének életét reálisan elképzelni;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 tudja-e használni történeti ismereteit arra, hogy a jelenkor társadalmi jelenségeit értelmezze;</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az érvekkel alátámasztott, árnyalt és tényszerű történelmi értékeléseket előnyben részesíteni a leegyszerűsítő véleményekkel szemben.</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követelményekben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hangsúlyosan szerepelnek a képesség jellegű követelmények, valamint azok az elemzési szempontok és történelmi ismeretek, amelyek a jelen világának megértéséhez szükségesek;</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nagy figyelmet kapnak a társadalmi, gazdasági és kulturális folyamatok, illetve azok a készségek és ismeretek, amelyek az egyes korszakok komplex, életszerű bemutatásához szükségesek;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fontos szerep jut a politika- és eseménytörténet mellett a társadalom-, a gazdaság-, a művelődés- és mentalitástörténetnek. </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középszintű vizsga a jelöltektől az egyszerűbb ismeretszerzési eljárásokat, kifejezőképességeket, a rendszerezés és alkalmazás alapvető formáit, valamint a történelmi ítéletalkotás készségének meglétét várja el.</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emelt szintű vizsga elsősorban a felsőoktatásban történelmet tovább tanulni szándékozó vizsgázó képességeit és ismereteit vizsgálja. A jelöltektől a középszintű követelményeket meghaladó bonyolultabb ismeretszerzési eljárásokat, kifejezőképességeket, összetettebb rendszerezési alkalmazási, összehasonlítási és elemzési szempontokat, valamint magasabb fokú gondolkodási műveleteket, önállóbb ítéletalkotási készségeket vár el, továbbá a történelmi tények, adatok tágabb körét kéri számon.</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tbl>
      <w:tblPr>
        <w:tblW w:w="0" w:type="auto"/>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2438"/>
        <w:gridCol w:w="6606"/>
      </w:tblGrid>
      <w:tr w:rsidR="004C2997">
        <w:tblPrEx>
          <w:tblCellMar>
            <w:top w:w="0" w:type="dxa"/>
            <w:left w:w="0" w:type="dxa"/>
            <w:bottom w:w="0" w:type="dxa"/>
            <w:right w:w="0" w:type="dxa"/>
          </w:tblCellMar>
        </w:tblPrEx>
        <w:trPr>
          <w:cantSplit/>
        </w:trPr>
        <w:tc>
          <w:tcPr>
            <w:tcW w:w="2438" w:type="dxa"/>
            <w:shd w:val="pct25" w:color="auto" w:fill="auto"/>
          </w:tcPr>
          <w:p w:rsidR="004C2997" w:rsidRDefault="004C2997">
            <w:pPr>
              <w:autoSpaceDE w:val="0"/>
              <w:autoSpaceDN w:val="0"/>
              <w:adjustRightInd w:val="0"/>
              <w:spacing w:after="0" w:line="240" w:lineRule="auto"/>
              <w:ind w:left="57"/>
              <w:jc w:val="center"/>
              <w:rPr>
                <w:rFonts w:ascii="Times New Roman" w:hAnsi="Times New Roman" w:cs="Times New Roman"/>
                <w:b/>
                <w:bCs/>
                <w:sz w:val="20"/>
                <w:szCs w:val="20"/>
              </w:rPr>
            </w:pPr>
            <w:r>
              <w:rPr>
                <w:rFonts w:ascii="Times New Roman" w:hAnsi="Times New Roman" w:cs="Times New Roman"/>
                <w:b/>
                <w:bCs/>
                <w:sz w:val="20"/>
                <w:szCs w:val="20"/>
              </w:rPr>
              <w:t>Témakörök/</w:t>
            </w:r>
          </w:p>
          <w:p w:rsidR="004C2997" w:rsidRDefault="004C2997">
            <w:pPr>
              <w:autoSpaceDE w:val="0"/>
              <w:autoSpaceDN w:val="0"/>
              <w:adjustRightInd w:val="0"/>
              <w:spacing w:after="0" w:line="240" w:lineRule="auto"/>
              <w:ind w:left="57"/>
              <w:jc w:val="center"/>
              <w:rPr>
                <w:rFonts w:ascii="Times New Roman" w:hAnsi="Times New Roman" w:cs="Times New Roman"/>
                <w:b/>
                <w:bCs/>
                <w:sz w:val="20"/>
                <w:szCs w:val="20"/>
              </w:rPr>
            </w:pPr>
            <w:r>
              <w:rPr>
                <w:rFonts w:ascii="Times New Roman" w:hAnsi="Times New Roman" w:cs="Times New Roman"/>
                <w:b/>
                <w:bCs/>
                <w:sz w:val="20"/>
                <w:szCs w:val="20"/>
              </w:rPr>
              <w:t>Kompetenciák</w:t>
            </w:r>
          </w:p>
        </w:tc>
        <w:tc>
          <w:tcPr>
            <w:tcW w:w="6606" w:type="dxa"/>
            <w:shd w:val="pct25" w:color="auto" w:fill="auto"/>
            <w:vAlign w:val="center"/>
          </w:tcPr>
          <w:p w:rsidR="004C2997" w:rsidRDefault="004C2997">
            <w:pPr>
              <w:autoSpaceDE w:val="0"/>
              <w:autoSpaceDN w:val="0"/>
              <w:adjustRightInd w:val="0"/>
              <w:spacing w:after="0" w:line="240" w:lineRule="auto"/>
              <w:ind w:left="57"/>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left w:w="0" w:type="dxa"/>
            <w:bottom w:w="0" w:type="dxa"/>
            <w:right w:w="0" w:type="dxa"/>
          </w:tblCellMar>
        </w:tblPrEx>
        <w:trPr>
          <w:cantSplit/>
        </w:trPr>
        <w:tc>
          <w:tcPr>
            <w:tcW w:w="9044" w:type="dxa"/>
            <w:gridSpan w:val="2"/>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1. Kompetenciák</w:t>
            </w:r>
          </w:p>
        </w:tc>
      </w:tr>
      <w:tr w:rsidR="004C2997">
        <w:tblPrEx>
          <w:tblCellMar>
            <w:top w:w="0" w:type="dxa"/>
            <w:left w:w="0" w:type="dxa"/>
            <w:bottom w:w="0" w:type="dxa"/>
            <w:right w:w="0" w:type="dxa"/>
          </w:tblCellMar>
        </w:tblPrEx>
        <w:trPr>
          <w:cantSplit/>
        </w:trPr>
        <w:tc>
          <w:tcPr>
            <w:tcW w:w="2438"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lastRenderedPageBreak/>
              <w:t>Források használata és értékelése</w:t>
            </w:r>
          </w:p>
        </w:tc>
        <w:tc>
          <w:tcPr>
            <w:tcW w:w="6606" w:type="dxa"/>
            <w:tcBorders>
              <w:bottom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Történelmi forrásokból (</w:t>
            </w:r>
            <w:r>
              <w:rPr>
                <w:rFonts w:ascii="Times New Roman" w:hAnsi="Times New Roman" w:cs="Times New Roman"/>
                <w:i/>
                <w:iCs/>
                <w:sz w:val="20"/>
                <w:szCs w:val="20"/>
              </w:rPr>
              <w:t>pl. tárgyi, írásos</w:t>
            </w:r>
            <w:r>
              <w:rPr>
                <w:rFonts w:ascii="Times New Roman" w:hAnsi="Times New Roman" w:cs="Times New Roman"/>
                <w:sz w:val="20"/>
                <w:szCs w:val="20"/>
              </w:rPr>
              <w:t>) információk gyűjtése, következtetések megfogalmazása.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Különböző típusú forrásokból származó információk összevetése.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 xml:space="preserve">Képi források </w:t>
            </w:r>
            <w:r>
              <w:rPr>
                <w:rFonts w:ascii="Times New Roman" w:hAnsi="Times New Roman" w:cs="Times New Roman"/>
                <w:i/>
                <w:iCs/>
                <w:sz w:val="20"/>
                <w:szCs w:val="20"/>
              </w:rPr>
              <w:t>(pl. fényképek, karikatúrák, plakátok)</w:t>
            </w:r>
            <w:r>
              <w:rPr>
                <w:rFonts w:ascii="Times New Roman" w:hAnsi="Times New Roman" w:cs="Times New Roman"/>
                <w:sz w:val="20"/>
                <w:szCs w:val="20"/>
              </w:rPr>
              <w:t xml:space="preserve"> megadott szempont szerinti értelmezése. </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 xml:space="preserve">A történelmi térképek felhasználása az ismeretszerzéshez. </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 xml:space="preserve">Információk gyűjtése és következtetések levonása egyszerű statisztikai táblázatokból, diagramokból, grafikonokból, kronológiákból. </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tények és feltételezések megkülönböztetése.</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CellMar>
            <w:top w:w="0" w:type="dxa"/>
            <w:left w:w="0" w:type="dxa"/>
            <w:bottom w:w="0" w:type="dxa"/>
            <w:right w:w="0" w:type="dxa"/>
          </w:tblCellMar>
        </w:tblPrEx>
        <w:trPr>
          <w:cantSplit/>
        </w:trPr>
        <w:tc>
          <w:tcPr>
            <w:tcW w:w="2438"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szaknyelv alkalmazása</w:t>
            </w:r>
          </w:p>
        </w:tc>
        <w:tc>
          <w:tcPr>
            <w:tcW w:w="6606"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Történelmi fogalmak azonosítása, helyes használata.</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CellMar>
            <w:top w:w="0" w:type="dxa"/>
            <w:left w:w="0" w:type="dxa"/>
            <w:bottom w:w="0" w:type="dxa"/>
            <w:right w:w="0" w:type="dxa"/>
          </w:tblCellMar>
        </w:tblPrEx>
        <w:trPr>
          <w:cantSplit/>
        </w:trPr>
        <w:tc>
          <w:tcPr>
            <w:tcW w:w="2438"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Tájékozódás térben és időben</w:t>
            </w:r>
          </w:p>
        </w:tc>
        <w:tc>
          <w:tcPr>
            <w:tcW w:w="6606"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 xml:space="preserve">Történelmi helyszínek azonosítása különböző térképeken. </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földrajzi környezet szerepe az egyes történelmi kultúrák és államok kialakulásában.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Egyszerű történelmi térképvázlatok készítése.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 xml:space="preserve">Konkrét történelmi események térben és időben való elhelyezése. </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 xml:space="preserve">Különbségek és egybeesések felismerése a világtörténet és a magyar történelem legfontosabb eseményei között. </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nagy történelmi korok és a kisebb korszakok elnevezésének, sorrendjének, valamint legfontosabb jellemzőinek ismerete.</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CellMar>
            <w:top w:w="0" w:type="dxa"/>
            <w:left w:w="0" w:type="dxa"/>
            <w:bottom w:w="0" w:type="dxa"/>
            <w:right w:w="0" w:type="dxa"/>
          </w:tblCellMar>
        </w:tblPrEx>
        <w:trPr>
          <w:cantSplit/>
        </w:trPr>
        <w:tc>
          <w:tcPr>
            <w:tcW w:w="2438"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Az eseményeket alakító tényezők feltárása</w:t>
            </w:r>
          </w:p>
        </w:tc>
        <w:tc>
          <w:tcPr>
            <w:tcW w:w="6606"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 xml:space="preserve">A tanultak okok és következmények szerinti rendezése. </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Annak bizonyítása, hogy a történelmi eseményeknek általában több oka és következménye van.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Különböző típusú okok és következmények megkülönböztetése, azok eltérő jelentőségének felismerése.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lényeges és kevésbé lényeges szempontok, tényezők megkülönböztetése, mérlegelése.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Önálló kérdések megfogalmazása a tanult történelmi események okairól és következményeiről.</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változás és a fejlődés közötti különbség értelmezése konkrét példákon.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különböző történeti régiók eltérő fejlődésének bemutatása.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Aktuális események történelmi előzményeinek bemutatása.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Személyek, pártok, csoportok szerepének fölismerése egy-egy történelmi esemény alakulásában.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Annak megállapítása, hogy miként függhetnek össze a történelmi események okai, következményei és a benne résztvevők szándékai.</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CellMar>
            <w:top w:w="0" w:type="dxa"/>
            <w:left w:w="0" w:type="dxa"/>
            <w:bottom w:w="0" w:type="dxa"/>
            <w:right w:w="0" w:type="dxa"/>
          </w:tblCellMar>
        </w:tblPrEx>
        <w:trPr>
          <w:cantSplit/>
        </w:trPr>
        <w:tc>
          <w:tcPr>
            <w:tcW w:w="2438" w:type="dxa"/>
            <w:tcBorders>
              <w:bottom w:val="single" w:sz="4" w:space="0" w:color="auto"/>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Történelmi események és jelenségek problémaközpontú bemutatása</w:t>
            </w:r>
          </w:p>
        </w:tc>
        <w:tc>
          <w:tcPr>
            <w:tcW w:w="6606"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Gazdaság, gazdaságpolitika, anyagi kultúra.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Népesség, település, életmód.</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Egyén, közösség, társadalom.</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modern demokráciák működése.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Politikai intézmények, eszmék, ideológiák.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Nemzetközi konfliktusok és együttműködés.</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rPr>
          <w:cantSplit/>
        </w:trPr>
        <w:tc>
          <w:tcPr>
            <w:tcW w:w="9044" w:type="dxa"/>
            <w:gridSpan w:val="2"/>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2. Témakörök</w:t>
            </w:r>
          </w:p>
        </w:tc>
      </w:tr>
      <w:tr w:rsidR="004C2997">
        <w:tblPrEx>
          <w:tblBorders>
            <w:top w:val="single" w:sz="4" w:space="0" w:color="auto"/>
            <w:left w:val="single" w:sz="4" w:space="0" w:color="auto"/>
            <w:bottom w:val="single" w:sz="4" w:space="0" w:color="auto"/>
            <w:right w:val="single" w:sz="4" w:space="0" w:color="auto"/>
          </w:tblBorders>
          <w:tblCellMar>
            <w:top w:w="0" w:type="dxa"/>
            <w:left w:w="0" w:type="dxa"/>
            <w:bottom w:w="0" w:type="dxa"/>
            <w:right w:w="0" w:type="dxa"/>
          </w:tblCellMar>
        </w:tblPrEx>
        <w:trPr>
          <w:cantSplit/>
        </w:trPr>
        <w:tc>
          <w:tcPr>
            <w:tcW w:w="2438"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Az ókor és kultúrája</w:t>
            </w:r>
          </w:p>
        </w:tc>
        <w:tc>
          <w:tcPr>
            <w:tcW w:w="6606"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Vallás és kultúra az ókori Keleten.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demokrácia kialakulása Athénban.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római köztársaság virágkora és válsága, az egyeduralom kialakulása.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Az antik hitvilág, művészet, tudomány.</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kereszténység kialakulása és elterjedése.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népvándorlás, az antik civilizáció felbomlása.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left w:w="0" w:type="dxa"/>
            <w:bottom w:w="0" w:type="dxa"/>
            <w:right w:w="0" w:type="dxa"/>
          </w:tblCellMar>
        </w:tblPrEx>
        <w:tc>
          <w:tcPr>
            <w:tcW w:w="2438"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 xml:space="preserve">A középkor </w:t>
            </w:r>
          </w:p>
        </w:tc>
        <w:tc>
          <w:tcPr>
            <w:tcW w:w="6606"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feudális társadalmi és gazdasági rend jellemzői.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nyugati és a keleti kereszténység.</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Az iszlám vallás és az arab világ; a világvallások elterjedése.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középkori városok.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Egyházi és világi kultúra a középkorban.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humanizmus és a reneszánsz Itáliában.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lastRenderedPageBreak/>
              <w:t>Az oszmán birodalom terjeszkedése.</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left w:w="0" w:type="dxa"/>
            <w:bottom w:w="0" w:type="dxa"/>
            <w:right w:w="0" w:type="dxa"/>
          </w:tblCellMar>
        </w:tblPrEx>
        <w:trPr>
          <w:cantSplit/>
        </w:trPr>
        <w:tc>
          <w:tcPr>
            <w:tcW w:w="2438"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lastRenderedPageBreak/>
              <w:t>A középkori magyar állam megteremtése és virágkora</w:t>
            </w:r>
          </w:p>
        </w:tc>
        <w:tc>
          <w:tcPr>
            <w:tcW w:w="6606"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magyar nép őstörténete és vándorlása.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honfoglalástól az államalapításig.</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 xml:space="preserve">Az Árpád-kor. </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 xml:space="preserve">Társadalmi és gazdasági változások Károly Róbert, Nagy Lajos és Luxemburgi Zsigmond idején. </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Hunyadiak.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Kultúra és művelődés.</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left w:w="0" w:type="dxa"/>
            <w:bottom w:w="0" w:type="dxa"/>
            <w:right w:w="0" w:type="dxa"/>
          </w:tblCellMar>
        </w:tblPrEx>
        <w:tc>
          <w:tcPr>
            <w:tcW w:w="2438"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Szellemi, társadalmi és politikai változások az újkorban</w:t>
            </w:r>
          </w:p>
        </w:tc>
        <w:tc>
          <w:tcPr>
            <w:tcW w:w="6606"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nagy földrajzi fölfedezések és következményei.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Reformáció és katolikus megújulás.</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kontinentális abszolutizmus és a parlamentáris monarchia megszületése Angliában.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tudományos világkép átalakulása, a felvilágosodás.</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left w:w="0" w:type="dxa"/>
            <w:bottom w:w="0" w:type="dxa"/>
            <w:right w:w="0" w:type="dxa"/>
          </w:tblCellMar>
        </w:tblPrEx>
        <w:trPr>
          <w:cantSplit/>
        </w:trPr>
        <w:tc>
          <w:tcPr>
            <w:tcW w:w="2438"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Magyarország a Habsburg Birodalomban</w:t>
            </w:r>
          </w:p>
        </w:tc>
        <w:tc>
          <w:tcPr>
            <w:tcW w:w="6606"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mohácsi csata és az ország három részre szakadása.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Az Erdélyi Fejedelemség virágkora.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török kiűzése és a Rákóczi-szabadságharc.</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Magyarország a XVIII. századi Habsburg Birodalomban.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Művelődés, egyházak, iskolák.</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left w:w="0" w:type="dxa"/>
            <w:bottom w:w="0" w:type="dxa"/>
            <w:right w:w="0" w:type="dxa"/>
          </w:tblCellMar>
        </w:tblPrEx>
        <w:tc>
          <w:tcPr>
            <w:tcW w:w="2438"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polgári átalakulás, a nemzetállamok és az imperializmus kora</w:t>
            </w:r>
          </w:p>
        </w:tc>
        <w:tc>
          <w:tcPr>
            <w:tcW w:w="6606"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francia polgári forradalom politikai irányzatai, az Emberi és Polgári Jogok Nyilatkozata.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XIX. század eszméi.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Az ipari forradalom és következményei.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Nagyhatalmak és katonai-politikai szövetségek a századfordulón.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Tudományos, technikai felfedezések, újítások és következményeik.</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left w:w="0" w:type="dxa"/>
            <w:bottom w:w="0" w:type="dxa"/>
            <w:right w:w="0" w:type="dxa"/>
          </w:tblCellMar>
        </w:tblPrEx>
        <w:trPr>
          <w:cantSplit/>
        </w:trPr>
        <w:tc>
          <w:tcPr>
            <w:tcW w:w="2438"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polgárosodás kezdetei és kibontakozása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Magyarországon</w:t>
            </w:r>
          </w:p>
        </w:tc>
        <w:tc>
          <w:tcPr>
            <w:tcW w:w="6606"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 xml:space="preserve">A reformmozgalom kibontakozása, a polgárosodás fő kérdései. </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reformkori művelődés, kultúra.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Polgári forradalom.</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szabadságharc.</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kiegyezés előzményei és megszületése.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 xml:space="preserve">Gazdasági eredmények és társadalmi változások a dualizmus korában. </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Az életmód, a tudományos és művészeti élet fejlődése.</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left w:w="0" w:type="dxa"/>
            <w:bottom w:w="0" w:type="dxa"/>
            <w:right w:w="0" w:type="dxa"/>
          </w:tblCellMar>
        </w:tblPrEx>
        <w:trPr>
          <w:cantSplit/>
        </w:trPr>
        <w:tc>
          <w:tcPr>
            <w:tcW w:w="2438"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Az első világháborútól</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kétpólusú világ felbomlásáig</w:t>
            </w:r>
          </w:p>
        </w:tc>
        <w:tc>
          <w:tcPr>
            <w:tcW w:w="6606"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Az első világháború jellege, jellemzői; a Párizs környéki békék.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gazdaság a társadalom és életmód új jelenségei a fejlett világban.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Az USA és az 1929–33-as gazdasági válság.</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nemzetiszocializmus hatalomra jutása és működési mechanizmusa.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bolsevik ideológia és a sztálini diktatúra az 1920–30-as években.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 xml:space="preserve">A második világháború előzményei és jelentős fordulatai. </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hidegháború és a kétpólusú világ jellemzői.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szocialista rendszerek bukása.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left w:w="0" w:type="dxa"/>
            <w:bottom w:w="0" w:type="dxa"/>
            <w:right w:w="0" w:type="dxa"/>
          </w:tblCellMar>
        </w:tblPrEx>
        <w:trPr>
          <w:cantSplit/>
        </w:trPr>
        <w:tc>
          <w:tcPr>
            <w:tcW w:w="2438"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Magyarország története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az első világháborútól a második világháborús összeomlásig</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c>
          <w:tcPr>
            <w:tcW w:w="6606"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Az Osztrák–Magyar Monarchia felbomlása és következményei.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Horthy-rendszer jellege, jellemzői.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művelődési viszonyok és az életmód.</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magyar külpolitika mozgástere, alternatívái.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Magyarország részvétele a világháborúban.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német megszállás, a holocaust Magyarországon.</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left w:w="0" w:type="dxa"/>
            <w:bottom w:w="0" w:type="dxa"/>
            <w:right w:w="0" w:type="dxa"/>
          </w:tblCellMar>
        </w:tblPrEx>
        <w:tc>
          <w:tcPr>
            <w:tcW w:w="2438"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Magyarország 1945-től</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rendszerváltozásig</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c>
          <w:tcPr>
            <w:tcW w:w="6606"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szovjet felszabadítás és megszállás.</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határon túli magyarság sorsa.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kommunista diktatúra kiépítése és működése.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Az 1956-os forradalom és szabadságharc.</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Kádár-rendszer jellege, jellemzői.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rendszerváltozás.</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left w:w="0" w:type="dxa"/>
            <w:bottom w:w="0" w:type="dxa"/>
            <w:right w:w="0" w:type="dxa"/>
          </w:tblCellMar>
        </w:tblPrEx>
        <w:tc>
          <w:tcPr>
            <w:tcW w:w="2438"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jelenkor</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c>
          <w:tcPr>
            <w:tcW w:w="6606"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lastRenderedPageBreak/>
              <w:t>A közép-európai régió jellemzői, távlatai, a posztszovjet rendszerek problémái.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lastRenderedPageBreak/>
              <w:t>Az európai integráció története.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„harmadik világ”.</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Fogyasztói társadalom; ökológiai problémák, a fenntartható fejlődés.</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globális világ kihívásai és ellentmondásai.</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left w:w="0" w:type="dxa"/>
            <w:bottom w:w="0" w:type="dxa"/>
            <w:right w:w="0" w:type="dxa"/>
          </w:tblCellMar>
        </w:tblPrEx>
        <w:tc>
          <w:tcPr>
            <w:tcW w:w="2438" w:type="dxa"/>
            <w:tcBorders>
              <w:bottom w:val="single" w:sz="4" w:space="0" w:color="auto"/>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lastRenderedPageBreak/>
              <w:t>A mai magyar társadalom</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 xml:space="preserve"> és életmód</w:t>
            </w:r>
          </w:p>
        </w:tc>
        <w:tc>
          <w:tcPr>
            <w:tcW w:w="6606" w:type="dxa"/>
            <w:tcBorders>
              <w:bottom w:val="single" w:sz="4" w:space="0" w:color="auto"/>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Alapvető állampolgári ismeretek.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Etnikumok és nemzetiségek a magyar társadalomban.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magyarországi roma társadalom.</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parlamenti demokrácia működése és az önkormányzatiság.</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 xml:space="preserve">Társadalmi, gazdasági és demográfiai változások. </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438"/>
        <w:gridCol w:w="6604"/>
        <w:gridCol w:w="30"/>
      </w:tblGrid>
      <w:tr w:rsidR="004C2997">
        <w:tblPrEx>
          <w:tblCellMar>
            <w:top w:w="0" w:type="dxa"/>
            <w:bottom w:w="0" w:type="dxa"/>
          </w:tblCellMar>
        </w:tblPrEx>
        <w:trPr>
          <w:gridAfter w:val="1"/>
          <w:wAfter w:w="33" w:type="dxa"/>
          <w:cantSplit/>
        </w:trPr>
        <w:tc>
          <w:tcPr>
            <w:tcW w:w="2433" w:type="dxa"/>
            <w:shd w:val="pct25" w:color="auto" w:fill="auto"/>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Kompetenciák</w:t>
            </w:r>
          </w:p>
        </w:tc>
        <w:tc>
          <w:tcPr>
            <w:tcW w:w="6601" w:type="dxa"/>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gridAfter w:val="1"/>
          <w:wAfter w:w="33" w:type="dxa"/>
          <w:cantSplit/>
        </w:trPr>
        <w:tc>
          <w:tcPr>
            <w:tcW w:w="9034" w:type="dxa"/>
            <w:gridSpan w:val="2"/>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1. Kompetenciák</w:t>
            </w:r>
          </w:p>
        </w:tc>
      </w:tr>
      <w:tr w:rsidR="004C2997">
        <w:tblPrEx>
          <w:tblCellMar>
            <w:top w:w="0" w:type="dxa"/>
            <w:bottom w:w="0" w:type="dxa"/>
          </w:tblCellMar>
        </w:tblPrEx>
        <w:trPr>
          <w:gridAfter w:val="1"/>
          <w:wAfter w:w="33" w:type="dxa"/>
          <w:cantSplit/>
        </w:trPr>
        <w:tc>
          <w:tcPr>
            <w:tcW w:w="243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Források használata és értékelése</w:t>
            </w:r>
          </w:p>
        </w:tc>
        <w:tc>
          <w:tcPr>
            <w:tcW w:w="6601"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Történelmi forrásokból (</w:t>
            </w:r>
            <w:r>
              <w:rPr>
                <w:rFonts w:ascii="Times New Roman" w:hAnsi="Times New Roman" w:cs="Times New Roman"/>
                <w:i/>
                <w:iCs/>
                <w:sz w:val="20"/>
                <w:szCs w:val="20"/>
              </w:rPr>
              <w:t>pl. tárgyi, írásos</w:t>
            </w:r>
            <w:r>
              <w:rPr>
                <w:rFonts w:ascii="Times New Roman" w:hAnsi="Times New Roman" w:cs="Times New Roman"/>
                <w:sz w:val="20"/>
                <w:szCs w:val="20"/>
              </w:rPr>
              <w:t>) információk gyűjtése, következtetések megfogalmazása.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Különböző típusú forrásokból származó információk összevetése.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Képi források </w:t>
            </w:r>
            <w:r>
              <w:rPr>
                <w:rFonts w:ascii="Times New Roman" w:hAnsi="Times New Roman" w:cs="Times New Roman"/>
                <w:i/>
                <w:iCs/>
                <w:sz w:val="20"/>
                <w:szCs w:val="20"/>
              </w:rPr>
              <w:t>(pl. fényképek, karikatúrák, plakátok)</w:t>
            </w:r>
            <w:r>
              <w:rPr>
                <w:rFonts w:ascii="Times New Roman" w:hAnsi="Times New Roman" w:cs="Times New Roman"/>
                <w:sz w:val="20"/>
                <w:szCs w:val="20"/>
              </w:rPr>
              <w:t xml:space="preserve"> megadott szempont szerinti értelmezése.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történelmi térképek felhasználása az ismeretszerzéshez.</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Információk gyűjtése és következtetések levonása egyszerű statisztikai táblázatokból, diagramokból, grafikonokból, kronológiákból.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tények és feltételezések megkülönböztetése.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Társadalmi viszonyok, kormányzati struktúrák vázlatos ábrázolása.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Annak bemutatása, hogy a vizsgált forrásban miként tükröződik a szerző személyes helyzete.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részletek iránti érzékenység a források feldolgozása és elemzése során.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Néhány konkrét példán keresztül annak értelmezése, hogy egyes történelmi események és személyek megítélése a különböző történelmi korokban eltérő lehet.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Érvekkel alátámasztott vélemény kialakítása az ellentmondásosan értékelhető eseményekről és személyekről.</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gridAfter w:val="1"/>
          <w:wAfter w:w="33" w:type="dxa"/>
          <w:cantSplit/>
        </w:trPr>
        <w:tc>
          <w:tcPr>
            <w:tcW w:w="243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szaknyelv alkalmazása</w:t>
            </w:r>
          </w:p>
        </w:tc>
        <w:tc>
          <w:tcPr>
            <w:tcW w:w="660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Történelmi fogalmak azonosítása, helyes használata.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történelmi fogalmak jelentésváltozásainak ismerete.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gridAfter w:val="1"/>
          <w:wAfter w:w="33" w:type="dxa"/>
          <w:cantSplit/>
        </w:trPr>
        <w:tc>
          <w:tcPr>
            <w:tcW w:w="243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Tájékozódás térben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időben</w:t>
            </w:r>
          </w:p>
        </w:tc>
        <w:tc>
          <w:tcPr>
            <w:tcW w:w="660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Történelmi helyszínek azonosítása különböző térképeken.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földrajzi környezet szerepe az egyes történelmi kultúrák és államok kialakulásában.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történeti fejlődés során kialakult régiók bemutatása térképen.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történelmi térképvázlatok készítése.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történelmi tér változásainak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Konkrét történelmi események térben és időben való elhelyezése.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nagy történelmi korok és a kisebb korszakok elnevezésének, sorrendjének, valamint legfontosabb jellemzőinek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Különbségek és egybeesések felismerése a világtörténet és a magyar történelem legfontosabb eseményei között.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Európa történetének (ókortól napjainkig) több szempontú korszakolása.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gridAfter w:val="1"/>
          <w:wAfter w:w="33" w:type="dxa"/>
          <w:cantSplit/>
        </w:trPr>
        <w:tc>
          <w:tcPr>
            <w:tcW w:w="243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Az eseményeket alakító tényezők feltárása</w:t>
            </w:r>
          </w:p>
        </w:tc>
        <w:tc>
          <w:tcPr>
            <w:tcW w:w="660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tanultak okok és következmények szerinti rendezése.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Annak bizonyítása, hogy a történelmi eseményeknek általában több oka és következménye van.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Különböző típusú okok és következmények megkülönböztetése, azok eltérő jelentőségének felismerése.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lényeges és kevésbé lényeges szempontok, tényezők megkülönböztetése, mérlegelése.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Példákkal való alátámasztása, hogy nehéz történelmi szituációban az egyes emberek nézetét, döntéseit és cselekedeteit élethelyzetük miként befolyásolja.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kérdések megfogalmazása a tanult történelmi események okairól és következményeiről.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változás és a fejlődés közötti különbség értelmezése konkrét példákon.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különböző történeti régiók eltérő fejlődésének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Aktuális események történelmi előzményeinek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Történelmi analógiák megadott szempontok szerinti keresése,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Szabadon választott példa segítségével hosszabb időtávú történelmi változások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történelem sorsfordító eseményeinek több szempontú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Személyek, pártok, csoportok szerepének fölismerése egy-egy történelmi esemény alakulásában.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Annak megállapítása, hogy miként függhetnek össze a történelmi események okai, következményei és a benne résztvevők szándékai.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gridAfter w:val="1"/>
          <w:wAfter w:w="34" w:type="dxa"/>
          <w:cantSplit/>
        </w:trPr>
        <w:tc>
          <w:tcPr>
            <w:tcW w:w="243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Történelmi események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jelenségek problémaközpontú bemutatása</w:t>
            </w:r>
          </w:p>
        </w:tc>
        <w:tc>
          <w:tcPr>
            <w:tcW w:w="660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Gazdaság, gazdaságpolitika, anyagi kultúra.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Népesség, település, életmód.</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Egyén, közösség, társadalom.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modern demokráciák működése.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Politikai intézmények, eszmék, ideológiák.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Nemzetközi konfliktusok és együttműködés.</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gridAfter w:val="1"/>
          <w:wAfter w:w="34" w:type="dxa"/>
          <w:cantSplit/>
        </w:trPr>
        <w:tc>
          <w:tcPr>
            <w:tcW w:w="9033" w:type="dxa"/>
            <w:gridSpan w:val="2"/>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2. Témakörök</w:t>
            </w:r>
          </w:p>
        </w:tc>
      </w:tr>
      <w:tr w:rsidR="004C2997">
        <w:tblPrEx>
          <w:tblBorders>
            <w:top w:val="single" w:sz="4" w:space="0" w:color="auto"/>
            <w:left w:val="single" w:sz="4" w:space="0" w:color="auto"/>
            <w:bottom w:val="single" w:sz="4" w:space="0" w:color="auto"/>
            <w:right w:val="single" w:sz="4" w:space="0" w:color="auto"/>
          </w:tblBorders>
          <w:tblCellMar>
            <w:top w:w="0" w:type="dxa"/>
            <w:bottom w:w="0" w:type="dxa"/>
          </w:tblCellMar>
        </w:tblPrEx>
        <w:trPr>
          <w:gridAfter w:val="1"/>
          <w:wAfter w:w="30" w:type="dxa"/>
          <w:cantSplit/>
        </w:trPr>
        <w:tc>
          <w:tcPr>
            <w:tcW w:w="243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ókor és kultúrája</w:t>
            </w:r>
          </w:p>
        </w:tc>
        <w:tc>
          <w:tcPr>
            <w:tcW w:w="66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Vallás és kultúra az ókori Keleten.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demokrácia kialakulása Athénban.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római köztársaság virágkora és válsága, az egyeduralom kialakulása.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antik hitvilág, művészet, tudomány.</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kereszténység kialakulása és elterjedése.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népvándorlás, az antik civilizáció felbomlása.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bottom w:w="0" w:type="dxa"/>
          </w:tblCellMar>
        </w:tblPrEx>
        <w:trPr>
          <w:gridAfter w:val="1"/>
          <w:wAfter w:w="30" w:type="dxa"/>
        </w:trPr>
        <w:tc>
          <w:tcPr>
            <w:tcW w:w="243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középkor </w:t>
            </w:r>
          </w:p>
        </w:tc>
        <w:tc>
          <w:tcPr>
            <w:tcW w:w="66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feudális társadalmi és gazdasági rend jellemzői.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nyugati és a keleti kereszténység.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iszlám vallás és az arab világ; a világvallások elterjedése.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középkori városok.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Egyházi és világi kultúra a középkorban.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humanizmus és a reneszánsz Itáliában.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oszmán birodalom terjeszkedése.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bottom w:w="0" w:type="dxa"/>
          </w:tblCellMar>
        </w:tblPrEx>
        <w:trPr>
          <w:gridAfter w:val="1"/>
          <w:wAfter w:w="30" w:type="dxa"/>
          <w:cantSplit/>
        </w:trPr>
        <w:tc>
          <w:tcPr>
            <w:tcW w:w="243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középkori magyar állam megteremtése és virágkora</w:t>
            </w:r>
          </w:p>
        </w:tc>
        <w:tc>
          <w:tcPr>
            <w:tcW w:w="66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nép őstörténete és vándorlása.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honfoglalástól az államalapításig.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Árpád-kor.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Társadalmi és gazdasági változások Károly Róbert, Nagy Lajos és Luxemburgi Zsigmond idején.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Hunyadiak.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Kultúra és művelődés.</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bottom w:w="0" w:type="dxa"/>
          </w:tblCellMar>
        </w:tblPrEx>
        <w:trPr>
          <w:gridAfter w:val="1"/>
          <w:wAfter w:w="30" w:type="dxa"/>
        </w:trPr>
        <w:tc>
          <w:tcPr>
            <w:tcW w:w="243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Szellemi, társadalmi és politikai változások az újkorban</w:t>
            </w:r>
          </w:p>
        </w:tc>
        <w:tc>
          <w:tcPr>
            <w:tcW w:w="66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nagy földrajzi fölfedezések és következményei.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Reformáció és katolikus megújulás.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kontinentális abszolutizmus és a parlamentáris monarchia megszületése Angliában.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tudományos világkép átalakulása, a felvilágosodás.</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bottom w:w="0" w:type="dxa"/>
          </w:tblCellMar>
        </w:tblPrEx>
        <w:trPr>
          <w:gridAfter w:val="1"/>
          <w:wAfter w:w="30" w:type="dxa"/>
          <w:cantSplit/>
        </w:trPr>
        <w:tc>
          <w:tcPr>
            <w:tcW w:w="243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Magyarország a Habsburg Birodalomban</w:t>
            </w:r>
          </w:p>
        </w:tc>
        <w:tc>
          <w:tcPr>
            <w:tcW w:w="66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mohácsi csata és az ország három részre szakadása.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Erdélyi Fejedelemség virágkora.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török kiűzése és a Rákóczi-szabadságharc.</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Magyarország a XVIII. századi Habsburg Birodalomban.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Művelődés, egyházak, iskolák.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bottom w:w="0" w:type="dxa"/>
          </w:tblCellMar>
        </w:tblPrEx>
        <w:trPr>
          <w:gridAfter w:val="1"/>
          <w:wAfter w:w="30" w:type="dxa"/>
        </w:trPr>
        <w:tc>
          <w:tcPr>
            <w:tcW w:w="243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polgári átalakulás, a nemzetállamok és az imperializmus kora</w:t>
            </w:r>
          </w:p>
        </w:tc>
        <w:tc>
          <w:tcPr>
            <w:tcW w:w="66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francia polgári forradalom politikai irányzatai, az Emberi és Polgári Jogok Nyilatkozata.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napóleoni háborúk és a Szent Szövetség Európája.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XIX. század eszméi.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ipari forradalom és következményei.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Nagyhatalmak és katonai-politikai szövetségek a századfordulón.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Tudományos, technikai felfedezések, újítások és következményeik.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bottom w:w="0" w:type="dxa"/>
          </w:tblCellMar>
        </w:tblPrEx>
        <w:trPr>
          <w:gridAfter w:val="1"/>
          <w:wAfter w:w="30" w:type="dxa"/>
          <w:cantSplit/>
        </w:trPr>
        <w:tc>
          <w:tcPr>
            <w:tcW w:w="243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polgárosodás kezdetei és kibontakozása Magyarországon</w:t>
            </w:r>
          </w:p>
        </w:tc>
        <w:tc>
          <w:tcPr>
            <w:tcW w:w="66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reformmozgalom kibontakozása, a polgárosodás fő kérdései.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reformkori művelődés, kultúra.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Polgári forradalom.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szabadságharc.</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kiegyezés előzményei és megszületése.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Gazdasági eredmények és társadalmi változások a dualizmus korában.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életmód, a tudományos és művészeti élet fejlődése.</w:t>
            </w:r>
          </w:p>
        </w:tc>
      </w:tr>
      <w:tr w:rsidR="004C2997">
        <w:tblPrEx>
          <w:tblBorders>
            <w:top w:val="single" w:sz="4" w:space="0" w:color="auto"/>
            <w:left w:val="single" w:sz="4" w:space="0" w:color="auto"/>
            <w:bottom w:val="single" w:sz="4" w:space="0" w:color="auto"/>
            <w:right w:val="single" w:sz="4" w:space="0" w:color="auto"/>
          </w:tblBorders>
          <w:tblCellMar>
            <w:top w:w="0" w:type="dxa"/>
            <w:bottom w:w="0" w:type="dxa"/>
          </w:tblCellMar>
        </w:tblPrEx>
        <w:trPr>
          <w:gridAfter w:val="1"/>
          <w:wAfter w:w="30" w:type="dxa"/>
          <w:cantSplit/>
        </w:trPr>
        <w:tc>
          <w:tcPr>
            <w:tcW w:w="243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első világháborútól a kétpólusú világ felbomlásáig</w:t>
            </w:r>
          </w:p>
        </w:tc>
        <w:tc>
          <w:tcPr>
            <w:tcW w:w="66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első világháború jellege, jellemzői; a Párizs környéki békék.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gazdaság a társadalom és életmód új jelenségei a fejlett világban.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tekintélyuralmi rendszerek Közép-Európában és az olasz fasizmus.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USA és az 1929–33-as gazdasági válság.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nemzetiszocializmus hatalomra jutása és működési mechanizmusa.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bolsevik ideológia és a sztálini diktatúra az 1920–30-as években.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második világháború előzményei és jelentős fordulatai.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hidegháború és a kétpólusú világ jellemzői.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szocialista rendszerek bukása.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bottom w:w="0" w:type="dxa"/>
          </w:tblCellMar>
        </w:tblPrEx>
        <w:trPr>
          <w:gridAfter w:val="1"/>
          <w:wAfter w:w="30" w:type="dxa"/>
          <w:cantSplit/>
        </w:trPr>
        <w:tc>
          <w:tcPr>
            <w:tcW w:w="243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Magyarország története az első világháborútól a második világháborús összeomlásig</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Osztrák–Magyar Monarchia felbomlása és következményei.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Horthy-rendszer jellege, jellemzői.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művelődési viszonyok és az életmód.</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külpolitika mozgástere, alternatívái.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Magyarország részvétele a világháborúban.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német megszállás, a holocaust Magyarországon.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bottom w:w="0" w:type="dxa"/>
          </w:tblCellMar>
        </w:tblPrEx>
        <w:trPr>
          <w:gridAfter w:val="1"/>
          <w:wAfter w:w="30" w:type="dxa"/>
        </w:trPr>
        <w:tc>
          <w:tcPr>
            <w:tcW w:w="2436"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Magyarország 1945-től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rendszerváltozásig</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0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szovjet felszabadítás és megszállás.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határon túli magyarság sorsa.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kommunista diktatúra kiépítése és működése.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1956-os forradalom és szabadságharc.</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Kádár-rendszer jellege, jellemzői.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rendszerváltozás.</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bottom w:w="0" w:type="dxa"/>
          </w:tblCellMar>
        </w:tblPrEx>
        <w:tc>
          <w:tcPr>
            <w:tcW w:w="243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jelenkor</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29"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közép-európai régió jellemzői, távlatai, a posztszovjet rendszerek problémái.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európai integráció története.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„harmadik világ”.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Fogyasztói társadalom; ökológiai problémák, a fenntartható fejlődés.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globális világ kihívásai és ellentmondásai.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4" w:space="0" w:color="auto"/>
            <w:left w:val="single" w:sz="4" w:space="0" w:color="auto"/>
            <w:bottom w:val="single" w:sz="4" w:space="0" w:color="auto"/>
            <w:right w:val="single" w:sz="4" w:space="0" w:color="auto"/>
          </w:tblBorders>
          <w:tblCellMar>
            <w:top w:w="0" w:type="dxa"/>
            <w:bottom w:w="0" w:type="dxa"/>
          </w:tblCellMar>
        </w:tblPrEx>
        <w:tc>
          <w:tcPr>
            <w:tcW w:w="2438" w:type="dxa"/>
            <w:tcBorders>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mai magyar társadalom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életmód</w:t>
            </w:r>
          </w:p>
        </w:tc>
        <w:tc>
          <w:tcPr>
            <w:tcW w:w="6629" w:type="dxa"/>
            <w:gridSpan w:val="2"/>
            <w:tcBorders>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Alapvető állampolgári ismeretek.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Etnikumok és nemzetiségek a magyar társadalomban.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magyarországi roma társadalom.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parlamenti demokrácia működése és az önkormányzatiság.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Társadalmi, gazdasági és demográfiai változások. </w:t>
            </w:r>
          </w:p>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MATEMATIKA</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írásbeli.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matematika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matematika érettségi vizsga célja annak vizsgálata, hogy a vizsgázó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logikusan gondolkodni, rendelkezik-e megfelelő matematikai probléma- és feladatmegoldó, valamint absztrakciós, analizáló és szintetizáló képességgel;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állításokat, egyszerűbb gondolatmenetű bizonyításokat szabatosan megfogalmazni, áttekinthető formában leírni;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elsajátította-e a mindennapi életben használatos számolási technikákat, rendelkezik-e biztos becslési készséggel, az önellenőrzés igényével;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statisztikai gondolatok megértésére, intelligens felhasználására, a függvény- vagy függvényszerű kapcsolatok felismerésére és értékelésére;</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leírt síkbeli és térbeli szituációk elképzelésére, tud-e ezekhez ábrát készíteni, s ennek segítségével az adott konstrukcióban gondolkodni, számolni;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tanult ismereteket más tantárgyakhoz kapcsolódó feladatokban alkotó módon alkalmazni;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hétköznapi szövegben rejlő matematikai problémákat észrevenni, egy-egy gyakorlati kérdés megoldásához matematikai modellt alkotni, különböző problémamegoldó stratégiákat alkalmazni;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különböző matematikai segédeszközök (függvénytáblázat, zsebszámológép) célszerű alkalmazására; a mindenkori tárgyi feltételek függvényében, azokkal szinkronban a matematikai eszközökkel való problémamegoldásban a programozható számológép, a grafikus kalkulátor és a számítógép használata fokozatosan követelménnyé válhat.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emelt szinten a felsoroltakon túl az érettségi vizsga célja annak mérése, hogy a tanuló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felsőfokú matematikai tanulmányokhoz szükséges alapokkal;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hipotéziseket megfogalmazni, és sejtéseit bizonyított állításaitól megkülönböztetni;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milyen szintű kombinatív készséggel rendelkezik, mennyire kreatív a gondolkodása;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gondolatmenetében érthetően, világosan alkalmazni a matematikai modellalkotás lépéseit (probléma megfogalmazása, matematikai formába öntése, összefüggések keresése, az eredmények matematikai módszerekkel történő kiszámítása, igazolása, értelmezése).</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ismeretek legnagyobb része a középszinten és az emelt szinten egyaránt megjelenik. Ezen ismeretek feldolgozásában az emelt szintet az igényesebb felépítés, az összetettebb alkalmazás, a nehezebb feladatok jellemzik. A követelmények leírásában gyakran szereplő „szemléletes” jelző azt fejezi ki, hogy az adott fogalom matematikailag precíz ismerete nem követelmény. A matematika tanításában csak spirálisan lehet haladni, s így több téma, pl. az analízis – a felkészülésre fordítható idő alatt – a középiskolai tanulmányok végére is csak szemléletes formában tanítható meg, s csak bizonyos alkalmazásokat tesz lehetővé.</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tbl>
      <w:tblPr>
        <w:tblW w:w="0" w:type="auto"/>
        <w:tblLayout w:type="fixed"/>
        <w:tblCellMar>
          <w:left w:w="56" w:type="dxa"/>
          <w:right w:w="56" w:type="dxa"/>
        </w:tblCellMar>
        <w:tblLook w:val="0000" w:firstRow="0" w:lastRow="0" w:firstColumn="0" w:lastColumn="0" w:noHBand="0" w:noVBand="0"/>
      </w:tblPr>
      <w:tblGrid>
        <w:gridCol w:w="2182"/>
        <w:gridCol w:w="7"/>
        <w:gridCol w:w="7252"/>
        <w:gridCol w:w="7"/>
      </w:tblGrid>
      <w:tr w:rsidR="004C2997">
        <w:tblPrEx>
          <w:tblCellMar>
            <w:top w:w="0" w:type="dxa"/>
            <w:bottom w:w="0" w:type="dxa"/>
          </w:tblCellMar>
        </w:tblPrEx>
        <w:trPr>
          <w:cantSplit/>
        </w:trPr>
        <w:tc>
          <w:tcPr>
            <w:tcW w:w="2189" w:type="dxa"/>
            <w:gridSpan w:val="2"/>
            <w:tcBorders>
              <w:top w:val="single" w:sz="4" w:space="0" w:color="auto"/>
              <w:left w:val="single" w:sz="4" w:space="0" w:color="auto"/>
              <w:bottom w:val="single" w:sz="4" w:space="0" w:color="auto"/>
              <w:right w:val="single" w:sz="4" w:space="0" w:color="auto"/>
            </w:tcBorders>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7258" w:type="dxa"/>
            <w:gridSpan w:val="2"/>
            <w:tcBorders>
              <w:top w:val="single" w:sz="4" w:space="0" w:color="auto"/>
              <w:left w:val="nil"/>
              <w:bottom w:val="single" w:sz="4" w:space="0" w:color="auto"/>
              <w:right w:val="single" w:sz="4" w:space="0" w:color="auto"/>
            </w:tcBorders>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gridAfter w:val="1"/>
          <w:wAfter w:w="6" w:type="dxa"/>
          <w:cantSplit/>
        </w:trPr>
        <w:tc>
          <w:tcPr>
            <w:tcW w:w="9441" w:type="dxa"/>
            <w:gridSpan w:val="3"/>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1. Gondolkodási módszerek, halmazok, logika, kombinatorika, gráfok</w:t>
            </w:r>
          </w:p>
        </w:tc>
      </w:tr>
      <w:tr w:rsidR="004C2997">
        <w:tblPrEx>
          <w:tblCellMar>
            <w:top w:w="0" w:type="dxa"/>
            <w:bottom w:w="0" w:type="dxa"/>
          </w:tblCellMar>
        </w:tblPrEx>
        <w:trPr>
          <w:cantSplit/>
        </w:trPr>
        <w:tc>
          <w:tcPr>
            <w:tcW w:w="2187" w:type="dxa"/>
            <w:gridSpan w:val="2"/>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Halmazelmélet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7258" w:type="dxa"/>
            <w:gridSpan w:val="2"/>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Halmazelméleti alapfogalmak.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Halmazműveletek, műveleti tulajdonságok.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halmazfogalom és a halmazműveletek használata a matematika különböző területein (pl. számhalmazok, ponthalmazok).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7" w:type="dxa"/>
            <w:gridSpan w:val="2"/>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Logika</w:t>
            </w:r>
          </w:p>
        </w:tc>
        <w:tc>
          <w:tcPr>
            <w:tcW w:w="7258" w:type="dxa"/>
            <w:gridSpan w:val="2"/>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7" w:type="dxa"/>
            <w:gridSpan w:val="2"/>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Logikai műveletek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Fogalmak, tételek,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Bizonyítások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matematikában </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7258" w:type="dxa"/>
            <w:gridSpan w:val="2"/>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negáció, konjunkció, diszjunkció, implikáció, ekvivalencia ismerete, alkalmazása.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„minden”, „van olyan” logikai kvantorok ismerete,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matematikai szövegek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tárgyalt definíciók és tételek pontos megfogalmazása.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Szükséges és elégséges feltételek helyes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7"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Kombinatorika</w:t>
            </w:r>
          </w:p>
        </w:tc>
        <w:tc>
          <w:tcPr>
            <w:tcW w:w="7258" w:type="dxa"/>
            <w:gridSpan w:val="2"/>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kombinatorikai feladatok megoldása.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187" w:type="dxa"/>
            <w:gridSpan w:val="2"/>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Gráfok</w:t>
            </w:r>
          </w:p>
        </w:tc>
        <w:tc>
          <w:tcPr>
            <w:tcW w:w="7258" w:type="dxa"/>
            <w:gridSpan w:val="2"/>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gráf szemléletes fogalma, egyszerű alkalmazásai.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Gráfelméleti alapfogalmak.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447" w:type="dxa"/>
            <w:gridSpan w:val="4"/>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2. Számelmélet, algebra</w:t>
            </w:r>
          </w:p>
        </w:tc>
      </w:tr>
      <w:tr w:rsidR="004C2997">
        <w:tblPrEx>
          <w:tblCellMar>
            <w:top w:w="0" w:type="dxa"/>
            <w:bottom w:w="0" w:type="dxa"/>
          </w:tblCellMar>
        </w:tblPrEx>
        <w:trPr>
          <w:cantSplit/>
        </w:trPr>
        <w:tc>
          <w:tcPr>
            <w:tcW w:w="2189" w:type="dxa"/>
            <w:gridSpan w:val="2"/>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Számfogalom</w:t>
            </w:r>
          </w:p>
        </w:tc>
        <w:tc>
          <w:tcPr>
            <w:tcW w:w="7258" w:type="dxa"/>
            <w:gridSpan w:val="2"/>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valós számkör.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valós számok különböző alakjai.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Alapműveletek, műveleti tulajdonságok ismerete, alkalmazása a valós számkörben.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adatok és az eredmény pontossága.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Számrendszerek, a helyiértékes írásmód.</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9"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Számelmélet</w:t>
            </w:r>
          </w:p>
        </w:tc>
        <w:tc>
          <w:tcPr>
            <w:tcW w:w="7258" w:type="dxa"/>
            <w:gridSpan w:val="2"/>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osztó, többszörös, prímszám, összetett szám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számelmélet alaptétele, számok prímtényezőkre bontása, legnagyobb közös osztó, legkisebb közös többszörös.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oszthatósági feladatok.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9" w:type="dxa"/>
            <w:gridSpan w:val="2"/>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Algebrai kifejezések, műveletek</w:t>
            </w:r>
          </w:p>
        </w:tc>
        <w:tc>
          <w:tcPr>
            <w:tcW w:w="7258" w:type="dxa"/>
            <w:gridSpan w:val="2"/>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Műveletek egyszerű algebrai kifejezésekkel.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Másod- és harmadfokú nevezetes azonosságok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9"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Hatvány, gyök,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logaritmus</w:t>
            </w:r>
          </w:p>
        </w:tc>
        <w:tc>
          <w:tcPr>
            <w:tcW w:w="7258" w:type="dxa"/>
            <w:gridSpan w:val="2"/>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Definíciók, műveletek, azonosságok (egész kitevőjű hatványok, racionális kitevőjű hatványok).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logaritmus fogalma, a logaritmus azonosságainak alkalmazása egyszerű esetekben.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9" w:type="dxa"/>
            <w:gridSpan w:val="2"/>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Egyenletek, egyenlőtlenségek</w:t>
            </w:r>
          </w:p>
        </w:tc>
        <w:tc>
          <w:tcPr>
            <w:tcW w:w="7258" w:type="dxa"/>
            <w:gridSpan w:val="2"/>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Első- és másodfokú egyenletek és egyenlőtlenségek megoldása.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egyenletmegoldás alkalmazása szöveges feladatokban.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négyzetgyökös, algebrai törtes, abszolútértékes egyenletek.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definíciókra és az azonosságok egyszerű alkalmazására épülő exponenciális, logaritmusos és trigonometrikus egyenletek.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Két pozitív szám számtani és mértani közepének viszonya.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Kétismeretlenes lineáris és másodfokú egyenletrendszerek.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egyenlőtlenségrendszerek.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gridAfter w:val="1"/>
          <w:wAfter w:w="6" w:type="dxa"/>
          <w:cantSplit/>
        </w:trPr>
        <w:tc>
          <w:tcPr>
            <w:tcW w:w="9441" w:type="dxa"/>
            <w:gridSpan w:val="3"/>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3. Függvények, az analízis elemei</w:t>
            </w:r>
          </w:p>
        </w:tc>
      </w:tr>
      <w:tr w:rsidR="004C2997">
        <w:tblPrEx>
          <w:tblCellMar>
            <w:top w:w="0" w:type="dxa"/>
            <w:bottom w:w="0" w:type="dxa"/>
          </w:tblCellMar>
        </w:tblPrEx>
        <w:trPr>
          <w:cantSplit/>
        </w:trPr>
        <w:tc>
          <w:tcPr>
            <w:tcW w:w="2189" w:type="dxa"/>
            <w:gridSpan w:val="2"/>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Függvények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függvények grafikonjai,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függvény-transzformációk</w:t>
            </w:r>
          </w:p>
        </w:tc>
        <w:tc>
          <w:tcPr>
            <w:tcW w:w="7258" w:type="dxa"/>
            <w:gridSpan w:val="2"/>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függvény matematikai fogalma, megadásának módjai.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alapfüggvények (lineáris, másodfokú, harmadfokú és négyzetgyök-függvények, fordított arányosság, exponenciális és logaritmusfüggvény, trigonometrikus függvények, abszolútérték függvény) és egyszerű transzformáltjaik: </w:t>
            </w:r>
          </w:p>
          <w:p w:rsidR="004C2997" w:rsidRDefault="004C2997">
            <w:pPr>
              <w:autoSpaceDE w:val="0"/>
              <w:autoSpaceDN w:val="0"/>
              <w:adjustRightInd w:val="0"/>
              <w:spacing w:after="0" w:line="240" w:lineRule="auto"/>
              <w:rPr>
                <w:rFonts w:ascii="Times New Roman" w:hAnsi="Times New Roman" w:cs="Times New Roman"/>
                <w:strike/>
                <w:sz w:val="20"/>
                <w:szCs w:val="20"/>
              </w:rPr>
            </w:pPr>
            <w:r>
              <w:rPr>
                <w:rFonts w:ascii="Times New Roman" w:hAnsi="Times New Roman" w:cs="Times New Roman"/>
                <w:i/>
                <w:iCs/>
                <w:sz w:val="20"/>
                <w:szCs w:val="20"/>
              </w:rPr>
              <w:t>f</w:t>
            </w:r>
            <w:r>
              <w:rPr>
                <w:rFonts w:ascii="Times New Roman" w:hAnsi="Times New Roman" w:cs="Times New Roman"/>
                <w:sz w:val="20"/>
                <w:szCs w:val="20"/>
              </w:rPr>
              <w:t>(</w:t>
            </w:r>
            <w:r>
              <w:rPr>
                <w:rFonts w:ascii="Times New Roman" w:hAnsi="Times New Roman" w:cs="Times New Roman"/>
                <w:i/>
                <w:iCs/>
                <w:sz w:val="20"/>
                <w:szCs w:val="20"/>
              </w:rPr>
              <w:t>x</w:t>
            </w:r>
            <w:r>
              <w:rPr>
                <w:rFonts w:ascii="Times New Roman" w:hAnsi="Times New Roman" w:cs="Times New Roman"/>
                <w:sz w:val="20"/>
                <w:szCs w:val="20"/>
              </w:rPr>
              <w:t xml:space="preserve">) + </w:t>
            </w:r>
            <w:r>
              <w:rPr>
                <w:rFonts w:ascii="Times New Roman" w:hAnsi="Times New Roman" w:cs="Times New Roman"/>
                <w:i/>
                <w:iCs/>
                <w:sz w:val="20"/>
                <w:szCs w:val="20"/>
              </w:rPr>
              <w:t>c</w:t>
            </w: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w:t>
            </w:r>
            <w:r>
              <w:rPr>
                <w:rFonts w:ascii="Times New Roman" w:hAnsi="Times New Roman" w:cs="Times New Roman"/>
                <w:i/>
                <w:iCs/>
                <w:sz w:val="20"/>
                <w:szCs w:val="20"/>
              </w:rPr>
              <w:t xml:space="preserve">x </w:t>
            </w: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w:t>
            </w:r>
            <w:r>
              <w:rPr>
                <w:rFonts w:ascii="Times New Roman" w:hAnsi="Times New Roman" w:cs="Times New Roman"/>
                <w:i/>
                <w:iCs/>
                <w:sz w:val="20"/>
                <w:szCs w:val="20"/>
              </w:rPr>
              <w:t xml:space="preserve">c </w:t>
            </w:r>
            <w:r>
              <w:rPr>
                <w:rFonts w:ascii="Times New Roman" w:hAnsi="Times New Roman" w:cs="Times New Roman"/>
                <w:sz w:val="20"/>
                <w:szCs w:val="20"/>
              </w:rPr>
              <w:t xml:space="preserve">· </w:t>
            </w:r>
            <w:r>
              <w:rPr>
                <w:rFonts w:ascii="Times New Roman" w:hAnsi="Times New Roman" w:cs="Times New Roman"/>
                <w:i/>
                <w:iCs/>
                <w:sz w:val="20"/>
                <w:szCs w:val="20"/>
              </w:rPr>
              <w:t xml:space="preserve">f </w:t>
            </w:r>
            <w:r>
              <w:rPr>
                <w:rFonts w:ascii="Times New Roman" w:hAnsi="Times New Roman" w:cs="Times New Roman"/>
                <w:sz w:val="20"/>
                <w:szCs w:val="20"/>
              </w:rPr>
              <w:t>(</w:t>
            </w:r>
            <w:r>
              <w:rPr>
                <w:rFonts w:ascii="Times New Roman" w:hAnsi="Times New Roman" w:cs="Times New Roman"/>
                <w:i/>
                <w:iCs/>
                <w:sz w:val="20"/>
                <w:szCs w:val="20"/>
              </w:rPr>
              <w:t>x</w:t>
            </w: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w:t>
            </w:r>
            <w:r>
              <w:rPr>
                <w:rFonts w:ascii="Times New Roman" w:hAnsi="Times New Roman" w:cs="Times New Roman"/>
                <w:i/>
                <w:iCs/>
                <w:sz w:val="20"/>
                <w:szCs w:val="20"/>
              </w:rPr>
              <w:t xml:space="preserve">c </w:t>
            </w:r>
            <w:r>
              <w:rPr>
                <w:rFonts w:ascii="Times New Roman" w:hAnsi="Times New Roman" w:cs="Times New Roman"/>
                <w:sz w:val="20"/>
                <w:szCs w:val="20"/>
              </w:rPr>
              <w:t xml:space="preserve">· </w:t>
            </w:r>
            <w:r>
              <w:rPr>
                <w:rFonts w:ascii="Times New Roman" w:hAnsi="Times New Roman" w:cs="Times New Roman"/>
                <w:i/>
                <w:iCs/>
                <w:sz w:val="20"/>
                <w:szCs w:val="20"/>
              </w:rPr>
              <w:t>x</w:t>
            </w:r>
            <w:r>
              <w:rPr>
                <w:rFonts w:ascii="Times New Roman" w:hAnsi="Times New Roman" w:cs="Times New Roman"/>
                <w:sz w:val="20"/>
                <w:szCs w:val="20"/>
              </w:rPr>
              <w: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9"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Függvények jellemzése</w:t>
            </w:r>
          </w:p>
        </w:tc>
        <w:tc>
          <w:tcPr>
            <w:tcW w:w="7258" w:type="dxa"/>
            <w:gridSpan w:val="2"/>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Zérushely, növekedés, fogyás, szélsőérték, periodicitás, paritás.</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9"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Sorozatok</w:t>
            </w:r>
          </w:p>
        </w:tc>
        <w:tc>
          <w:tcPr>
            <w:tcW w:w="7258" w:type="dxa"/>
            <w:gridSpan w:val="2"/>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Számtani sorozat, mértani sorozat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Kamatos kamat számítása.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447" w:type="dxa"/>
            <w:gridSpan w:val="4"/>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4. Geometria, koordinátageometria, trigonometria</w:t>
            </w:r>
          </w:p>
        </w:tc>
      </w:tr>
      <w:tr w:rsidR="004C2997">
        <w:tblPrEx>
          <w:tblCellMar>
            <w:top w:w="0" w:type="dxa"/>
            <w:bottom w:w="0" w:type="dxa"/>
          </w:tblCellMar>
        </w:tblPrEx>
        <w:trPr>
          <w:cantSplit/>
        </w:trPr>
        <w:tc>
          <w:tcPr>
            <w:tcW w:w="2189" w:type="dxa"/>
            <w:gridSpan w:val="2"/>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Alapfogalmak, ponthalmazok</w:t>
            </w:r>
          </w:p>
        </w:tc>
        <w:tc>
          <w:tcPr>
            <w:tcW w:w="7258" w:type="dxa"/>
            <w:gridSpan w:val="2"/>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Térelemek távolsága, szöge.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Nevezetes ponthalmazok.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9" w:type="dxa"/>
            <w:gridSpan w:val="2"/>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Geometriai transzformációk</w:t>
            </w:r>
          </w:p>
        </w:tc>
        <w:tc>
          <w:tcPr>
            <w:tcW w:w="7258" w:type="dxa"/>
            <w:gridSpan w:val="2"/>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Egybevágósági transzformációk, egybevágó alakzatok.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Középpontos hasonlóság, hasonlóság.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Hasonló alakzatok tulajdonságai.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egybevágóságra és a hasonlóságra vonatkozó ismeretek alkalmazása egyszerű feladatokban.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gridAfter w:val="1"/>
          <w:wAfter w:w="7" w:type="dxa"/>
          <w:cantSplit/>
        </w:trPr>
        <w:tc>
          <w:tcPr>
            <w:tcW w:w="218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Síkgeometriai alakzatok</w:t>
            </w:r>
          </w:p>
        </w:tc>
        <w:tc>
          <w:tcPr>
            <w:tcW w:w="7258" w:type="dxa"/>
            <w:gridSpan w:val="2"/>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gridAfter w:val="1"/>
          <w:wAfter w:w="7" w:type="dxa"/>
          <w:cantSplit/>
        </w:trPr>
        <w:tc>
          <w:tcPr>
            <w:tcW w:w="218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Háromszögek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Négyszögek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Sokszögek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w:t>
            </w:r>
          </w:p>
        </w:tc>
        <w:tc>
          <w:tcPr>
            <w:tcW w:w="7258" w:type="dxa"/>
            <w:gridSpan w:val="2"/>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Tételek az oldalakra, szögekre, nevezetes pontokra, vonalakra – alkalmazásuk bizonyítási és szerkesztési feladatokban.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Nevezetes négyszögek (trapézok, deltoidok) és tulajdonságaik.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Alaptulajdonságok.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Szabályos sokszögek.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kör és részei.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 és egyenes kölcsönös helyzete.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gridAfter w:val="1"/>
          <w:wAfter w:w="7" w:type="dxa"/>
          <w:cantSplit/>
        </w:trPr>
        <w:tc>
          <w:tcPr>
            <w:tcW w:w="2182"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Térbeli alakzatok</w:t>
            </w:r>
          </w:p>
        </w:tc>
        <w:tc>
          <w:tcPr>
            <w:tcW w:w="7258" w:type="dxa"/>
            <w:gridSpan w:val="2"/>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Henger, kúp, gúla, hasáb, gömb, csonkagúla, csonkakúp.</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4C2997">
        <w:tblPrEx>
          <w:tblCellMar>
            <w:top w:w="0" w:type="dxa"/>
            <w:bottom w:w="0" w:type="dxa"/>
          </w:tblCellMar>
        </w:tblPrEx>
        <w:trPr>
          <w:gridAfter w:val="1"/>
          <w:wAfter w:w="7" w:type="dxa"/>
          <w:cantSplit/>
        </w:trPr>
        <w:tc>
          <w:tcPr>
            <w:tcW w:w="2182"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Kerület-, terület-, felszín- és térfogatszámítás</w:t>
            </w:r>
          </w:p>
        </w:tc>
        <w:tc>
          <w:tcPr>
            <w:tcW w:w="7258" w:type="dxa"/>
            <w:gridSpan w:val="2"/>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síkidomok és részeik kerülete, területe.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Testek felszínének és térfogatának számítása.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Hasonló síkidomok és testek különböző mérőszámainak és a hasonlóság arányának viszonya.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gridAfter w:val="1"/>
          <w:wAfter w:w="7" w:type="dxa"/>
          <w:cantSplit/>
        </w:trPr>
        <w:tc>
          <w:tcPr>
            <w:tcW w:w="2182"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Vektorok</w:t>
            </w:r>
          </w:p>
        </w:tc>
        <w:tc>
          <w:tcPr>
            <w:tcW w:w="7258" w:type="dxa"/>
            <w:gridSpan w:val="2"/>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vektor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Vektorműveletek (összegvektor, különbségvektor, skalárral való szorzás, skaláris szorzat) és tulajdonságaik.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Vektor koordinátái.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Vektorok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gridAfter w:val="1"/>
          <w:wAfter w:w="7" w:type="dxa"/>
          <w:cantSplit/>
        </w:trPr>
        <w:tc>
          <w:tcPr>
            <w:tcW w:w="2182"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Trigonometria</w:t>
            </w:r>
          </w:p>
        </w:tc>
        <w:tc>
          <w:tcPr>
            <w:tcW w:w="7258" w:type="dxa"/>
            <w:gridSpan w:val="2"/>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Szögfüggvények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összefüggések a szögfüggvények között.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Szinusztétel, koszinusztétel.</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gridAfter w:val="1"/>
          <w:wAfter w:w="7" w:type="dxa"/>
          <w:cantSplit/>
        </w:trPr>
        <w:tc>
          <w:tcPr>
            <w:tcW w:w="218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Koordináta-geometria</w:t>
            </w:r>
          </w:p>
        </w:tc>
        <w:tc>
          <w:tcPr>
            <w:tcW w:w="7258" w:type="dxa"/>
            <w:gridSpan w:val="2"/>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Alakzatok (egyenes, kör) egyenlete és kölcsönös helyzetük.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gridAfter w:val="1"/>
          <w:wAfter w:w="7" w:type="dxa"/>
          <w:cantSplit/>
        </w:trPr>
        <w:tc>
          <w:tcPr>
            <w:tcW w:w="9440" w:type="dxa"/>
            <w:gridSpan w:val="3"/>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t>5. Valószínűségszámítás, statisztika</w:t>
            </w:r>
          </w:p>
        </w:tc>
      </w:tr>
      <w:tr w:rsidR="004C2997">
        <w:tblPrEx>
          <w:tblCellMar>
            <w:top w:w="0" w:type="dxa"/>
            <w:bottom w:w="0" w:type="dxa"/>
          </w:tblCellMar>
        </w:tblPrEx>
        <w:trPr>
          <w:gridAfter w:val="1"/>
          <w:wAfter w:w="7" w:type="dxa"/>
          <w:cantSplit/>
        </w:trPr>
        <w:tc>
          <w:tcPr>
            <w:tcW w:w="218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Leíró statisztika</w:t>
            </w:r>
          </w:p>
        </w:tc>
        <w:tc>
          <w:tcPr>
            <w:tcW w:w="7258" w:type="dxa"/>
            <w:gridSpan w:val="2"/>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Statisztikai adatok gyűjtése, rendszerezése, különböző ábrázolásai (kördiagram, oszlopdiagram).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Gyakoriság, relatív gyakoriság.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Átlagok: számtani közép, súlyozott közép, rendezett minta közepe (medián), leggyakoribb érték (módusz).</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Szórás.</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gridAfter w:val="1"/>
          <w:wAfter w:w="7" w:type="dxa"/>
          <w:cantSplit/>
        </w:trPr>
        <w:tc>
          <w:tcPr>
            <w:tcW w:w="2182"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Valószínűség-számítás</w:t>
            </w:r>
          </w:p>
        </w:tc>
        <w:tc>
          <w:tcPr>
            <w:tcW w:w="7258" w:type="dxa"/>
            <w:gridSpan w:val="2"/>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trike/>
                <w:sz w:val="20"/>
                <w:szCs w:val="20"/>
              </w:rPr>
            </w:pPr>
            <w:r>
              <w:rPr>
                <w:rFonts w:ascii="Times New Roman" w:hAnsi="Times New Roman" w:cs="Times New Roman"/>
                <w:sz w:val="20"/>
                <w:szCs w:val="20"/>
              </w:rPr>
              <w:t>Valószínűség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valószínűség klasszikus kiszámítási módja.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Visszatevéses mintavétel.</w:t>
            </w:r>
          </w:p>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56" w:type="dxa"/>
          <w:right w:w="56" w:type="dxa"/>
        </w:tblCellMar>
        <w:tblLook w:val="0000" w:firstRow="0" w:lastRow="0" w:firstColumn="0" w:lastColumn="0" w:noHBand="0" w:noVBand="0"/>
      </w:tblPr>
      <w:tblGrid>
        <w:gridCol w:w="2183"/>
        <w:gridCol w:w="7258"/>
      </w:tblGrid>
      <w:tr w:rsidR="004C2997">
        <w:tblPrEx>
          <w:tblCellMar>
            <w:top w:w="0" w:type="dxa"/>
            <w:bottom w:w="0" w:type="dxa"/>
          </w:tblCellMar>
        </w:tblPrEx>
        <w:trPr>
          <w:cantSplit/>
        </w:trPr>
        <w:tc>
          <w:tcPr>
            <w:tcW w:w="2183" w:type="dxa"/>
            <w:tcBorders>
              <w:top w:val="single" w:sz="4" w:space="0" w:color="auto"/>
              <w:left w:val="single" w:sz="4" w:space="0" w:color="auto"/>
              <w:bottom w:val="single" w:sz="4" w:space="0" w:color="auto"/>
              <w:right w:val="single" w:sz="4" w:space="0" w:color="auto"/>
            </w:tcBorders>
            <w:shd w:val="pct25" w:color="000000"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7258" w:type="dxa"/>
            <w:tcBorders>
              <w:top w:val="single" w:sz="4" w:space="0" w:color="auto"/>
              <w:left w:val="single" w:sz="4" w:space="0" w:color="auto"/>
              <w:bottom w:val="single" w:sz="4" w:space="0" w:color="auto"/>
              <w:right w:val="single" w:sz="4" w:space="0" w:color="auto"/>
            </w:tcBorders>
            <w:shd w:val="pct25" w:color="000000"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441"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jc w:val="both"/>
              <w:rPr>
                <w:rFonts w:ascii="Times New Roman" w:hAnsi="Times New Roman" w:cs="Times New Roman"/>
                <w:b/>
                <w:bCs/>
                <w:i/>
                <w:iCs/>
                <w:sz w:val="20"/>
                <w:szCs w:val="20"/>
              </w:rPr>
            </w:pPr>
            <w:r>
              <w:rPr>
                <w:rFonts w:ascii="Times New Roman" w:hAnsi="Times New Roman" w:cs="Times New Roman"/>
                <w:b/>
                <w:bCs/>
                <w:sz w:val="20"/>
                <w:szCs w:val="20"/>
              </w:rPr>
              <w:t>1. Gondolkodási módszerek, halmazok, logika, kombinatorika, gráfok</w:t>
            </w:r>
          </w:p>
        </w:tc>
      </w:tr>
      <w:tr w:rsidR="004C2997">
        <w:tblPrEx>
          <w:tblCellMar>
            <w:top w:w="0" w:type="dxa"/>
            <w:bottom w:w="0" w:type="dxa"/>
          </w:tblCellMar>
        </w:tblPrEx>
        <w:trPr>
          <w:cantSplit/>
        </w:trPr>
        <w:tc>
          <w:tcPr>
            <w:tcW w:w="218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Halmazelmélet</w:t>
            </w:r>
          </w:p>
        </w:tc>
        <w:tc>
          <w:tcPr>
            <w:tcW w:w="7258"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Halmazelméleti alapfogalmak.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Halmazműveletek, műveleti tulajdonságok.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halmazfogalom és a halmazműveletek használata a matematika különböző területein (pl. számhalmazok, ponthalmazok).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Halmazműveletek alkalmazása feladatokban.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számosság fogalma.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3"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Logika</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Fogalmak, tételek, bizonyítások a matematikában</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7258" w:type="dxa"/>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Logikai műveletek.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„minden”, „van olyan” logikai kvantorok ismerete,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nyelv logikai elemeinek tudatos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tárgyalt definíciók és tételek pontos megfogalmazása.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Egyes tanult tételek bizonyításának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matematikában használt néhány bizonyítási típus ismerete és tudatos alkalmazása (pl. skatulyaelv, direkt és indirekt bizonyítás).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Szükséges és elégséges feltételek helyes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Bizonyítási feladatok megoldása.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3"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Kombinatorika</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7258"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Kiválasztási és sorbarendezési feladatok.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Binomiális tétel ismerete,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183"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Gráfok</w:t>
            </w:r>
          </w:p>
        </w:tc>
        <w:tc>
          <w:tcPr>
            <w:tcW w:w="7258" w:type="dxa"/>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gráf szemléletes fogalma, alkalmazásai.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Gráfelméleti alapfogalmak.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441" w:type="dxa"/>
            <w:gridSpan w:val="2"/>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jc w:val="both"/>
              <w:rPr>
                <w:rFonts w:ascii="Times New Roman" w:hAnsi="Times New Roman" w:cs="Times New Roman"/>
                <w:b/>
                <w:bCs/>
                <w:i/>
                <w:iCs/>
                <w:sz w:val="20"/>
                <w:szCs w:val="20"/>
              </w:rPr>
            </w:pPr>
            <w:r>
              <w:rPr>
                <w:rFonts w:ascii="Times New Roman" w:hAnsi="Times New Roman" w:cs="Times New Roman"/>
                <w:b/>
                <w:bCs/>
                <w:sz w:val="20"/>
                <w:szCs w:val="20"/>
              </w:rPr>
              <w:t>2. Számelmélet, algebra</w:t>
            </w:r>
          </w:p>
        </w:tc>
      </w:tr>
      <w:tr w:rsidR="004C2997">
        <w:tblPrEx>
          <w:tblCellMar>
            <w:top w:w="0" w:type="dxa"/>
            <w:bottom w:w="0" w:type="dxa"/>
          </w:tblCellMar>
        </w:tblPrEx>
        <w:trPr>
          <w:cantSplit/>
        </w:trPr>
        <w:tc>
          <w:tcPr>
            <w:tcW w:w="2183"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Számfogalom</w:t>
            </w:r>
          </w:p>
        </w:tc>
        <w:tc>
          <w:tcPr>
            <w:tcW w:w="7258"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valós számkör.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Alapműveletek, műveleti tulajdonságok ismerete, alkalmazása a valós számkörben.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adatok és az eredmény pontossága, számolások közelítő értékekkel.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Számrendszerek, a helyiértékes írásmód.</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3"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Számelmélet</w:t>
            </w:r>
          </w:p>
        </w:tc>
        <w:tc>
          <w:tcPr>
            <w:tcW w:w="7258" w:type="dxa"/>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Osztó, többszörös, összetett szám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számelmélet alaptétele.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Számok prímtényezőkre bontása, legnagyobb közös osztó, legkisebb közös többszörös.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Oszthatósági feladatok.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3"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Algebrai kifejezések, műveletek</w:t>
            </w:r>
          </w:p>
        </w:tc>
        <w:tc>
          <w:tcPr>
            <w:tcW w:w="7258" w:type="dxa"/>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Műveletek egyszerű algebrai kifejezésekkel.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Nevezetes azonosságok, szorzattá alakítások.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3"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Hatvány, gyök, logaritmus</w:t>
            </w:r>
          </w:p>
        </w:tc>
        <w:tc>
          <w:tcPr>
            <w:tcW w:w="7258" w:type="dxa"/>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Definíciók, műveletek, azonosságok (egész kitevőjű hatványok, racionális kitevőjű hatványok).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Irracionális kitevőjű hatvány szemléletes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Logaritmus fogalma, a logaritmus azonosságainak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3"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Egyenletek, egyenlőtlenségek</w:t>
            </w:r>
          </w:p>
        </w:tc>
        <w:tc>
          <w:tcPr>
            <w:tcW w:w="7258" w:type="dxa"/>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Első- és másodfokú egyenletek és egyenlőtlenségek megoldása.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Paraméteres egyenletek.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egyenletmegoldás alkalmazása szöveges feladatokban.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Gyökös, algebrai törtes, abszolútértékes és egyszerű exponenciális, logaritmusos és trigonometrikus egyenletek.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algebrai törtes, exponenciális és logaritmusos egyenlőtlenségek.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középértékek, nevezetes egyenlőtlenségek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Többismeretlenes egyenletrendszerek.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egyenlőtlenségrendszerek.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441" w:type="dxa"/>
            <w:gridSpan w:val="2"/>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jc w:val="both"/>
              <w:rPr>
                <w:rFonts w:ascii="Times New Roman" w:hAnsi="Times New Roman" w:cs="Times New Roman"/>
                <w:b/>
                <w:bCs/>
                <w:i/>
                <w:iCs/>
                <w:sz w:val="20"/>
                <w:szCs w:val="20"/>
              </w:rPr>
            </w:pPr>
            <w:r>
              <w:rPr>
                <w:rFonts w:ascii="Times New Roman" w:hAnsi="Times New Roman" w:cs="Times New Roman"/>
                <w:b/>
                <w:bCs/>
                <w:sz w:val="20"/>
                <w:szCs w:val="20"/>
              </w:rPr>
              <w:t>3. Függvények, az analízis elemei</w:t>
            </w:r>
          </w:p>
        </w:tc>
      </w:tr>
      <w:tr w:rsidR="004C2997">
        <w:tblPrEx>
          <w:tblCellMar>
            <w:top w:w="0" w:type="dxa"/>
            <w:bottom w:w="0" w:type="dxa"/>
          </w:tblCellMar>
        </w:tblPrEx>
        <w:trPr>
          <w:cantSplit/>
        </w:trPr>
        <w:tc>
          <w:tcPr>
            <w:tcW w:w="2183"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Függvények</w:t>
            </w:r>
          </w:p>
        </w:tc>
        <w:tc>
          <w:tcPr>
            <w:tcW w:w="7258" w:type="dxa"/>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függvény matematikai fogalma, megadásának módjai.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Függvény leszűkítése, kiterjesztése.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Összetett függvény.</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3"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Függvények grafikonjai, függvénytranszformációk</w:t>
            </w:r>
          </w:p>
        </w:tc>
        <w:tc>
          <w:tcPr>
            <w:tcW w:w="7258"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alapfüggvények (lineáris, másodfokú, hatvány- és négyzetgyökfüggvények, racionális törtfüggvény, exponenciális és logaritmusfüggvény, trigonometrikus függvények, abszolútérték függvény) és transzformáltjaik:</w:t>
            </w:r>
          </w:p>
          <w:p w:rsidR="004C2997" w:rsidRDefault="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noProof/>
                <w:position w:val="-10"/>
                <w:sz w:val="20"/>
                <w:szCs w:val="20"/>
                <w:lang w:eastAsia="hu-HU"/>
              </w:rPr>
              <w:drawing>
                <wp:inline distT="0" distB="0" distL="0" distR="0">
                  <wp:extent cx="1016635" cy="205105"/>
                  <wp:effectExtent l="0" t="0" r="0" b="4445"/>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16635" cy="205105"/>
                          </a:xfrm>
                          <a:prstGeom prst="rect">
                            <a:avLst/>
                          </a:prstGeom>
                          <a:noFill/>
                          <a:ln>
                            <a:noFill/>
                          </a:ln>
                        </pic:spPr>
                      </pic:pic>
                    </a:graphicData>
                  </a:graphic>
                </wp:inline>
              </w:drawing>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3"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Függvények jellemzése</w:t>
            </w:r>
          </w:p>
        </w:tc>
        <w:tc>
          <w:tcPr>
            <w:tcW w:w="7258" w:type="dxa"/>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Függvényvizsgálat.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Szélsőérték-feladatok.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3"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Sorozatok</w:t>
            </w:r>
          </w:p>
        </w:tc>
        <w:tc>
          <w:tcPr>
            <w:tcW w:w="7258"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Sorozat megadása, jellemzése.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Számtani sorozat, mértani sorozat.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Kamatos kamat számítása.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Járadékszámítás.</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183"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analízis elemei</w:t>
            </w:r>
          </w:p>
          <w:p w:rsidR="004C2997" w:rsidRDefault="004C2997">
            <w:pPr>
              <w:autoSpaceDE w:val="0"/>
              <w:autoSpaceDN w:val="0"/>
              <w:adjustRightInd w:val="0"/>
              <w:spacing w:after="0" w:line="240" w:lineRule="auto"/>
              <w:rPr>
                <w:rFonts w:ascii="Times New Roman" w:hAnsi="Times New Roman" w:cs="Times New Roman"/>
                <w:strike/>
                <w:sz w:val="20"/>
                <w:szCs w:val="20"/>
              </w:rPr>
            </w:pPr>
          </w:p>
        </w:tc>
        <w:tc>
          <w:tcPr>
            <w:tcW w:w="7258" w:type="dxa"/>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határérték szemléletes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folytonosság szemléletes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differenciálhányados fogalma,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kétoldali közelítés módszere, a határozott integrál szemléletes fogalma,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441"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jc w:val="both"/>
              <w:rPr>
                <w:rFonts w:ascii="Times New Roman" w:hAnsi="Times New Roman" w:cs="Times New Roman"/>
                <w:b/>
                <w:bCs/>
                <w:i/>
                <w:iCs/>
                <w:sz w:val="20"/>
                <w:szCs w:val="20"/>
              </w:rPr>
            </w:pPr>
            <w:r>
              <w:rPr>
                <w:rFonts w:ascii="Times New Roman" w:hAnsi="Times New Roman" w:cs="Times New Roman"/>
                <w:b/>
                <w:bCs/>
                <w:sz w:val="20"/>
                <w:szCs w:val="20"/>
              </w:rPr>
              <w:t>4. Geometria, koordinátageometria, trigonometria</w:t>
            </w:r>
          </w:p>
        </w:tc>
      </w:tr>
      <w:tr w:rsidR="004C2997">
        <w:tblPrEx>
          <w:tblCellMar>
            <w:top w:w="0" w:type="dxa"/>
            <w:bottom w:w="0" w:type="dxa"/>
          </w:tblCellMar>
        </w:tblPrEx>
        <w:trPr>
          <w:cantSplit/>
        </w:trPr>
        <w:tc>
          <w:tcPr>
            <w:tcW w:w="218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Alapfogalmak, ponthalmazok</w:t>
            </w:r>
          </w:p>
        </w:tc>
        <w:tc>
          <w:tcPr>
            <w:tcW w:w="7258"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Térelemek távolsága, szöge.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Nevezetes ponthalmazok.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3"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Geometriai transzformációk</w:t>
            </w:r>
          </w:p>
        </w:tc>
        <w:tc>
          <w:tcPr>
            <w:tcW w:w="7258" w:type="dxa"/>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geometriai transzformáció mint függvény.</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Egybevágósági, hasonlósági transzformációk és alkalmazásuk számításos és bizonyítási feladatokban.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Hasonló alakzatok tulajdonságai.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merőleges vetítés szemléletes fogalma.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Síkgeometriai alakzatok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Háromszögek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Négyszögek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Sokszögek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w:t>
            </w:r>
          </w:p>
        </w:tc>
        <w:tc>
          <w:tcPr>
            <w:tcW w:w="7258"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Tételek az oldalakra, szögekre, nevezetes pontokra, vonalakra, alkalmazásuk bizonyítási és szerkesztési feladatokban.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Nevezetes négyszögek (trapézok és deltoidok) és tulajdonságaik.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Húr- és érintőnégyszögek.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Szabályos sokszögek.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Alaptulajdonságok.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kör és részei.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 és egyenes kölcsönös helyzete.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Középponti és kerületi szög, látókör ismerete,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3"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Térbeli alakzatok</w:t>
            </w:r>
          </w:p>
        </w:tc>
        <w:tc>
          <w:tcPr>
            <w:tcW w:w="7258" w:type="dxa"/>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Henger, kúp, gúla, hasáb, gömb, csonkagúla, csonkakúp.</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Kerület-, terület-, felszín- és térfogatszámítás</w:t>
            </w:r>
          </w:p>
        </w:tc>
        <w:tc>
          <w:tcPr>
            <w:tcW w:w="7258"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síkidomok és részeik kerülete, területe.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Testek felszíne és térfogata.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Hasonló síkidomok és testek különböző mérőszámainak és a hasonlóság arányának viszonya.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3"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Vektorok</w:t>
            </w:r>
          </w:p>
        </w:tc>
        <w:tc>
          <w:tcPr>
            <w:tcW w:w="7258" w:type="dxa"/>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vektor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Vektorműveletek (összegvektor, különbségvektor, skalárral való szorzás, skaláris szorzat) és tulajdonságaik.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Vektor koordinátái.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Vektorok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3"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Trigonometria</w:t>
            </w:r>
          </w:p>
        </w:tc>
        <w:tc>
          <w:tcPr>
            <w:tcW w:w="7258" w:type="dxa"/>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Szögfüggvények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Összefüggések a szögfüggvények között.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Szinusztétel, koszinusztétel.</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183"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Koordináta-geometria</w:t>
            </w:r>
          </w:p>
        </w:tc>
        <w:tc>
          <w:tcPr>
            <w:tcW w:w="7258" w:type="dxa"/>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Alakzatok (egyenes, kör, parabola) egyenlete és kölcsönös helyzetük.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441" w:type="dxa"/>
            <w:gridSpan w:val="2"/>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5. Valószínűségszámítás, statisztika</w:t>
            </w:r>
          </w:p>
        </w:tc>
      </w:tr>
      <w:tr w:rsidR="004C2997">
        <w:tblPrEx>
          <w:tblCellMar>
            <w:top w:w="0" w:type="dxa"/>
            <w:bottom w:w="0" w:type="dxa"/>
          </w:tblCellMar>
        </w:tblPrEx>
        <w:trPr>
          <w:cantSplit/>
        </w:trPr>
        <w:tc>
          <w:tcPr>
            <w:tcW w:w="218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Leíró statisztika</w:t>
            </w:r>
          </w:p>
        </w:tc>
        <w:tc>
          <w:tcPr>
            <w:tcW w:w="7258"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Statisztikai adatok gyűjtése, rendszerezése, különböző ábrázolásai (kördiagram, oszlopdiagram, hisztogram).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Gyakoriság, relatív gyakoriság.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Átlagok: számtani közép, súlyozott közép, rendezett minta közepe (medián), leggyakoribb érték (módusz).</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Szórás.</w:t>
            </w:r>
          </w:p>
        </w:tc>
      </w:tr>
      <w:tr w:rsidR="004C2997">
        <w:tblPrEx>
          <w:tblCellMar>
            <w:top w:w="0" w:type="dxa"/>
            <w:bottom w:w="0" w:type="dxa"/>
          </w:tblCellMar>
        </w:tblPrEx>
        <w:trPr>
          <w:cantSplit/>
        </w:trPr>
        <w:tc>
          <w:tcPr>
            <w:tcW w:w="2183"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Valószínűségszámítás</w:t>
            </w:r>
          </w:p>
        </w:tc>
        <w:tc>
          <w:tcPr>
            <w:tcW w:w="7258" w:type="dxa"/>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nagy számok törvényének szemléletes tartalma.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valószínűség klasszikus kiszámítási módja.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Visszatevéses mintavétel és alkalmazásai.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binomiális eloszlás tulajdonságai, várható értéke és alkalmazásai.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Visszatevés nélküli mintavétel és alkalmazásai.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hipergeometrikus eloszlás.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Feltételes valószínűség fogalma és konkrét alkalmazásai.</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IDEGEN NYELV</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Az idegen nyelv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Az idegen nyelvi érettségi vizsga célja a kommunikatív nyelvtudás mérése, azaz annak megállapítása, hogy a vizsgázó képes-e valós kommunikációs céljait megvalósítani. </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Az idegen nyelvi érettségi vizsga a nyelvoktatás céljai közül (pragmatikus, kognitív, személyiségfejlesztő célok) csak a pragmatikus cél megvalósulását méri, vagyis azt, hogy a vizsgázó rendelkezik-e a kommunikatív kompetencia meghatározott szintjével. Bár nagyon fontos, hogy a tanulók a tanítási folyamat során ismereteket szerezzenek a világról, a nyelvről és a célkultúrákról, ezeket az ismereteket az idegen nyelvi érettségi vizsga közvetlen módon nem méri. Ezek az ismeretek azonban megjelennek a vizsgafeladatokban használt autentikus anyagokban. </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 vizsga mindkét szinten </w:t>
      </w:r>
      <w:r>
        <w:rPr>
          <w:rFonts w:ascii="Times New Roman" w:hAnsi="Times New Roman" w:cs="Times New Roman"/>
          <w:i/>
          <w:iCs/>
          <w:sz w:val="20"/>
          <w:szCs w:val="20"/>
        </w:rPr>
        <w:t>írásbeli és szóbeli részből</w:t>
      </w:r>
      <w:r>
        <w:rPr>
          <w:rFonts w:ascii="Times New Roman" w:hAnsi="Times New Roman" w:cs="Times New Roman"/>
          <w:sz w:val="20"/>
          <w:szCs w:val="20"/>
        </w:rPr>
        <w:t xml:space="preserve"> áll, és </w:t>
      </w:r>
      <w:r>
        <w:rPr>
          <w:rFonts w:ascii="Times New Roman" w:hAnsi="Times New Roman" w:cs="Times New Roman"/>
          <w:i/>
          <w:iCs/>
          <w:sz w:val="20"/>
          <w:szCs w:val="20"/>
        </w:rPr>
        <w:t>a négy nyelvi alapkészséget</w:t>
      </w:r>
      <w:r>
        <w:rPr>
          <w:rFonts w:ascii="Times New Roman" w:hAnsi="Times New Roman" w:cs="Times New Roman"/>
          <w:sz w:val="20"/>
          <w:szCs w:val="20"/>
        </w:rPr>
        <w:t xml:space="preserve"> méri: olvasott szöveg értése, hallott szöveg értése, beszédkészség és íráskészség. A kommunikatív készségek alkalmazásához a nyelvhasználónak rendelkeznie kell megfelelő mennyiségű szókinccsel, és ismernie kell a nyelv struktúráját is. Ezért </w:t>
      </w:r>
      <w:r>
        <w:rPr>
          <w:rFonts w:ascii="Times New Roman" w:hAnsi="Times New Roman" w:cs="Times New Roman"/>
          <w:i/>
          <w:iCs/>
          <w:sz w:val="20"/>
          <w:szCs w:val="20"/>
        </w:rPr>
        <w:t>a nyelvtani és lexikai kompetenciát</w:t>
      </w:r>
      <w:r>
        <w:rPr>
          <w:rFonts w:ascii="Times New Roman" w:hAnsi="Times New Roman" w:cs="Times New Roman"/>
          <w:sz w:val="20"/>
          <w:szCs w:val="20"/>
        </w:rPr>
        <w:t xml:space="preserve"> mindkét szinten külön vizsgarész keretében is mérik. A vizsga egynyelvű, azaz közvetítési készséget nem mér.</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idegen nyelvi érettségi vizsga szintmeghatározásai igazodnak az Európa Tanács skálájához. A vizsga középszintje az A2–B1, az emelt szint pedig a B2 szintnek felel meg.</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 középszintű vizsga célja annak megállapítása, hogy a vizsgázó képes-e a fontosabb információkat megérteni olyan írott és hallott, köznapi, egyszerű, eredeti idegen nyelvű szövegekben, amelyek gyakori élethelyzetekhez kapcsolódnak (pl. iskola, szabadidő, munka). A vizsga azt is méri, hogy vizsgázó tud-e kommunikálni egyszerű helyzetekben, és tud-e egyszerű, összefüggő szöveget alkotni olyan témákban, amelyeket ismer, vagy amelyek az érdeklődési körébe tartoznak. </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emelt szintű vizsga célja annak megállapítása, hogy a vizsgázó képes-e megérteni különböző fajtájú igényesebb és hosszabb, konkrét vagy elvont témájú írott és hallott idegen nyelvű szövegek fő gondolatmenetét, és követni tudja-e a hosszabb, összetettebb érveléseket is. A vizsga azt is méri, hogy a vizsgázó képes-e idegen nyelven mind szóban, mind írásban folyamatosan és természetes módon kifejezni magát, világos, jól szerkesztett szöveget létrehozni, és eközben megbízhatóan használja-e a szövegszerkesztési mintákat, szövegösszekötő elemeket, továbbá indokolni tudja-e véleményét.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18"/>
        <w:gridCol w:w="6639"/>
        <w:gridCol w:w="15"/>
      </w:tblGrid>
      <w:tr w:rsidR="004C2997">
        <w:tblPrEx>
          <w:tblCellMar>
            <w:top w:w="0" w:type="dxa"/>
            <w:bottom w:w="0" w:type="dxa"/>
          </w:tblCellMar>
        </w:tblPrEx>
        <w:tc>
          <w:tcPr>
            <w:tcW w:w="2418" w:type="dxa"/>
            <w:shd w:val="pct25" w:color="auto" w:fill="auto"/>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Kompetenciák</w:t>
            </w:r>
          </w:p>
        </w:tc>
        <w:tc>
          <w:tcPr>
            <w:tcW w:w="6654" w:type="dxa"/>
            <w:gridSpan w:val="2"/>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Kommunikatív készségek</w:t>
            </w: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Beszédértés (hallott szöveg értése)</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Rövidebb, hétköznapi témájú beszélgetések, interjúk lényeges információinak, alapvető kommunikációs szándékának megértése.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hallott szövegből az adott helyzetben szükséges kulcs- és részletinformáció(k) megértése.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értési célnak megfelelő stratégia alkalmazása (globális, szelektív, részletes </w:t>
            </w:r>
            <w:r>
              <w:rPr>
                <w:rFonts w:ascii="Times New Roman" w:hAnsi="Times New Roman" w:cs="Times New Roman"/>
                <w:sz w:val="20"/>
                <w:szCs w:val="20"/>
              </w:rPr>
              <w:lastRenderedPageBreak/>
              <w:t>értés).</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Beszédkészség</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Kommunikációs szándék megvalósítása megadott egyszerű, hétköznapi helyzetekben és szerepekben.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Egyértelmű, egyszerű és összefüggő megnyilatkozás megadott ismerős témákról.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szintnek megfelelő kommunikációs stratégiák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Szövegértés (olvasott szöveg értése)</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Köznyelven íródott, a mindennapi élet témáival foglalkozó, gyakori szövegfajták lényegének megértése.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szövegből az adott helyzetben szükséges információ(k) megértése, vélemény, érvelés követése.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értési célnak megfelelő olvasási stratégia alkalmazása (globális, szelektív, részletes értés).</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Íráskészség</w:t>
            </w:r>
          </w:p>
        </w:tc>
        <w:tc>
          <w:tcPr>
            <w:tcW w:w="6654" w:type="dxa"/>
            <w:gridSpan w:val="2"/>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Kommunikációs szándék megvalósítása a mindennapi életben általánosan és gyakran használt szövegfajtákban.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Egyértelmű, egyszerű, összefüggő szöveg alkotása megadott, hétköznapi témákról.</w:t>
            </w:r>
          </w:p>
          <w:p w:rsidR="004C2997" w:rsidRDefault="004C2997">
            <w:pPr>
              <w:autoSpaceDE w:val="0"/>
              <w:autoSpaceDN w:val="0"/>
              <w:adjustRightInd w:val="0"/>
              <w:spacing w:after="0" w:line="240" w:lineRule="auto"/>
              <w:rPr>
                <w:rFonts w:ascii="Times New Roman" w:hAnsi="Times New Roman" w:cs="Times New Roman"/>
                <w:i/>
                <w:iCs/>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Egyéb készségek (stratégiák)</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feladatok megtervezéséhez, megoldásához, értékeléséhez szükséges készségek és technikák alkalmazása.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nyelvi nehézségek áthidalásához szükséges legalapvetőbb technikák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gridAfter w:val="1"/>
          <w:wAfter w:w="15" w:type="dxa"/>
          <w:cantSplit/>
        </w:trPr>
        <w:tc>
          <w:tcPr>
            <w:tcW w:w="9057" w:type="dxa"/>
            <w:gridSpan w:val="2"/>
            <w:tcBorders>
              <w:top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Nyelvi kompetencia</w:t>
            </w:r>
          </w:p>
        </w:tc>
      </w:tr>
      <w:tr w:rsidR="004C2997">
        <w:tblPrEx>
          <w:tblCellMar>
            <w:top w:w="0" w:type="dxa"/>
            <w:bottom w:w="0" w:type="dxa"/>
          </w:tblCellMar>
        </w:tblPrEx>
        <w:trPr>
          <w:gridAfter w:val="1"/>
          <w:wAfter w:w="15" w:type="dxa"/>
          <w:cantSplit/>
        </w:trPr>
        <w:tc>
          <w:tcPr>
            <w:tcW w:w="2418" w:type="dxa"/>
          </w:tcPr>
          <w:p w:rsidR="004C2997" w:rsidRDefault="004C2997">
            <w:pPr>
              <w:pageBreakBefore/>
              <w:autoSpaceDE w:val="0"/>
              <w:autoSpaceDN w:val="0"/>
              <w:adjustRightInd w:val="0"/>
              <w:spacing w:after="0" w:line="240" w:lineRule="auto"/>
              <w:rPr>
                <w:rFonts w:ascii="Times New Roman" w:hAnsi="Times New Roman" w:cs="Times New Roman"/>
                <w:sz w:val="20"/>
                <w:szCs w:val="20"/>
              </w:rPr>
            </w:pPr>
          </w:p>
        </w:tc>
        <w:tc>
          <w:tcPr>
            <w:tcW w:w="663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vizsgázó tudásszintjének megfelelő szövegfajtákban előforduló alapvető lexikai elemek és nyelvi szerkezetek felismerése és nyelvileg elfogadható, azaz a megértést nem akadályozó használata.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kommunikációs szándékok megvalósításához szükséges nyelvi eszközök alkalmazása szóban és írásban.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írott és a beszélt nyelv funkcionális használata.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gridAfter w:val="1"/>
          <w:wAfter w:w="15" w:type="dxa"/>
          <w:cantSplit/>
        </w:trPr>
        <w:tc>
          <w:tcPr>
            <w:tcW w:w="9057"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Témák</w:t>
            </w:r>
          </w:p>
        </w:tc>
      </w:tr>
      <w:tr w:rsidR="004C2997">
        <w:tblPrEx>
          <w:tblCellMar>
            <w:top w:w="0" w:type="dxa"/>
            <w:bottom w:w="0" w:type="dxa"/>
          </w:tblCellMar>
        </w:tblPrEx>
        <w:trPr>
          <w:gridAfter w:val="1"/>
          <w:wAfter w:w="15" w:type="dxa"/>
        </w:trPr>
        <w:tc>
          <w:tcPr>
            <w:tcW w:w="2418"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Személyes vonatkozások, család</w:t>
            </w:r>
          </w:p>
        </w:tc>
        <w:tc>
          <w:tcPr>
            <w:tcW w:w="6639"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Például: a vizsgázó személye, családi élet.</w:t>
            </w:r>
          </w:p>
        </w:tc>
      </w:tr>
      <w:tr w:rsidR="004C2997">
        <w:tblPrEx>
          <w:tblCellMar>
            <w:top w:w="0" w:type="dxa"/>
            <w:bottom w:w="0" w:type="dxa"/>
          </w:tblCellMar>
        </w:tblPrEx>
        <w:trPr>
          <w:gridAfter w:val="1"/>
          <w:wAfter w:w="15" w:type="dxa"/>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Ember és társadalom</w:t>
            </w:r>
          </w:p>
        </w:tc>
        <w:tc>
          <w:tcPr>
            <w:tcW w:w="663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Például: a másik ember külső és belső jellemzése, ünnepek, vásárlás.</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gridAfter w:val="1"/>
          <w:wAfter w:w="15" w:type="dxa"/>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Környezetünk</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3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Például: az otthon, a lakóhely és környéke, időjárás.</w:t>
            </w:r>
          </w:p>
        </w:tc>
      </w:tr>
      <w:tr w:rsidR="004C2997">
        <w:tblPrEx>
          <w:tblCellMar>
            <w:top w:w="0" w:type="dxa"/>
            <w:bottom w:w="0" w:type="dxa"/>
          </w:tblCellMar>
        </w:tblPrEx>
        <w:trPr>
          <w:gridAfter w:val="1"/>
          <w:wAfter w:w="15" w:type="dxa"/>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iskola</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3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Például: a saját iskola bemutatása, nyelvtanulás.</w:t>
            </w:r>
          </w:p>
        </w:tc>
      </w:tr>
      <w:tr w:rsidR="004C2997">
        <w:tblPrEx>
          <w:tblCellMar>
            <w:top w:w="0" w:type="dxa"/>
            <w:bottom w:w="0" w:type="dxa"/>
          </w:tblCellMar>
        </w:tblPrEx>
        <w:trPr>
          <w:gridAfter w:val="1"/>
          <w:wAfter w:w="15" w:type="dxa"/>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 világa</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3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Például: diákmunka, pályaválasztás.</w:t>
            </w:r>
          </w:p>
        </w:tc>
      </w:tr>
      <w:tr w:rsidR="004C2997">
        <w:tblPrEx>
          <w:tblCellMar>
            <w:top w:w="0" w:type="dxa"/>
            <w:bottom w:w="0" w:type="dxa"/>
          </w:tblCellMar>
        </w:tblPrEx>
        <w:trPr>
          <w:gridAfter w:val="1"/>
          <w:wAfter w:w="15" w:type="dxa"/>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Életmód</w:t>
            </w:r>
          </w:p>
          <w:p w:rsidR="004C2997" w:rsidRDefault="004C2997">
            <w:pPr>
              <w:autoSpaceDE w:val="0"/>
              <w:autoSpaceDN w:val="0"/>
              <w:adjustRightInd w:val="0"/>
              <w:spacing w:after="0" w:line="240" w:lineRule="auto"/>
              <w:rPr>
                <w:rFonts w:ascii="Times New Roman" w:hAnsi="Times New Roman" w:cs="Times New Roman"/>
                <w:i/>
                <w:iCs/>
                <w:sz w:val="20"/>
                <w:szCs w:val="20"/>
              </w:rPr>
            </w:pPr>
          </w:p>
        </w:tc>
        <w:tc>
          <w:tcPr>
            <w:tcW w:w="663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Például: napirend, kedvenc ételek.</w:t>
            </w:r>
          </w:p>
        </w:tc>
      </w:tr>
      <w:tr w:rsidR="004C2997">
        <w:tblPrEx>
          <w:tblCellMar>
            <w:top w:w="0" w:type="dxa"/>
            <w:bottom w:w="0" w:type="dxa"/>
          </w:tblCellMar>
        </w:tblPrEx>
        <w:trPr>
          <w:gridAfter w:val="1"/>
          <w:wAfter w:w="15" w:type="dxa"/>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Szabadidő, művelődés, szórakozás</w:t>
            </w:r>
          </w:p>
        </w:tc>
        <w:tc>
          <w:tcPr>
            <w:tcW w:w="663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Például: színház, mozi, kedvenc sport.</w:t>
            </w:r>
          </w:p>
        </w:tc>
      </w:tr>
      <w:tr w:rsidR="004C2997">
        <w:tblPrEx>
          <w:tblCellMar>
            <w:top w:w="0" w:type="dxa"/>
            <w:bottom w:w="0" w:type="dxa"/>
          </w:tblCellMar>
        </w:tblPrEx>
        <w:trPr>
          <w:gridAfter w:val="1"/>
          <w:wAfter w:w="15" w:type="dxa"/>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Utazás, turizmus</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3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Például: tömegközlekedés, utazási előkészületek.</w:t>
            </w:r>
          </w:p>
        </w:tc>
      </w:tr>
      <w:tr w:rsidR="004C2997">
        <w:tblPrEx>
          <w:tblCellMar>
            <w:top w:w="0" w:type="dxa"/>
            <w:bottom w:w="0" w:type="dxa"/>
          </w:tblCellMar>
        </w:tblPrEx>
        <w:trPr>
          <w:gridAfter w:val="1"/>
          <w:wAfter w:w="15" w:type="dxa"/>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Tudomány és technika</w:t>
            </w:r>
          </w:p>
        </w:tc>
        <w:tc>
          <w:tcPr>
            <w:tcW w:w="663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Például: népszerű tudományok, ismeretterjesztés,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technikai eszközök szerepe a mindennapi életben.</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18"/>
        <w:gridCol w:w="6654"/>
      </w:tblGrid>
      <w:tr w:rsidR="004C2997">
        <w:tblPrEx>
          <w:tblCellMar>
            <w:top w:w="0" w:type="dxa"/>
            <w:bottom w:w="0" w:type="dxa"/>
          </w:tblCellMar>
        </w:tblPrEx>
        <w:tc>
          <w:tcPr>
            <w:tcW w:w="2418" w:type="dxa"/>
            <w:shd w:val="pct25" w:color="auto" w:fill="auto"/>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Kompetenciák</w:t>
            </w:r>
          </w:p>
        </w:tc>
        <w:tc>
          <w:tcPr>
            <w:tcW w:w="6654" w:type="dxa"/>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Kommunikatív készségek</w:t>
            </w: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Beszédértés (hallott szöveg értése)</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Hosszabb, nyelvileg és tartalmilag bonyolultabb beszéd, illetve beszélgetés gondolatmenetének követése, a beszélő(k) álláspontjának követése, érzelmeinek, egymáshoz való viszonyának felismerése, a kommunikációs szándékok megértése.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értési célnak megfelelő stratégia alkalmazása (globális, szelektív, részletes értés).</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Beszédkészség</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Összefüggő önálló megnyilatkozás, illetve beszélgetésben való részvétel megadott témákról általánosabb szempontból.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vizsgázó álláspontjának, véleményének szabatos, következetes kifejtése.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kommunikációs szándékoknak megfelelő folyékony és természetes kommunikáció.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szintnek megfelelő kommunikációs stratégiák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Szövegértés (olvasott szöveg értése)</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Általánosabb jellegű, a jelenkor problémáival kapcsolatos, elvontabb témájú szövegek megértése.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szerző álláspontjának megértése.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Érvek és ellenérvek, tények és vélemények elkülönítése.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széles olvasóközönség számára hozzáférhető, közérthető szövegek, szövegrészletek megértése.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értési célnak megfelelő olvasási stratégia alkalmazása (globális, szelektív, részletes értés).</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Íráskészség</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Világos, részletes szöveg létrehozása általánosabb, összetettebb témákban.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vizsgázó álláspontjának, véleményének szabatos, következetes kifejtése.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Logikus szerkesztésű és tagolású írásmű létrehozása.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Az írott szövegben a mindennapi élet feladataihoz használt szövegtípusok műfaji jellemzőinek és a különböző közlésformák (pl. elbeszélés, leírás, érvelés) sajátosságainak figyelembe vétele.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Egyéb készségek (stratégiák)</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feladatok megtervezéséhez, megoldásához, értékeléséhez szükséges készségek és technikák alkalmazása.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nyelvi nehézségek áthidalásához szükséges technikák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Nyelvi kompetencia</w:t>
            </w: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54" w:type="dxa"/>
          </w:tcPr>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A vizsgázó tudásszintjének megfelelő szövegfajtákban előforduló lexikai elemek, nyelvi struktúrák felismerése és biztos használata.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írott és a beszélt nyelv funkcionális használata.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kommunikációs szándékok megvalósításához szükséges nyelvi eszközök meglehetősen biztos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Értelemzavaró (nyelvtani, lexikai és kiejtésbeli) hibák nélküli sikeres kommunikáció.</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Témák</w:t>
            </w:r>
          </w:p>
        </w:tc>
      </w:tr>
      <w:tr w:rsidR="004C2997">
        <w:tblPrEx>
          <w:tblCellMar>
            <w:top w:w="0" w:type="dxa"/>
            <w:bottom w:w="0" w:type="dxa"/>
          </w:tblCellMar>
        </w:tblPrEx>
        <w:trPr>
          <w:cantSplit/>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Személyes vonatkozások, család</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Például: a család szerepe az egyén és a társadalom életében.</w:t>
            </w:r>
          </w:p>
        </w:tc>
      </w:tr>
      <w:tr w:rsidR="004C2997">
        <w:tblPrEx>
          <w:tblCellMar>
            <w:top w:w="0" w:type="dxa"/>
            <w:bottom w:w="0" w:type="dxa"/>
          </w:tblCellMar>
        </w:tblPrEx>
        <w:trPr>
          <w:cantSplit/>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Ember és társadalom</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Például: az ünnepek fontossága az egyén és a társadalom életében,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fogyasztói társadalom, reklámok.</w:t>
            </w:r>
          </w:p>
        </w:tc>
      </w:tr>
      <w:tr w:rsidR="004C2997">
        <w:tblPrEx>
          <w:tblCellMar>
            <w:top w:w="0" w:type="dxa"/>
            <w:bottom w:w="0" w:type="dxa"/>
          </w:tblCellMar>
        </w:tblPrEx>
        <w:trPr>
          <w:cantSplit/>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Környezetünk</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Például: a lakóhely fejlődésének problémái,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környezetvédelem lehetőségei és problémái.</w:t>
            </w:r>
          </w:p>
        </w:tc>
      </w:tr>
      <w:tr w:rsidR="004C2997">
        <w:tblPrEx>
          <w:tblCellMar>
            <w:top w:w="0" w:type="dxa"/>
            <w:bottom w:w="0" w:type="dxa"/>
          </w:tblCellMar>
        </w:tblPrEx>
        <w:trPr>
          <w:cantSplit/>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iskola</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Például: iskolatípusok és iskolarendszer Magyarországon és külföldön.</w:t>
            </w:r>
          </w:p>
        </w:tc>
      </w:tr>
      <w:tr w:rsidR="004C2997">
        <w:tblPrEx>
          <w:tblCellMar>
            <w:top w:w="0" w:type="dxa"/>
            <w:bottom w:w="0" w:type="dxa"/>
          </w:tblCellMar>
        </w:tblPrEx>
        <w:trPr>
          <w:cantSplit/>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 világa</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Például: a munkavállalás körülményei, lehetőségei itthon és külföldön.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Divatszakmák.</w:t>
            </w:r>
          </w:p>
        </w:tc>
      </w:tr>
      <w:tr w:rsidR="004C2997">
        <w:tblPrEx>
          <w:tblCellMar>
            <w:top w:w="0" w:type="dxa"/>
            <w:bottom w:w="0" w:type="dxa"/>
          </w:tblCellMar>
        </w:tblPrEx>
        <w:trPr>
          <w:cantSplit/>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Életmód</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Például: az étkezési szokások hazánkban és külföldön.</w:t>
            </w:r>
          </w:p>
        </w:tc>
      </w:tr>
      <w:tr w:rsidR="004C2997">
        <w:tblPrEx>
          <w:tblCellMar>
            <w:top w:w="0" w:type="dxa"/>
            <w:bottom w:w="0" w:type="dxa"/>
          </w:tblCellMar>
        </w:tblPrEx>
        <w:trPr>
          <w:cantSplit/>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Szabadidő, művelődés, szórakozás</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Például: szabadidősport, élsport, veszélyes sportok.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könyvek, a média és az internet szerepe, hatásai.</w:t>
            </w:r>
          </w:p>
        </w:tc>
      </w:tr>
      <w:tr w:rsidR="004C2997">
        <w:tblPrEx>
          <w:tblCellMar>
            <w:top w:w="0" w:type="dxa"/>
            <w:bottom w:w="0" w:type="dxa"/>
          </w:tblCellMar>
        </w:tblPrEx>
        <w:trPr>
          <w:cantSplit/>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Utazás, turizmus</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Például: az idegenforgalom jelentősége.</w:t>
            </w:r>
          </w:p>
        </w:tc>
      </w:tr>
      <w:tr w:rsidR="004C2997">
        <w:tblPrEx>
          <w:tblCellMar>
            <w:top w:w="0" w:type="dxa"/>
            <w:bottom w:w="0" w:type="dxa"/>
          </w:tblCellMar>
        </w:tblPrEx>
        <w:trPr>
          <w:cantSplit/>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Tudomány és technika</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Például: a tudomány és a technikai fejlődésének pozitív és negatív hatása a társadalomra, az emberiségre.</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FIZIKA</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fizika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 középszintű fizika érettségi vizsga célja annak megállapítása, hogy a vizsgázó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köznapi műveltség részét képező fizikai ismeretekkel;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képes-e ismereteit a mindennapokban tapasztalt jelenségekkel, a technikai eszközök működésével összekapcsolni;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természettudományos gondolkodás, a természettudományok művelése során egyetemessé fejlődött megismerési módszerek alapvető sajátosságait;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az alapmennyiségek mérésére, a mért adatokból egyszerű számításokkal meghatározható további mennyiségek értékeire következtetni;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egyszerűen lefolytatható fizikai kísérletet elvégezni, valamint a kísérleti tapasztalatokat kiértékelni, grafikont elemezni;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mértékekkel, mértékrendszerekkel, mennyiségekkel összefüggő gyakorlatias belső látásmóddal és arányérzékkel;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tananyag által közvetített művelődési anyag alapvető fontosságú tényeit és az ezekből következő alaptörvényeket, összefüggéseket szabatosan kifejteni;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megérti-e a napjainkban felmerülő, fizikai ismereteket is igénylő problémák lényegét;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fizikatörténet legfontosabb eseményeit és személyiségeit, a tananyag által közvetített legjelentősebb kultúrtörténeti vonatkozásokat.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emelt szintű fizika érettségi vizsga célja annak megállapítása, hogy a vizsgázó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elsajátította-e a követelményekben előírt ismereteket;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az ismeretanyag belső összefüggéseit, az egyes témakörök közötti kapcsolatokat áttekinteni, felismerni;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ismereteit jelenségek értelmezésében, problémák megoldásában – a megfelelő matematikai eszközöket is felhasználva – alkalmazni;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járatos-e a fizika tanult vizsgálati és következtetési módszereiben;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természettudományos gondolkodás, a természettudományok művelése során egyetemessé fejlődött megismerési módszerek alapvető sajátosságait, felismeri-e alkalmazásukat;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képes-e a tanultak alapján lefolytatható fizikai mérés, kísérlet megtervezésére és elvégzésére, valamint a kísérleti tapasztalatok kiértékelésére, következtetések levonására, grafikonelemzésre;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mértékekkel, mértékrendszerekkel, mennyiségekkel összefüggő gyakorlatias belső látásmóddal és arányérzékkel, pontosan használja-e a mértékegységeket;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tananyag által közvetített művelődési anyag logikai csomópontjait képező, alapvető fontosságú tényeket és az ezekből következő alaptörvényeket, összefüggéseket szabatosan kifejteni, megmagyarázni;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mindennapi életet befolyásoló fizikai természetű jelenségeket értelmezni;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ismeri-e a legfontosabb technikai eszközök, rendszerek működési elveit;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több témakör ismeretanyagának logikai összekapcsolását igénylő, összetett fizikai feladatok, problémák megoldási képességével;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tájékozott-e a legfontosabb fizikatörténeti és kultúrtörténeti vonatkozásokban;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környezetvédelemmel és természetvédelemmel összefüggő problémák megértésére és elemzésére.</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22"/>
        <w:gridCol w:w="6654"/>
      </w:tblGrid>
      <w:tr w:rsidR="004C2997">
        <w:tblPrEx>
          <w:tblCellMar>
            <w:top w:w="0" w:type="dxa"/>
            <w:bottom w:w="0" w:type="dxa"/>
          </w:tblCellMar>
        </w:tblPrEx>
        <w:tc>
          <w:tcPr>
            <w:tcW w:w="2418" w:type="dxa"/>
            <w:tcBorders>
              <w:bottom w:val="nil"/>
            </w:tcBorders>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6654" w:type="dxa"/>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c>
          <w:tcPr>
            <w:tcW w:w="2418" w:type="dxa"/>
            <w:tcBorders>
              <w:right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1. Mechanika</w:t>
            </w:r>
          </w:p>
        </w:tc>
        <w:tc>
          <w:tcPr>
            <w:tcW w:w="6654" w:type="dxa"/>
            <w:tcBorders>
              <w:left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p>
        </w:tc>
      </w:tr>
      <w:tr w:rsidR="004C2997">
        <w:tblPrEx>
          <w:tblCellMar>
            <w:top w:w="0" w:type="dxa"/>
            <w:bottom w:w="0" w:type="dxa"/>
          </w:tblCellMar>
        </w:tblPrEx>
        <w:tc>
          <w:tcPr>
            <w:tcW w:w="2418" w:type="dxa"/>
          </w:tcPr>
          <w:p w:rsidR="004C2997" w:rsidRDefault="004C2997">
            <w:pPr>
              <w:pageBreakBefore/>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dinamika törvényei </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testek mechanikai kölcsönhatása, az erő, az erő mérése, erők összegzése.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Newton törvényeinek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Kényszererők felismerése konkrét példákban.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impulzus (lendület) megmaradása, felismerése és alkalmazása konkrét példákra.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erőpár fogalma, a forgatónyomaték kiszámítása egyszerű esetekben.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Tömegközéppont alkalmazása homogén, egyszerű alakú testek esetében.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Testek egyensúlyi helyzetének értelmezése.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gépek működésének leírása.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Mozgások</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vonatkoztatási rendszer, pálya, út, idő, elmozdulás fogalmainak alkalmazása,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mozgás viszonylagossága.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egyenes vonalú, egyenletes mozgás leírása.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egyenes vonalú, egyenletesen változó mozgás leírása, a sebesség, gyorsulás alkalmazása.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átlagsebesség és a pillanatnyi sebesség megkülönböztetése.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szabadesés és a függőleges hajítás leírása.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egyenletes körmozgás leírása, a harmonikus rezgőmozgás jellemzői.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 mozgások dinamikai feltételének alkalmazása konkrét példákra.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súrlódás jelensége.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rezonancia jelensége, felismerése gyakorlati példákban.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matematikai inga és az időmérés kapcsolata.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frekvencia, hullámhossz, terjedési sebesség fogalmának alkalmazása.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longitudinális és transzverzális hullám leírása.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hullámjelenségek felismerése és leírása.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hang tulajdonságainak (hangmagasság, hangerősség, hangszín) összekapcsolása fizikai jellemzőivel.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Állóhullámok felismerése.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 és energia</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 és a teljesítmény. A hatásfok.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mozgási energia.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emelési munka, a helyzeti energia.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munka grafikus ábrázolása. A rugalmas energia.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mechanikai energia megmaradása, a törvény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Hőtan, termodinamika</w:t>
            </w: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Állapotjelzők, termodinamikai egyensúly</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állapotjelzők ismerete, alkalmazásuk.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Hőmérők és használatuk. A Kelvin-skála.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Avogadro-törvény, anyagmennyiség.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termikus egyensúly értelmezése.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Hőtágulás</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Szilárd testek vonalas és térfogati hőtágulásának leírása.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Folyadékok hőtágulásának leírása.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hőtágulási jelenségek gyakorlati jelentősége.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Összefüggés a gázok állapotjelzői között</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ideális gáz speciális állapotváltozásainak leírása.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p-V-diagramok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egyesített gáztörvény alkalmazása egyszerűbb problémákban.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állapotegyenlet ismerete.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kinetikus gázmodell</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hőmozgás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állapotjelzők kvalitatív értelmezése a modell alapján.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Termikus és mechanikai kölcsönhatások</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hőközlés, hőmennyiség, fajhő fogalmainak ismerete,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belső energia értelmezése.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térfogati munka értelmezése.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termodinamika I. főtétele és jelentősége, egyszerű alkalmazások.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Nyílt folyamatok ideális gázokkal: izoterm, izochor, izobár, adiabatikus folyamatok energetikai jellemzése.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gázok állandó nyomáson és állandó térfogaton mért fajhőjének </w:t>
            </w:r>
            <w:r>
              <w:rPr>
                <w:rFonts w:ascii="Times New Roman" w:hAnsi="Times New Roman" w:cs="Times New Roman"/>
                <w:sz w:val="20"/>
                <w:szCs w:val="20"/>
              </w:rPr>
              <w:lastRenderedPageBreak/>
              <w:t>megkülönböztetése.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Halmazállapot-változások </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halmazállapotok tulajdonságainak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Olvadás és fagyás.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Párolgás és lecsapódás. Forrás.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 folyamatok energetikai vizsgálata.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nyomás szerepének kvalitatív leírása a forrás esetében.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víz különleges tulajdonságainak ismerete, ezek jelentősége.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levegő páratartalma.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légkört érő káros behatások és következményeik.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termodinamika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II. főtétele</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II. főtétel szemléltetése mindennapi példákon.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hőerőgépek hatásfokának korlátai.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Elektromágnesség</w:t>
            </w: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Elektrosztatika</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Elektrosztatikai alapjelenségek értelmezése,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töltésmegmaradás törvénye.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Coulomb-törvény ismerete.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elektrosztatikai mező jellemzése: térerősség, erővonalak, feszültség.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Többlettöltés fémen, alkalmazások.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kapacitás fogalma, a kondenzátorok egy-két gyakorlati alkalmazásának ismerete.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egyenáram</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áramkör részei. Áram- és feszültségmérés.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Ohm törvénye. Vezetők ellenállása, fajlagos ellenállás.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Ellenállások soros és párhuzamos kapcsolása, az eredő ellenállás meghatározása egyszerű esetekben.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egyenáram munkája és teljesítménye.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egyenáram hatásai, alkalmazások.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galvánelem és az akkumulátor.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érintésvédelmi szabályok ismerete és betartása.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Félvezetők tulajdonságai, alkalmazások.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Magnetosztatika.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Egyenáram mágneses mezője</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Föld mágnessége, az iránytű használata.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magnetosztatikai mező jellemzése: a mágneses indukcióvektor és a mágneses fluxus.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elektromágnes, gyakorlati alkalmazások.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Lorentz-erő.</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elektromágneses indukció</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mozgási és a nyugalmi indukció jelenségének leírása, Lenz törvénye.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önindukció jelensége az áram ki- és bekapcsolásánál.</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váltakozó áram</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váltakozó áram jellemzése, az effektív feszültség és áramerősség.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váltakozó áram munkája, effektív teljesítménye ohmikus fogyasztó esetében.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elektromos energia gyakorlati alkalmazásai (generátor, motor, transzformátor).</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Elektromágneses hullámok</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rezgőkörben zajló folyamatok kvalitatív leírása.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elektromágneses hullámok tulajdonságai (terjedési sebesség, hullámhossz, frekvencia).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elektromágneses hullámok spektrumának és biológiai hatásainak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elektromágneses hullámok alkalmazásainak ismerete.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fény</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Fényforrások, fénynyaláb, fénysugár, a fény terjedési sebessége.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fény visszaverődése, a visszaverődés törvénye.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fénytörés, a Snellius–Descartes-törvény, a teljes visszaverődés jelensége.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Színfelbontás prizmával, homogén és összetett színek.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fény hullámjelenségeinek felismerése (interferencia, polarizáció).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Képalkotás, valódi és látszólagos kép, nagyítás fogalmának ismerete, alkalmazása.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síktükör, a gömbtükrök és a leképezési törvény ismerete.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optikai lencsék és a leképezési törvény ismerete, dioptria fogalma.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Optikai eszközök: a nagyító, a mikroszkóp, a távcső, a szem, a szemüveg,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fényképezőgép működésének alapelvei.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4. Atomfizika, magfizika</w:t>
            </w:r>
          </w:p>
        </w:tc>
      </w:tr>
      <w:tr w:rsidR="004C2997">
        <w:tblPrEx>
          <w:tblCellMar>
            <w:top w:w="0" w:type="dxa"/>
            <w:bottom w:w="0" w:type="dxa"/>
          </w:tblCellMar>
        </w:tblPrEx>
        <w:tc>
          <w:tcPr>
            <w:tcW w:w="2418"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anyag szerkezete</w:t>
            </w:r>
          </w:p>
        </w:tc>
        <w:tc>
          <w:tcPr>
            <w:tcW w:w="6654"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atom, molekula, ion, elem fogalma.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anyag atomos természetének alátámasztása konkrét jelenségekkel.</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atom szerkezete</w:t>
            </w:r>
          </w:p>
        </w:tc>
        <w:tc>
          <w:tcPr>
            <w:tcW w:w="6654"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elektromosság atomos természetének értelmezése az elektrolízis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elektron töltése és tömege.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Rutherford szórási kísérlete és atommodellje.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kvantumfizika elemei</w:t>
            </w:r>
          </w:p>
        </w:tc>
        <w:tc>
          <w:tcPr>
            <w:tcW w:w="6654"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energia kvantáltsága, Planck-formula.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fotoeffektus és értelmezése. A foton és energiája. A fény kettős természete.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vonalas színképek keletkezésének ismerete.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elektron kettős természete.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Bohr-modell sajátosságai, újszerűsége.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elektronburok szerkezete: a fő- és mellékkvantumszám és az elektronhéj fogalma, a Pauli-elv szerepe.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atommagban lejátszódó jelenségek</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atommag összetétele.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erős kölcsönhatás, nukleonok, tömeghiány és kötési energia, tömeg-energia ekvivalencia fogalmainak használata az atommag leírásában.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természetes radioaktív sugárzás (alfa, béta, gamma) leírása; felezési idő, aktivitás.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Atommag-átalakulások leírása, izotópok, alkalmazások. Maghasadás, láncreakció, atomreaktor, atombomba. Az atomenergia jelentősége, előnyei, hátrányai, összehasonlítás más energiafelhasználási módokkal.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Magfúzió, hidrogénbomba, a Nap energiája.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Sugárvédelem</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radioaktív sugárzás környezeti és biológiai hatásainak ismerete, a sugárterhelés fogalma. A sugárvédelem módszerei.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5. Gravitáció, csillagászat</w:t>
            </w: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Gravitáció</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általános tömegvonzási törvény és jelentősége.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bolygók mozgásának leírása: Kepler törvényei.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mesterséges égitestek mozgása.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Nehézségi erő, a súly, a súlytalanság értelmezése.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gravitációs gyorsulás mérése.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csillagászat elemeiből</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Naprendszer és főbb részeinek jellemzése.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csillag fogalma, összehasonlítás a Nappal.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Tejútrendszer, galaxisok.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Univerzum tágulása. Ősrobbanás-elmélet.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világűr megismerésének legfontosabb módszerei, eszközei.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6. Fizika- és kultúrtörténeti ismeretek</w:t>
            </w:r>
          </w:p>
        </w:tc>
      </w:tr>
      <w:tr w:rsidR="004C2997">
        <w:tblPrEx>
          <w:tblCellMar>
            <w:top w:w="0" w:type="dxa"/>
            <w:bottom w:w="0" w:type="dxa"/>
          </w:tblCellMar>
        </w:tblPrEx>
        <w:tc>
          <w:tcPr>
            <w:tcW w:w="242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Személyiségek</w:t>
            </w:r>
          </w:p>
        </w:tc>
        <w:tc>
          <w:tcPr>
            <w:tcW w:w="665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Arkhimédész, Kopernikusz, Kepler, Galilei, Newton, Huygens, Watt, Ohm, Joule, Ampère, Faraday, Jedlik Ányos, Eötvös Loránd, J. J. Thomson, Rutherford, Curie-család, Planck, Bohr, Einstein, Szilárd Leó, Teller Ede, Wigner Jeno a tanultakkal kapcsolatos legfontosabb eredményeinek ismerete.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Elméletek, felfedezések, találmányok</w:t>
            </w:r>
          </w:p>
        </w:tc>
        <w:tc>
          <w:tcPr>
            <w:tcW w:w="665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geo- és heliocentrikus világkép összehasonlítása.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Galilei munkásságának jelentősége: a kísérletezés szerepe.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Newton munkásságának jelentősége: ,,az égi és földi mechanika egyesítése”,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newtoni fizika hatása.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távcső, a mikroszkóp, a gőzgép, az elektromotor, a generátor,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transzformátor, az elektron, belső égésű motor, a röntgensugárzás, a radioaktivitás, a félvezetők, az atomenergia felhasználásának felfedezése, illetve feltalálása és hatásuk – összekapcsolás a megfelelő nevekkel.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követelményekben szereplő ismeretek alapján megállapítható eltérések a klasszikus fizika és a kvantummechanika között.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űrkutatás történetének legfontosabb állomásai.</w:t>
            </w:r>
          </w:p>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18"/>
        <w:gridCol w:w="18"/>
        <w:gridCol w:w="6640"/>
      </w:tblGrid>
      <w:tr w:rsidR="004C2997">
        <w:tblPrEx>
          <w:tblCellMar>
            <w:top w:w="0" w:type="dxa"/>
            <w:bottom w:w="0" w:type="dxa"/>
          </w:tblCellMar>
        </w:tblPrEx>
        <w:tc>
          <w:tcPr>
            <w:tcW w:w="2418" w:type="dxa"/>
            <w:tcBorders>
              <w:bottom w:val="nil"/>
            </w:tcBorders>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6654" w:type="dxa"/>
            <w:gridSpan w:val="2"/>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c>
          <w:tcPr>
            <w:tcW w:w="2418" w:type="dxa"/>
            <w:tcBorders>
              <w:right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Mechanika</w:t>
            </w:r>
          </w:p>
        </w:tc>
        <w:tc>
          <w:tcPr>
            <w:tcW w:w="6654" w:type="dxa"/>
            <w:gridSpan w:val="2"/>
            <w:tcBorders>
              <w:left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p>
        </w:tc>
      </w:tr>
      <w:tr w:rsidR="004C2997">
        <w:tblPrEx>
          <w:tblCellMar>
            <w:top w:w="0" w:type="dxa"/>
            <w:bottom w:w="0" w:type="dxa"/>
          </w:tblCellMar>
        </w:tblPrEx>
        <w:tc>
          <w:tcPr>
            <w:tcW w:w="2418" w:type="dxa"/>
          </w:tcPr>
          <w:p w:rsidR="004C2997" w:rsidRDefault="004C2997">
            <w:pPr>
              <w:pageBreakBefore/>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dinamika törvényei </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testek mechanikai kölcsönhatása, az erő, az erő mérése, erők összegzése, felbontása.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Newton törvényeinek értelmezése. Sztatikai tömegmérés.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Szabaderők és kényszererők.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impulzus (lendület) megmaradása, felismerése és alkalmazása feladatmegoldásban.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erőpár fogalma, a forgatónyomaték kiszámítása egyszerű esetekben.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Tömegközéppont alkalmazása homogén, egyszerű alakú testek esetében.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Testek egyensúlyi helyzetének értelmezése.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gépek működésének leírása.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Mozgások</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vonatkoztatási rendszer, pálya, út, idő, elmozdulás fogalmainak alkalmazása,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mozgás viszonylagossága.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egyenes vonalú, egyenletes mozgás leírása.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egyenes vonalú, egyenletesen változó mozgás leírása, a sebesség, gyorsulás alkalmazása.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átlagsebesség és a pillanatnyi sebesség.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szabadesés, a függőleges és a vízszintes hajítás leírása.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mozgások grafikus jellemzése.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egyenletes körmozgás leírása, a harmonikus rezgőmozgás jellemzői.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 mozgások dinamikai feltételének alkalmazása feladatmegoldásban.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súrlódást leíró összefüggések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rezonancia jelensége, felismerése gyakorlati példákban.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matematikai inga periódusideje.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frekvencia, hullámhossz, terjedési sebesség fogalmának alkalmazása.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longitudinális és transzverzális hullám leírása.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Hullámjelenségek felismerése és leírása, az interferencia létrejöttének feltétele.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hang tulajdonságainak (hangmagasság, hangerősség, hangszín) összekapcsolása fizikai jellemzőivel.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állóhullámok létrejöttének feltétele.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infra- és ultrahang jellemzői, a zajártalom.</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 és energia</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 és a teljesítmény. A hatásfok.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mozgási energia, a munkatétel.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emelési munka, a helyzeti energia.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Konzervatív erők.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lineárisan változó erő munkája, a rugalmas energia.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mechanikai energia megmaradása, a törvény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speciális relativitáselmélet alapgondolatai</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fénysebesség szerepe, az időtartam, a hosszúság, a tömeg relativisztikus jellege, tapasztalati alátámasztások ismerete.</w:t>
            </w: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Hőtan, termodinamika</w:t>
            </w: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Állapotjelzők, termodinamikai egyensúly</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állapotjelzők ismerete, alkalmazásuk.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Hőmérők és használatuk. A Kelvin-skála.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Avogadro-törvény, anyagmennyiség.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termikus egyensúly értelmezése.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Hőtágulás</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Szilárd testek vonalas és térfogati hőtágulásának leírása.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Folyadékok hőtágulásának leírása.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hőtágulási jelenségek gyakorlati jelentősége, a hőtágulást leíró összefüggések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Összefüggés a gázok állapotjelzői között</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ideális gáz speciális állapotváltozásainak leírása,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p-V-diagramok értelmezése, készítése.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egyesített gáztörvény alkalmazása egyszerűbb problémákban.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állapotegyenlet ismerete, alkalmazása.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kinetikus gázmodell</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hőmozgás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állapotjelzők kvalitatív értelmezése a modell alapján.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Termikus és mechanikai kölcsönhatások</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hőközlés, hőmennyiség, fajhő fogalmainak ismerete,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belső energia értelmezése.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térfogati munka értelmezése.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termodinamika I. főtétele és jelentősége, alkalmazása.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Nyílt folyamatok ideális gázokkal: izoterm, izochor, izobár, adiabatikus folyamatok energetikai jellemzése.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gázok állandó nyomáson és állandó térfogaton mért fajhőjének megkülönböztetése.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Speciális körfolyamatok értelmezése. Az elsőfajú perpetuum mobile lehetetlensége.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Halmazállapot-változások </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halmazállapotok tulajdonságainak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Olvadás és fagyás.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Párolgás és lecsapódás. Forrás.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 folyamatok energetikai vizsgálata.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nyomás szerepének kvalitatív leírása.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gáz és a gőz különbsége, a telítetté válás kvalitatív leírása.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víz különleges tulajdonságainak ismerete, ezek jelentősége.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levegő páratartalma.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légkört érő káros behatások és következményeik.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termodinamika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II. főtétele</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Irreverzibilis és reverzibilis folyamatok megkülönböztetése.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Rendezettség, rendezetlenség kvalitatív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másodfajú perpetuum mobile lehetetlensége.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hőerőgépek működésének leírása konkrét esetekre.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hűtőgép működési elve.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Elektromágnesség</w:t>
            </w: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Elektrosztatika</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Elektrosztatikai alapjelenségek értelmezése,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töltésmegmaradás törvénye.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Coulomb-törvény alkalmazása.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elektrosztatikai mező jellemzése: térerősség, erővonalak, feszültség, potenciál, ekvipotenciális felületek.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Többlettöltés fémen, alkalmazások.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kapacitás fogalma, a kondenzátorok egy-két gyakorlati alkalmazásának ismerete. A szigetelő hatása, a síkkondenzátor kapacitása.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Töltések mozgása elektromos mezőben.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egyenáram</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áramkör részei. Áram- és feszültségmérés.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Ohm törvénye teljes áramkörre, ellenállásmérés. Vezetők ellenállása, fajlagos ellenállás.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Ellenállások soros és párhuzamos kapcsolása, az eredő ellenállás meghatározása.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fémek ellenállásának hőmérsékletfüggése.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egyenáram munkája és teljesítménye.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egyenáram hatásai, alkalmazások.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galvánelem és az akkumulátor.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érintésvédelmi szabályok ismerete és betartása.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Félvezetők tulajdonságai, alkalmazások.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Magnetosztatika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Egyenáram mágneses mezője</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Föld mágnessége, az iránytű használata.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magnetosztatikai mező jellemzése: a mágneses indukcióvektor és a mágneses fluxus.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Speciális alakú áramvezetők mágneses mezője.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Elektromágnes, gyakorlati alkalmazások.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Lorentz-erő és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elektromágneses indukció</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mozgási és a nyugalmi indukció jelenségének leírása, Lenz törvénye.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elektrosztatikus mező és az indukált elektromos mező összehasonlítása.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összefüggések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Az önindukció jelensége az áram ki- és bekapcsolásánál.</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váltakozó áram</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váltakozó áram jellemzése, időbeli lefolyásának leírása, az effektív feszültség és áramerősség.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váltakozó áram munkája, effektív teljesítménye.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elektromos energia gyakorlati alkalmazásai (generátor, motor, transzformátor).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tekercs és a kondenzátor váltakozó árammal szembeni viselkedésének magyarázata.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Elektromágneses hullámok</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rezgőkörben zajló folyamatok leírása, az antenna szerepe, az elektromágneses hullámok tulajdonságai (terjedési sebesség, hullámhossz, frekvencia).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gyorsuló töltés és az elektromágneses hullám kapcsolata.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elektromágneses hullámok spektrumának és biológiai hatásainak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elektromágneses hullámok alkalmazásainak ismerete.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fény</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Fényforrások, fénynyaláb, fénysugár, a fénysebesség mérése.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fény visszaverődése, a visszaverődés törvénye.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fénytörés, a Snellius–Descartes-törvény, a teljes visszaverődés jelensége. Prizma, plánparalel lemez.</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Színfelbontás prizmával, homogén és összetett színek.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fény hullámjelenségeinek ismerete (interferencia, elhajlás, polarizáció).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lézerfény sajátosságai.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Képalkotás, valódi és látszólagos kép, nagyítás fogalmának ismerete, alkalmazása.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síktükör, a gömbtükrök és a leképezési törvény ismerete.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optikai lencsék és a leképezési törvény ismerete, dioptria fogalma.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Optikai eszközök: a nagyító, a mikroszkóp, a távcső, a szem, a szemüveg,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fényképezőgép működésének alapelvei.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Atomfizika, magfizika</w:t>
            </w:r>
          </w:p>
        </w:tc>
      </w:tr>
      <w:tr w:rsidR="004C2997">
        <w:tblPrEx>
          <w:tblCellMar>
            <w:top w:w="0" w:type="dxa"/>
            <w:bottom w:w="0" w:type="dxa"/>
          </w:tblCellMar>
        </w:tblPrEx>
        <w:tc>
          <w:tcPr>
            <w:tcW w:w="2418"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anyag szerkezete</w:t>
            </w:r>
          </w:p>
        </w:tc>
        <w:tc>
          <w:tcPr>
            <w:tcW w:w="6654" w:type="dxa"/>
            <w:gridSpan w:val="2"/>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atom, molekula, ion, elem fogalma.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anyag atomos természetének alátámasztása konkrét jelenségekkel. Egyszerű számítások elvégzése.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atom szerkezete</w:t>
            </w:r>
          </w:p>
        </w:tc>
        <w:tc>
          <w:tcPr>
            <w:tcW w:w="6654" w:type="dxa"/>
            <w:gridSpan w:val="2"/>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elektromosság atomos természetének értelmezése az elektrolízis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elektron töltése és tömege, az ezzel kapcsolatos kísérletek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Rutherford szórási kísérlete és atommodellje.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kvantumfizika elemei</w:t>
            </w:r>
          </w:p>
        </w:tc>
        <w:tc>
          <w:tcPr>
            <w:tcW w:w="6654" w:type="dxa"/>
            <w:gridSpan w:val="2"/>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energia kvantáltsága, Planck-formula.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fotoeffektus és értelmezése. A foton tömege és energiája, a kilépési munka meghatározása. A fény kettős természete.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kibocsátási és elnyelési színképek keletkezésének ismerete, a hullámhossz és az energia kapcsolata.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elektron kettős természete, a de Broglie-hullámhossz.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Heisenberg-féle határozatlansági reláció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Bohr-modell sajátosságai, újszerűsége, korlátai.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elektronburok szerkezete: a fő- és mellékkvantumszám és az elektronhéj fogalma, a Pauli-elv szerepe. Az elektron ,,tartózkodási helyének” jelentése.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Az atommagban lejátszódó jelenségek</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atommag összetétele.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erős kölcsönhatás, nukleonok, tömeghiány és kötési energia, tömeg-energia ekvivalencia fogalmainak használata az atommag leírásában.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természetes radioaktív sugárzás (alfa, béta, gamma) leírása; felezési idő, aktivitás, bomlási törvény.</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Atommag-átalakulások leírása, izotópok, alkalmazások.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atomenergia felhasználásának ismerete: maghasadás, láncreakció, atomreaktor, atombomba. Az atomenergia jelentősége, előnyei, hátrányai, összehasonlítás más energiafelhasználási módokkal.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Magfúzió, hidrogénbomba, a Nap energiája.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Sugárvédelem</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radioaktív sugárzás környezeti és biológiai hatásainak ismerete,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sugárterhelés fogalma, mennyiségi jellemzés. A sugárvédelem módszerei.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5. Gravitáció, csillagászat</w:t>
            </w: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Gravitáció</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általános tömegvonzási törvény és jelentősége, a gravitációs állandó mérése.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bolygók mozgásának leírása: Kepler törvényei.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mesterséges égitestek mozgása.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Nehézségi erő, a súly, a súlytalanság értelmezése.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gravitációs gyorsulás mérése.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csillagászat elemeiből</w:t>
            </w: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Naprendszer és főbb részeinek jellmezése.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csillag fogalma, összehasonlítás a Nappal.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Tejútrendszer, galaxisok.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Univerzum tágulása. Ősrobbanás-elmélet.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világűr megismerésének legfontosabb módszerei, eszközei.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6. Fizika- és kultúrtörténeti ismeretek</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Személyiségek</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Arkhimédész, Kopernikusz, Kepler, Galilei, Newton, Huygens, Watt, Ohm, Joule, Ampère, Faraday, Jedlik Ányos, Maxwell, Hertz, Eötvös Loránd,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 J. Thomson, Rutherford, Curie-család, Planck, Heisenberg, Bohr, Einstein, Szilárd Leó, Teller Ede, Wigner Jenő, Gábor Dénes a tanultakkal kapcsolatos legfontosabb eredményeinek ismerete.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36"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Elméletek, felfedezések, találmányok</w:t>
            </w:r>
          </w:p>
        </w:tc>
        <w:tc>
          <w:tcPr>
            <w:tcW w:w="6636"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geo- és heliocentrikus világkép összehasonlítása.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Galilei munkásságának jelentősége: a kísérletezés szerepe.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Newton munkásságának jelentősége: ,,az égi és földi mechanika egyesítése”,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newtoni fizika hatása.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Maxwell és Hertz munkásságának jelentősége.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távcső, a mikroszkóp, a gőzgép, az elektromotor, a generátor,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transzformátor, az elektron, belső égésű motor, a röntgensugárzás,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radioaktivitás, a félvezetők, az atomenergia felhasználásának felfedezése, illetve feltalálása és hatásuk – összekapcsolás a megfelelő nevekkel.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követelményekben szereplő ismeretek alapján megállapítható eltérések a klasszikus fizika és a kvantummechanika, illetve a klasszikus fizika és a relativitáselmélet között.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űrkutatás történetének legfontosabb állomásai.</w:t>
            </w:r>
          </w:p>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KÉMIA</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kémia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 középszintű érettségi vizsgán elsősorban a </w:t>
      </w:r>
      <w:r>
        <w:rPr>
          <w:rFonts w:ascii="Times New Roman" w:hAnsi="Times New Roman" w:cs="Times New Roman"/>
          <w:i/>
          <w:iCs/>
          <w:sz w:val="20"/>
          <w:szCs w:val="20"/>
        </w:rPr>
        <w:t>megismert</w:t>
      </w:r>
      <w:r>
        <w:rPr>
          <w:rFonts w:ascii="Times New Roman" w:hAnsi="Times New Roman" w:cs="Times New Roman"/>
          <w:sz w:val="20"/>
          <w:szCs w:val="20"/>
        </w:rPr>
        <w:t xml:space="preserve"> elemek és vegyületek tulajdonságait kell értelmeznie, illetve kísérletekkel igazolnia a vizsgázónak. Ehhez szükség van a kizárólag általános iskolában tanult anyagrészek szintézisére, a középiskolában tanult ismeretek alapján történő újraértelmezésére.</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középszintű vizsga hivatott mérni, hogy a vizsgázó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ismereteit szóban és írásban előadni;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természettudományos gondolkodás alapjaival;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természettudományos megismerési módszereket;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kémiatudomány legfontosabb történeti vonatkozásait;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az alapvető kémiai fogalmakat és összefüggéseket;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értelmezni a megismert anyagok tulajdonságait és változásait;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képes-e egyszerű kémiai számításokat elvégezni;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képes-e egyszerű kémiai kísérleteket elvégezni, illetve értelmezni;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munkájához kiválasztani és használni táblázatok adatait;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kémiai elveken és módszereken alapuló környezetvédelem legfontosabb összefüggéseit;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kémiai ismeretei alkalmasak-e korszerű ökológiai világkép kialakulásához.</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Az emelt szintű vizsgán a kémiatanulás során megismert elemek és vegyületek tulajdonságainak ismeretén túl a vizsgázó legyen képes megbecsülni különböző elemek, vegyületek tulajdonságait. </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emelt szintű vizsga hivatott mérni, hogy a vizsgázó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ismereteit szóban és írásban előadni;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természettudományos gondolkodás alapjaival;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kémiatudomány legfontosabb történeti vonatkozásait;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és tudja-e alkalmazni a természettudományos megismerési módszereket, rendelkezik-e a felsőoktatási tanulmányokhoz szükséges természettudományos alapismeretekkel;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az alapvető kémiai fogalmakat és összefüggéseket;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használni a megismert kémiai fogalmakat és összefüggéseket az elemek és vegyületek tulajdonságainak és változásainak értelmezésénél;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egyszerű kémiai kísérleteket tervezni, szakszerűen elvégezni, illetve értelmezni;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kémiai számításokat elvégezni, számításai végeredményét megfelelő pontossággal megadni;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munkájához kiválasztani és használni táblázatok adatait;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kémiai elveken és módszereken alapuló környezetvédelem legfontosabb összefüggéseit, a kémiatudomány gyakorlati és műszaki alkalmazásait, hasznosságát, veszélyeit, azok elkerülésének módjait, a kémiatudomány és a vegyipar fejlődésének irányát, az európai normák érvényesülését;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kémiai ismeretei alkalmasak-e korszerű ökológiai világkép kialakulásához.</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tbl>
      <w:tblPr>
        <w:tblW w:w="0" w:type="auto"/>
        <w:jc w:val="center"/>
        <w:tblLayout w:type="fixed"/>
        <w:tblCellMar>
          <w:left w:w="28" w:type="dxa"/>
          <w:right w:w="28" w:type="dxa"/>
        </w:tblCellMar>
        <w:tblLook w:val="0000" w:firstRow="0" w:lastRow="0" w:firstColumn="0" w:lastColumn="0" w:noHBand="0" w:noVBand="0"/>
      </w:tblPr>
      <w:tblGrid>
        <w:gridCol w:w="7"/>
        <w:gridCol w:w="2348"/>
        <w:gridCol w:w="6727"/>
      </w:tblGrid>
      <w:tr w:rsidR="004C2997">
        <w:tblPrEx>
          <w:tblCellMar>
            <w:top w:w="0" w:type="dxa"/>
            <w:bottom w:w="0" w:type="dxa"/>
          </w:tblCellMar>
        </w:tblPrEx>
        <w:trPr>
          <w:gridBefore w:val="1"/>
          <w:wBefore w:w="6" w:type="dxa"/>
          <w:cantSplit/>
          <w:jc w:val="center"/>
        </w:trPr>
        <w:tc>
          <w:tcPr>
            <w:tcW w:w="2347" w:type="dxa"/>
            <w:tcBorders>
              <w:top w:val="single" w:sz="6" w:space="0" w:color="auto"/>
              <w:left w:val="single" w:sz="6" w:space="0" w:color="auto"/>
              <w:bottom w:val="single" w:sz="6" w:space="0" w:color="auto"/>
              <w:right w:val="single" w:sz="6" w:space="0" w:color="auto"/>
            </w:tcBorders>
            <w:shd w:val="pct20"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6721" w:type="dxa"/>
            <w:tcBorders>
              <w:top w:val="single" w:sz="6" w:space="0" w:color="auto"/>
              <w:left w:val="nil"/>
              <w:bottom w:val="single" w:sz="6" w:space="0" w:color="auto"/>
              <w:right w:val="single" w:sz="6" w:space="0" w:color="auto"/>
            </w:tcBorders>
            <w:shd w:val="pct20"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9070" w:type="dxa"/>
            <w:gridSpan w:val="2"/>
            <w:tcBorders>
              <w:top w:val="nil"/>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Általános kémia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vMerge w:val="restart"/>
            <w:tcBorders>
              <w:top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Atomok és a belőlük származtatható ionok</w:t>
            </w:r>
          </w:p>
        </w:tc>
        <w:tc>
          <w:tcPr>
            <w:tcW w:w="6722"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elemi részecskék szerepe az atom felépítésében.</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vMerge/>
            <w:tcBorders>
              <w:top w:val="nil"/>
              <w:bottom w:val="nil"/>
              <w:right w:val="nil"/>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p>
        </w:tc>
        <w:tc>
          <w:tcPr>
            <w:tcW w:w="6722"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atomszerkezet kiépülésének törvényszerűségei.</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top w:val="nil"/>
              <w:bottom w:val="nil"/>
              <w:right w:val="nil"/>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p>
        </w:tc>
        <w:tc>
          <w:tcPr>
            <w:tcW w:w="6722"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Hasonlóságok és különbségek megállapítása az anyagi tulajdonságokban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periódusos rendszer alapján.</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top w:val="nil"/>
              <w:right w:val="nil"/>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p>
        </w:tc>
        <w:tc>
          <w:tcPr>
            <w:tcW w:w="6722" w:type="dxa"/>
            <w:tcBorders>
              <w:top w:val="nil"/>
              <w:left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periódusos rendszerben megmutatkozó tendenciák.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periódusos rendszer használata a tulajdonságok meghatározásához.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Molekulák és összetett ionok</w:t>
            </w:r>
          </w:p>
        </w:tc>
        <w:tc>
          <w:tcPr>
            <w:tcW w:w="672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szervetlen és szerves molekulák, valamint az ammónium- és az oxóniumion szerkezete.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molekulák és a megismert összetett ionok összegképlete, a megismert molekulák szerkezeti képlete.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bottom w:val="nil"/>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Halmazok</w:t>
            </w:r>
          </w:p>
        </w:tc>
        <w:tc>
          <w:tcPr>
            <w:tcW w:w="672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anyagi halmazok tulajdonságai és az azokat felépítő részecskék szerkezete közötti kapcsolat értelmezése modellek alapján.</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anyagi halmazok csoportosítása és jellemzése különböző szempontok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(pl. komponensek száma, halmazállapot, homogenitás) szerint.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oldatok és a kolloid rendszerek legfontosabb tulajdonságai.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kémiai reakciók</w:t>
            </w:r>
          </w:p>
        </w:tc>
        <w:tc>
          <w:tcPr>
            <w:tcW w:w="672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kísérlet elvégzése leírás alapján, a tapasztalatok értelmezése.</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kémiai reakciók jelölése</w:t>
            </w: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Sztöchiometriai és egyszerűbb ionegyenletek felírása, rendezése.</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Termokémia</w:t>
            </w: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termokémiai fogalmak és törvények ismerete, alkalmazásuk egyszerűbb esetekben.</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Reakciókinetika</w:t>
            </w: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reakciók végbemenetelének feltételei.</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reakciósebességet befolyásoló tényezők.</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Kémiai egyensúly</w:t>
            </w: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dinamikus egyensúly értelmezése a megismert reakciókra.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2"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egyensúlyi állandó és az egyensúlyi koncentrációk közötti kapcsolat.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ipari szempontból fontos gyártási folyamatok optimális paramétereinek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top w:val="single" w:sz="4" w:space="0" w:color="auto"/>
              <w:bottom w:val="nil"/>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Reakciótípusok</w:t>
            </w: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kémiai reakciók csoportosítása különböző szempontok (pl. irány, reakcióhő, sebesség, részecskeátmenet stb.) szerint.</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megismert anyagok csoportosítása kémiai viselkedésük alapján (sav, bázis, oxidálószer, redukálószer stb.). </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megismert kémiai folyamatok besorolása különböző reakciótípusokba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(pl. protolitikus, redoxi stb.).</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Protonátmenettel járó reakciók</w:t>
            </w: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vizes közegben lejátszódó protolitikus reakciók értelmezése egyszerűbb, illetve tanult példák alapján (pH, kémhatás, közömbösítés, hidrolízis).</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Elektronátmenettel járó reakciók</w:t>
            </w: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redoxi-reakciók értelmezése (elektronátmenet, oxidációsszám-változás).</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vMerge w:val="restart"/>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kémiai reakciók és az elektromos energia kölcsönhatása</w:t>
            </w:r>
          </w:p>
        </w:tc>
        <w:tc>
          <w:tcPr>
            <w:tcW w:w="672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kémiai energia és az elektromos energia kapcsolata (galvánelem, elektrolizáló cella működése).</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vMerge/>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redoxireakciók iránya és a standardpotenciálok közötti összefüggés.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Táblázatok adatainak használata a redoxifolyamatok irányának meghatározására.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gyakorlati életben használt galvánelemek (akkumulátorok).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Korróziós jelenségek, korrózióvédelem.</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elektrolízis során végbemenő elektródfolyamatok felírása és értelmezése a keletkező termékek ismeretében.</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2"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elektrolízis mennyiségi törvényei.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5"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Tudománytörténet</w:t>
            </w: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követelményekkel kapcsolatos tudománytörténeti vonatkozások megnevezése (pl. Mengyelejev, Hevesy György, Faraday, Arrhenius, Brönsted, Avogadro).</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9079" w:type="dxa"/>
            <w:gridSpan w:val="3"/>
            <w:tcBorders>
              <w:bottom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Szervetlen kémia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235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elemek és vegyületek szerkezete </w:t>
            </w:r>
          </w:p>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(az atom-, a molekula- és a halmazszerkezet kapcsolata)</w:t>
            </w:r>
          </w:p>
        </w:tc>
        <w:tc>
          <w:tcPr>
            <w:tcW w:w="672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megismert elemek és vegyületek tulajdonságainak és reakcióinak magyarázata az általános kémiai ismeretek alapján.</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235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elemek és vegyületek fizikai tulajdonságai és ezek anyagszerkezeti értelmezése</w:t>
            </w:r>
          </w:p>
        </w:tc>
        <w:tc>
          <w:tcPr>
            <w:tcW w:w="672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általános kémiában tanult fogalmak, összefüggések, szabályok alkalmazása a megismert elemek és vegyületek tulajdonságainak és reakcióinak magyarázatára.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2352"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elemek és vegyületek kémiai sajátságai </w:t>
            </w:r>
          </w:p>
        </w:tc>
        <w:tc>
          <w:tcPr>
            <w:tcW w:w="6727"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Megismert elemek jellemzése a periódusos rendszer adatai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Egyszerűbb kísérletek elvégzése leírás alapján és a tapasztalatok anyagszerkezeti értelmezése. A természettudományos megfigyelési, kísérleti és elemzési módszerek alkalmazása.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2352"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p>
        </w:tc>
        <w:tc>
          <w:tcPr>
            <w:tcW w:w="6727"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megfigyelések, mérések során nyert adatok rendezése, ábrázolása, értelmezése.</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2352"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7"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Képlet- és adatgyűjtemény, szaklexikon önálló használata.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2352"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7"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anyagok tulajdonságainak összehasonlítása és értelmezése táblázat adatai alapján.</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2352"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7"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képlet alapján a megismert vegyületek besorolása a megfelelő rácstípusba és főbb tulajdonságaik jellemzése.</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2352"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7"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megismert vegyületek képleteinek, a reakciók reakcióegyenleteinek felírása.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235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elemek és vegyületek előfordulása </w:t>
            </w:r>
          </w:p>
        </w:tc>
        <w:tc>
          <w:tcPr>
            <w:tcW w:w="672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megismert elemek előfordulásának formái.</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235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elemek és vegyületek laboratóriumi és ipari előállítása</w:t>
            </w:r>
          </w:p>
        </w:tc>
        <w:tc>
          <w:tcPr>
            <w:tcW w:w="672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elemek, szervetlen vegyületek laboratóriumi és ipari előállításának elvi alapjai és módjai.</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235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elemek és szervetlen vegyületek legfontosabb felhasználásai</w:t>
            </w:r>
          </w:p>
        </w:tc>
        <w:tc>
          <w:tcPr>
            <w:tcW w:w="672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Annak ismerete, hogyan kell felelősségteljesen használni a környezetben előforduló elemeket és szervetlen vegyületeket.</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2352"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elemek és vegyületek jelentősége</w:t>
            </w:r>
          </w:p>
        </w:tc>
        <w:tc>
          <w:tcPr>
            <w:tcW w:w="6727"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Megismert elemek és vegyületek felhasználása, élettani hatása, gyógyító, károsító hatása.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környezetkárosító anyagok hatásai és a megelőzés módjai.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energiatermelés szervetlen kémiai vonatkozásai.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környezetszennyezés okai, környezetvédelem.</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235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Tudománytörténet</w:t>
            </w:r>
          </w:p>
        </w:tc>
        <w:tc>
          <w:tcPr>
            <w:tcW w:w="672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követelményekkel kapcsolatos tudománytörténeti vonatkozások megnevezése (pl. Hevesy György, Irinyi János, Semmelweis Ignác).</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4" w:type="dxa"/>
          <w:cantSplit/>
          <w:jc w:val="center"/>
        </w:trPr>
        <w:tc>
          <w:tcPr>
            <w:tcW w:w="9071"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Szerves kémia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4"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szerves vegyületek szerkezete és csoportosításuk</w:t>
            </w:r>
          </w:p>
        </w:tc>
        <w:tc>
          <w:tcPr>
            <w:tcW w:w="6723"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szerves anyag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szerves vegyületek csoportosítása a szénatomok közötti kötések szerint.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funkciós csoport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szerves vegyületek csoportosítása a funkciós csoportok szerint.</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4"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3"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szerves vegyületek elnevezésének alapelvei és annak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mindennapi életben használt vegyületek köznapi neve.</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4"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3"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főbb vegyületcsoportok általános képlete.</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4"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3"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konstitúció, a konfiguráció és a konformáció. </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4"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3"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Szerkezeti képlet írása.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4" w:type="dxa"/>
          <w:cantSplit/>
          <w:jc w:val="center"/>
        </w:trPr>
        <w:tc>
          <w:tcPr>
            <w:tcW w:w="234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3"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izoméria különböző típusai, annak példával történő illusztrálása.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konstitúciós izomerek felismerése.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4" w:type="dxa"/>
          <w:cantSplit/>
          <w:jc w:val="center"/>
        </w:trPr>
        <w:tc>
          <w:tcPr>
            <w:tcW w:w="234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szerves vegyületek fizikai tulajdonságai </w:t>
            </w:r>
          </w:p>
        </w:tc>
        <w:tc>
          <w:tcPr>
            <w:tcW w:w="672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Megismert vegyületek fizikai tulajdonságainak molekula- és halmazszerkezeti értelmezése.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4" w:type="dxa"/>
          <w:cantSplit/>
          <w:jc w:val="center"/>
        </w:trPr>
        <w:tc>
          <w:tcPr>
            <w:tcW w:w="2348" w:type="dxa"/>
            <w:vMerge w:val="restart"/>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szerves vegyületek kémiai sajátosságai </w:t>
            </w:r>
          </w:p>
        </w:tc>
        <w:tc>
          <w:tcPr>
            <w:tcW w:w="6723"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szerves vegyületek kémiai reakciói a szénváz és a funkciós csoportok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kémiai változások reakcióegyenleteinek felírása a megismert vegyületek példáján.</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4" w:type="dxa"/>
          <w:cantSplit/>
          <w:jc w:val="center"/>
        </w:trPr>
        <w:tc>
          <w:tcPr>
            <w:tcW w:w="2348" w:type="dxa"/>
            <w:vMerge/>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3"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kísérletek elvégzése leírás alapján, ezek eredményének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4" w:type="dxa"/>
          <w:cantSplit/>
          <w:jc w:val="center"/>
        </w:trPr>
        <w:tc>
          <w:tcPr>
            <w:tcW w:w="234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szerves vegyületek előfordulása </w:t>
            </w:r>
          </w:p>
        </w:tc>
        <w:tc>
          <w:tcPr>
            <w:tcW w:w="672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legismertebb szerves vegyületek előfordulási területei.</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4" w:type="dxa"/>
          <w:cantSplit/>
          <w:jc w:val="center"/>
        </w:trPr>
        <w:tc>
          <w:tcPr>
            <w:tcW w:w="234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szerves vegyületek jelentősége</w:t>
            </w:r>
          </w:p>
        </w:tc>
        <w:tc>
          <w:tcPr>
            <w:tcW w:w="672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mindennapi életben fontos vegyületek felhasználása, élettani, gyógyító, károsító hatása (pl. drogok).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energiatermelés szerves kémiai vonatkozásai, megújuló energiaforrások.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4" w:type="dxa"/>
          <w:cantSplit/>
          <w:jc w:val="center"/>
        </w:trPr>
        <w:tc>
          <w:tcPr>
            <w:tcW w:w="2348"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szerves vegyületek laboratóriumi és ipari előállítása</w:t>
            </w:r>
          </w:p>
        </w:tc>
        <w:tc>
          <w:tcPr>
            <w:tcW w:w="6723"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egyes szerves vegyületcsoportok legismertebb tagjai, laboratóriumi és ipari előállításának elvi alapjai és előállítási módjai.</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2352" w:type="dxa"/>
            <w:gridSpan w:val="2"/>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Tudománytörténet</w:t>
            </w:r>
          </w:p>
        </w:tc>
        <w:tc>
          <w:tcPr>
            <w:tcW w:w="6727"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követelményekkel kapcsolatos tudománytörténeti vonatkozások megnevezése (pl. Szent-Györgyi Albert, E. Fischer, F. Sanger, A. Nobel).</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7" w:type="dxa"/>
          <w:cantSplit/>
          <w:jc w:val="center"/>
        </w:trPr>
        <w:tc>
          <w:tcPr>
            <w:tcW w:w="9066"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Kémiai számítások</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7" w:type="dxa"/>
          <w:cantSplit/>
          <w:jc w:val="center"/>
        </w:trPr>
        <w:tc>
          <w:tcPr>
            <w:tcW w:w="2346"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Általános követelmények</w:t>
            </w:r>
          </w:p>
        </w:tc>
        <w:tc>
          <w:tcPr>
            <w:tcW w:w="672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SI-mértékegységek használata.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periódusos rendszer adatainak használata a számításokhoz.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feladatok szövegének, adatainak helyes értelmezése.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7" w:type="dxa"/>
          <w:cantSplit/>
          <w:jc w:val="center"/>
        </w:trPr>
        <w:tc>
          <w:tcPr>
            <w:tcW w:w="2346"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anyagmennyiség</w:t>
            </w:r>
          </w:p>
        </w:tc>
        <w:tc>
          <w:tcPr>
            <w:tcW w:w="67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tömeg, az anyagmennyiség, a részecskeszám és a térfogat közti összefüggések (moláris tömeg, sűrűség, Avogadro-állandó) és alkalmazásuk.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7" w:type="dxa"/>
          <w:cantSplit/>
          <w:jc w:val="center"/>
        </w:trPr>
        <w:tc>
          <w:tcPr>
            <w:tcW w:w="2346"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Avogadro-törvény</w:t>
            </w:r>
          </w:p>
        </w:tc>
        <w:tc>
          <w:tcPr>
            <w:tcW w:w="672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Avogadro-törvény, illetve az Avogadro-törvényből következő összefüggések (gázok moláris térfogata, sűrűsége, relatív sűrűsége) alkalmazása egyszerűbb feladatokban.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7" w:type="dxa"/>
          <w:cantSplit/>
          <w:jc w:val="center"/>
        </w:trPr>
        <w:tc>
          <w:tcPr>
            <w:tcW w:w="2346"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Oldatok, elegyek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(százalékos összetételek, koncentráció, oldhatóság stb.)</w:t>
            </w:r>
          </w:p>
        </w:tc>
        <w:tc>
          <w:tcPr>
            <w:tcW w:w="672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oldatok százalékos összetételének és koncentrációjának alkalmazása egyszerűbb feladatokban.</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7" w:type="dxa"/>
          <w:cantSplit/>
          <w:jc w:val="center"/>
        </w:trPr>
        <w:tc>
          <w:tcPr>
            <w:tcW w:w="2346"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képlettel és reakcióegyenlettel kapcsolatos számítások</w:t>
            </w:r>
          </w:p>
        </w:tc>
        <w:tc>
          <w:tcPr>
            <w:tcW w:w="67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vegyületek összegképlete és százalékos összetétele közötti kapcsolat és annak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kémiai egyenlet jelentései, ez alapján egyszerűbb számítási feladatok megoldása.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7" w:type="dxa"/>
          <w:cantSplit/>
          <w:jc w:val="center"/>
        </w:trPr>
        <w:tc>
          <w:tcPr>
            <w:tcW w:w="2346"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Termokémia</w:t>
            </w:r>
          </w:p>
        </w:tc>
        <w:tc>
          <w:tcPr>
            <w:tcW w:w="672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reakcióhő és a képződéshők közötti kapcsolat és alkalmazása, a reakcióhő alkalmazása egyszerű kémiai számítási feladatokban.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7" w:type="dxa"/>
          <w:cantSplit/>
          <w:jc w:val="center"/>
        </w:trPr>
        <w:tc>
          <w:tcPr>
            <w:tcW w:w="2346"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Kémiai egyensúly,</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pH-számítás</w:t>
            </w:r>
          </w:p>
        </w:tc>
        <w:tc>
          <w:tcPr>
            <w:tcW w:w="672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egész értékű pH és az oldatok oxónium-, illetve hidroxidion-koncentrációja közötti kapcsolat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gridBefore w:val="1"/>
          <w:wBefore w:w="7" w:type="dxa"/>
          <w:cantSplit/>
          <w:jc w:val="center"/>
        </w:trPr>
        <w:tc>
          <w:tcPr>
            <w:tcW w:w="2346"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Elektrokémia</w:t>
            </w:r>
          </w:p>
        </w:tc>
        <w:tc>
          <w:tcPr>
            <w:tcW w:w="672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standardpotenciál és galvánelemek elektromotoros ereje közötti kapcsolat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tbl>
      <w:tblPr>
        <w:tblW w:w="0" w:type="auto"/>
        <w:jc w:val="center"/>
        <w:tblLayout w:type="fixed"/>
        <w:tblCellMar>
          <w:left w:w="28" w:type="dxa"/>
          <w:right w:w="28" w:type="dxa"/>
        </w:tblCellMar>
        <w:tblLook w:val="0000" w:firstRow="0" w:lastRow="0" w:firstColumn="0" w:lastColumn="0" w:noHBand="0" w:noVBand="0"/>
      </w:tblPr>
      <w:tblGrid>
        <w:gridCol w:w="2346"/>
        <w:gridCol w:w="7"/>
        <w:gridCol w:w="6729"/>
      </w:tblGrid>
      <w:tr w:rsidR="004C2997">
        <w:tblPrEx>
          <w:tblCellMar>
            <w:top w:w="0" w:type="dxa"/>
            <w:bottom w:w="0" w:type="dxa"/>
          </w:tblCellMar>
        </w:tblPrEx>
        <w:trPr>
          <w:cantSplit/>
          <w:jc w:val="center"/>
        </w:trPr>
        <w:tc>
          <w:tcPr>
            <w:tcW w:w="2349" w:type="dxa"/>
            <w:gridSpan w:val="2"/>
            <w:tcBorders>
              <w:top w:val="single" w:sz="6" w:space="0" w:color="auto"/>
              <w:left w:val="single" w:sz="6" w:space="0" w:color="auto"/>
              <w:bottom w:val="single" w:sz="6" w:space="0" w:color="auto"/>
              <w:right w:val="single" w:sz="6" w:space="0" w:color="auto"/>
            </w:tcBorders>
            <w:shd w:val="pct20"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6721" w:type="dxa"/>
            <w:tcBorders>
              <w:top w:val="single" w:sz="6" w:space="0" w:color="auto"/>
              <w:left w:val="nil"/>
              <w:bottom w:val="single" w:sz="6" w:space="0" w:color="auto"/>
              <w:right w:val="single" w:sz="6" w:space="0" w:color="auto"/>
            </w:tcBorders>
            <w:shd w:val="pct20"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9076" w:type="dxa"/>
            <w:gridSpan w:val="3"/>
            <w:tcBorders>
              <w:top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Általános kémia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2347"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Atomok és a belőlük származtatható ionok</w:t>
            </w:r>
          </w:p>
        </w:tc>
        <w:tc>
          <w:tcPr>
            <w:tcW w:w="6729" w:type="dxa"/>
            <w:tcBorders>
              <w:top w:val="nil"/>
              <w:left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elemi részecskék szerepe az atom felépítésében.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atomszerkezet kiépülésének törvényszerűségei.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Hasonlóságok és különbségek megállapítása az anyagi tulajdonságokban a periódusos rendszer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periódusos rendszerben megmutatkozó tendenciák.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periódusos rendszer használata az atomok tulajdonságainak meghatározásában.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Molekulák és összetett ionok</w:t>
            </w:r>
          </w:p>
        </w:tc>
        <w:tc>
          <w:tcPr>
            <w:tcW w:w="672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Egyszerűbb molekulák, összetett ionok képletének megadása, szerkezetük jellemzése az atom- és molekulaszerkezeti ismeretek alapján.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7" w:type="dxa"/>
            <w:gridSpan w:val="2"/>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Halmazok</w:t>
            </w:r>
          </w:p>
        </w:tc>
        <w:tc>
          <w:tcPr>
            <w:tcW w:w="6729"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anyagi halmazok tulajdonságai és az azokat felépítő részecskék szerkezete közötti kapcsolat.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anyagi halmazok csoportosítása és jellemzése különböző szempontok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(pl. komponensek száma, halmazállapot, homogenitás stb.) szerint.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oldatok és a kolloid rendszerek legfontosabb tulajdonságai.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atomszerkezeti ismeretek alapján következtetés az atomok kapcsolódásának lehetőségeire és módjaira.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7"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kémiai reakciók</w:t>
            </w:r>
          </w:p>
        </w:tc>
        <w:tc>
          <w:tcPr>
            <w:tcW w:w="6729"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kísérlet elvégzése leírás alapján, a tapasztalatok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anyagi tulajdonságok kísérleti igazolása a rendelkezésre bocsátott eszközök és anyagok segítségével.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Valamely kísérlet várható eredményének becslése az elméleti ismeretek alapján.</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7"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kémiai reakciók jelölése</w:t>
            </w:r>
          </w:p>
        </w:tc>
        <w:tc>
          <w:tcPr>
            <w:tcW w:w="6729"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Sztöchiometriai és ionegyenletek felírása, rendezése.</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7"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Termokémia</w:t>
            </w:r>
          </w:p>
        </w:tc>
        <w:tc>
          <w:tcPr>
            <w:tcW w:w="6729"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termokémiai fogalmak és törvények ismerete és alkalmazásuk.</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7"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Reakciókinetika</w:t>
            </w:r>
          </w:p>
        </w:tc>
        <w:tc>
          <w:tcPr>
            <w:tcW w:w="6729"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reakciók végbemenetelének feltételei. </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7"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9"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reakciósebességet befolyásoló tényezők.</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7"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Kémiai egyensúly</w:t>
            </w:r>
          </w:p>
        </w:tc>
        <w:tc>
          <w:tcPr>
            <w:tcW w:w="6729"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dinamikus egyensúly értelmezése a megfordítható folyamatokra.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7"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9"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egyensúlyi állandó és az egyensúlyi koncentrációk közötti kapcsolat alkalmazása.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7" w:type="dxa"/>
            <w:gridSpan w:val="2"/>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9"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ipari szempontból fontos gyártási folyamatok optimális paramétereinek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35"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Reakciótípusok</w:t>
            </w:r>
          </w:p>
        </w:tc>
        <w:tc>
          <w:tcPr>
            <w:tcW w:w="6733"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kémiai reakciók csoportosítása különböző szempontok (pl. irány, reakcióhő, sebesség, részecskeátmenet stb.) szerint.</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35"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33"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anyagok csoportosítása kémiai viselkedésük alapján (sav, bázis, oxidálószer, redukálószer stb.).</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35"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Protonátmenettel járó reakciók</w:t>
            </w:r>
          </w:p>
        </w:tc>
        <w:tc>
          <w:tcPr>
            <w:tcW w:w="6733"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vizes közegben lejátszódó protolitikus reakciók értelmezése (pH, kémhatás, közömbösítés, hidrolízis).</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35"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33"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sav-bázis folyamatok értelmezése nemvizes közegben.</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35"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Elektronátmenettel járó reakciók</w:t>
            </w:r>
          </w:p>
        </w:tc>
        <w:tc>
          <w:tcPr>
            <w:tcW w:w="6733" w:type="dxa"/>
            <w:gridSpan w:val="2"/>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Redoxireakciók értelmezése (elektronátmenet, oxidációsszám-változás). Reakcióegyenletek rendezése az oxidációsszám-változások alapján.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0"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kémiai reakciók és az elektromos energia kölcsönhatása</w:t>
            </w:r>
          </w:p>
        </w:tc>
        <w:tc>
          <w:tcPr>
            <w:tcW w:w="6724"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kémiai energia és az elektromos energia kapcsolata (galvánelem, elektrolizáló cella működése).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elektródpotenciál fogalma és meghatározó tényezői. </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0"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4"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redoxireakciók iránya és a standardpotenciálok közti összefüggés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Táblázatok adatainak használata a redoxifolyamatok irányának meghatározására.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0"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4"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gyakorlati életben használt galvánelemek (akkumulátorok) felépítése és működése</w:t>
            </w:r>
            <w:r>
              <w:rPr>
                <w:rFonts w:ascii="Symbol" w:hAnsi="Symbol" w:cs="Symbol"/>
                <w:sz w:val="20"/>
                <w:szCs w:val="20"/>
              </w:rPr>
              <w:t></w:t>
            </w:r>
            <w:r>
              <w:rPr>
                <w:rFonts w:ascii="Times New Roman" w:hAnsi="Times New Roman" w:cs="Times New Roman"/>
                <w:sz w:val="20"/>
                <w:szCs w:val="20"/>
              </w:rPr>
              <w:t xml:space="preserve"> korróziós jelenségek, korrózióvédelem.</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0"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6724"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elektrolízis során végbemenő elektródfolyamatok értelmezése a megismert példák alapján kikövetkeztethető esetekben.</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0" w:type="dxa"/>
            <w:gridSpan w:val="2"/>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4" w:type="dxa"/>
            <w:tcBorders>
              <w:top w:val="nil"/>
              <w:bottom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elektrolízis mennyiségi törvényei és alkalmazásuk.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3"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Tudománytörténet</w:t>
            </w:r>
          </w:p>
        </w:tc>
        <w:tc>
          <w:tcPr>
            <w:tcW w:w="6724"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követelményekkel kapcsolatos tudománytörténeti vonatkozások megnevezése (pl. Mengyelejev, Hevesy György, Faraday, Arrhenius, Brönsted, Avogadro).</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9077"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Szervetlen kémia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3" w:type="dxa"/>
            <w:gridSpan w:val="2"/>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kerettantervben szereplő elemek és vegyületek kiegészítő listája </w:t>
            </w:r>
          </w:p>
        </w:tc>
        <w:tc>
          <w:tcPr>
            <w:tcW w:w="6724"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Halogénelemek (fluor, bróm, jód), hidrogén-halogenidek, ezüst-halogenidek, dihidrogén-peroxid, alumínium-oxid, réz-oxidok, fém-hidroxidok, dihidrogén-szulfid, kénessav és szulfitok, nátrium-tioszulfát, nitritek, fém-nitrátok, difoszfor-pentaoxid, hidrogén- és dihidrogén-foszfátok, szilikonok, kobalt, nikkel, higany, kálium-permanganát.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3"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elemek és vegyületek szerkezete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atom-, a molekula- és a halmazszerkezet kapcsolata)</w:t>
            </w:r>
          </w:p>
        </w:tc>
        <w:tc>
          <w:tcPr>
            <w:tcW w:w="6724"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elemek és vegyületek tulajdonságainak és reakcióinak magyarázata az általános kémiai ismeretek alapján.</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elemek és vegyületek fizikai tulajdonságai és anyagszerkezeti értelmezése</w:t>
            </w:r>
          </w:p>
        </w:tc>
        <w:tc>
          <w:tcPr>
            <w:tcW w:w="672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általános kémiában tanult fogalmak, összefüggések, szabályok alkalmazása az elemek és vegyületek tulajdonságainak és reakcióinak magyarázatára.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3"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elemek és vegyületek kémiai sajátságai </w:t>
            </w:r>
          </w:p>
        </w:tc>
        <w:tc>
          <w:tcPr>
            <w:tcW w:w="6724"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elemek jellemzése a periódusos rendszer adatai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Egyszerűbb kísérletek elvégzése leírás alapján és a tapasztalatok anyagszerkezeti értelmezése. A természettudományos megfigyelési, kísérleti és elemzési módszerek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megfigyelések, mérések során nyert adatok rendezése, ábrázolása, értelmezése.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anyagi tulajdonságok kísérleti igazolása a rendelkezésre bocsátott eszközök és anyagok segítségével.</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3"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4"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Valamely kísérlet várható eredményének becslése az elméleti ismeretek alapján.</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3"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4"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Képlet- és adatgyűjtemény, szaklexikon önálló használata.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3"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4"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anyagok tulajdonságainak összehasonlítása és értelmezése táblázat adatai alapján.</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3" w:type="dxa"/>
            <w:gridSpan w:val="2"/>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4"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képlet alapján az elemek, vegyületek besorolása a megfelelő rácstípusba és főbb tulajdonságaik jellemezése.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kémiai tulajdonságok bemutatása reakcióegyenletek írásával.</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3" w:type="dxa"/>
            <w:gridSpan w:val="2"/>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Az elemek és vegyületek előfordulása </w:t>
            </w:r>
          </w:p>
        </w:tc>
        <w:tc>
          <w:tcPr>
            <w:tcW w:w="6724"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Megismert elemek előfordulásának formái.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Következtetés az elemek és vegyületek előfordulására a kémiai tulajdonságok alapján.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3"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elemek és vegyületek laboratóriumi és ipari előállítása</w:t>
            </w:r>
          </w:p>
        </w:tc>
        <w:tc>
          <w:tcPr>
            <w:tcW w:w="6724"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elemek, szervetlen vegyületek laboratóriumi és ipari előállításának elvi alapjai és módjai.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Következtetés az elemek és vegyületek előállítására a kémiai tulajdonságok alapján.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3" w:type="dxa"/>
            <w:gridSpan w:val="2"/>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elemek és szervetlen vegyületek legfontosabb felhasználásai</w:t>
            </w:r>
          </w:p>
        </w:tc>
        <w:tc>
          <w:tcPr>
            <w:tcW w:w="6724"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környezetkárosító folyamatok és az ellenük való védekezés kémiai magyarázata.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Annak ismerete, hogyan kell felelősségteljesen használni a környezetben előforduló elemeket és szervetlen vegyületeket.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elemek és vegyületek jelentősége </w:t>
            </w:r>
          </w:p>
        </w:tc>
        <w:tc>
          <w:tcPr>
            <w:tcW w:w="672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Megismert elemek és vegyületek felhasználása, élettani hatása, gyógyító, károsító hatása.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környezetkárosító anyagok hatásai és a megelőzés módjai.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energiatermelés szervetlen kémiai vonatkozásai.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környezetszennyezés okai, környezetvédelem.</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6"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Tudománytörténet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33" w:type="dxa"/>
            <w:gridSpan w:val="2"/>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követelményekkel kapcsolatos tudománytörténeti vonatkozások megnevezése (pl. Hevesy György, Irinyi János, Semmelweis Ignác).</w:t>
            </w:r>
          </w:p>
          <w:p w:rsidR="004C2997" w:rsidRDefault="004C2997">
            <w:pPr>
              <w:autoSpaceDE w:val="0"/>
              <w:autoSpaceDN w:val="0"/>
              <w:adjustRightInd w:val="0"/>
              <w:spacing w:after="0" w:line="240" w:lineRule="auto"/>
              <w:jc w:val="both"/>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9075" w:type="dxa"/>
            <w:gridSpan w:val="3"/>
            <w:tcBorders>
              <w:bottom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Szerves kémia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7" w:type="dxa"/>
            <w:gridSpan w:val="2"/>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szerves vegyületek szerkezete és csoportosításuk</w:t>
            </w:r>
          </w:p>
        </w:tc>
        <w:tc>
          <w:tcPr>
            <w:tcW w:w="6728"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szerves anyag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szerves vegyületek csoportosítása a szénatomok közötti kötések szerint.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funkciós csoport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szerves vegyületek csoportosítása a funkciós csoportok szerint.</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7"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p>
        </w:tc>
        <w:tc>
          <w:tcPr>
            <w:tcW w:w="672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egyes vegyülettípusok egymásból való származtatása.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7"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p>
        </w:tc>
        <w:tc>
          <w:tcPr>
            <w:tcW w:w="672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Homológ sor általános képletének megszerkesztése.</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7"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p>
        </w:tc>
        <w:tc>
          <w:tcPr>
            <w:tcW w:w="672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szerves vegyületek elnevezésének alapelvei és annak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mindennapi életben használt vegyületek köznapi neve.</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7"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p>
        </w:tc>
        <w:tc>
          <w:tcPr>
            <w:tcW w:w="672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Szerkezeti képlet írása.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7"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p>
        </w:tc>
        <w:tc>
          <w:tcPr>
            <w:tcW w:w="672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konstitúció, a konfiguráció és a konformáció.</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7"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p>
        </w:tc>
        <w:tc>
          <w:tcPr>
            <w:tcW w:w="672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izoméria különböző típusai.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Konformerek és izomerek felismerése.</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1" w:type="dxa"/>
            <w:gridSpan w:val="2"/>
            <w:tcBorders>
              <w:top w:val="nil"/>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p>
        </w:tc>
        <w:tc>
          <w:tcPr>
            <w:tcW w:w="672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optikai izoméria kialakulásának lehetőségei, az optikai izomerek tulajdonságai.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Királis molekulák felismerése egyszerűbb esetekben.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1"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szerves vegyületek fizikai tulajdonságai </w:t>
            </w:r>
          </w:p>
        </w:tc>
        <w:tc>
          <w:tcPr>
            <w:tcW w:w="672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Szerves vegyületek fizikai tulajdonságainak molekula- és halmazszerkezeti értelmezése.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2351"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szerves vegyületek kémiai sajátosságai </w:t>
            </w:r>
          </w:p>
        </w:tc>
        <w:tc>
          <w:tcPr>
            <w:tcW w:w="67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szerves vegyületek kémiai reakciói a szénváz és a funkciós csoportok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kémiai változások reakcióegyenleteinek felírása.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kísérleteket elvégzése leírás alapján, és ezek eredményének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kísérletek megtervezése.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Valamely kísérlet várható eredményének becslése az elméleti ismeretek alapján.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1" w:type="dxa"/>
            <w:gridSpan w:val="2"/>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szerves vegyületek előfordulása és biológiai jelentősége,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felhasználása</w:t>
            </w:r>
          </w:p>
        </w:tc>
        <w:tc>
          <w:tcPr>
            <w:tcW w:w="672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ipari és az élettani szempontból legfontosabb szerves vegyületek biológiai szerepe (mérgező hatás, gyógyszerek, drogok), főbb felhasználási és előfordulási területei.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energiatermelés szerves kémiai vonatkozásai.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1" w:type="dxa"/>
            <w:gridSpan w:val="2"/>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szerves anyagok környezeti hatásai</w:t>
            </w:r>
          </w:p>
        </w:tc>
        <w:tc>
          <w:tcPr>
            <w:tcW w:w="6720"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általános kémiai ismeretek alkalmazása a szerves anyagok környezeti hatásának magyarázatában.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51"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szerves vegyületek laboratóriumi és ipari előállítása</w:t>
            </w:r>
          </w:p>
        </w:tc>
        <w:tc>
          <w:tcPr>
            <w:tcW w:w="67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gyakorlati élet szempontjából legfontosabb szerves vegyületek laboratóriumi és ipari előállításának elvi alapjai és előállítási módjai.</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9" w:type="dxa"/>
            <w:gridSpan w:val="2"/>
          </w:tcPr>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Tudománytörténet</w:t>
            </w:r>
          </w:p>
        </w:tc>
        <w:tc>
          <w:tcPr>
            <w:tcW w:w="672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követelményekkel kapcsolatos tudománytörténeti vonatkozások megnevezése </w:t>
            </w:r>
            <w:r>
              <w:rPr>
                <w:rFonts w:ascii="Times New Roman" w:hAnsi="Times New Roman" w:cs="Times New Roman"/>
                <w:sz w:val="20"/>
                <w:szCs w:val="20"/>
              </w:rPr>
              <w:lastRenderedPageBreak/>
              <w:t>(pl. Szent-Györgyi Albert, E. Fischer, F. Sanger, A. Nobel).</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8" w:type="dxa"/>
            <w:gridSpan w:val="2"/>
            <w:tcBorders>
              <w:top w:val="single" w:sz="6" w:space="0" w:color="auto"/>
              <w:right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4. Kémiai számítások</w:t>
            </w:r>
          </w:p>
        </w:tc>
        <w:tc>
          <w:tcPr>
            <w:tcW w:w="6722" w:type="dxa"/>
            <w:tcBorders>
              <w:left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8"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Általános követelmények</w:t>
            </w: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SI-mértékegységek használata.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periódusos rendszer adatainak használata a számításokhoz.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feladatok szövegének, adatainak helyes értelmezése.</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8"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eredmények megfelelő pontossággal történő megadása.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8"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anyagmennyiség</w:t>
            </w:r>
          </w:p>
        </w:tc>
        <w:tc>
          <w:tcPr>
            <w:tcW w:w="672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tömeg, az anyagmennyiség, a részecskeszám és a térfogat közti összefüggések (moláris tömeg, sűrűség, Avogadro-állandó) és alkalmazásuk.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8"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gáztörvények</w:t>
            </w: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gázok állapotegyenlete és alkalmazása.</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8"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Avogadro-törvény, illetve az Avogadro-törvényből következő összefüggések (gázok moláris térfogata, sűrűsége, relatív sűrűsége) alkalmazása.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8"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Oldatok, elegyek </w:t>
            </w:r>
          </w:p>
        </w:tc>
        <w:tc>
          <w:tcPr>
            <w:tcW w:w="672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oldatok százalékos összetételének és koncentrációjának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2348"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képlettel és reakcióegyenlettel kapcsolatos számítások</w:t>
            </w: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vegyületek összegképlete és százalékos összetétele közötti kapcsolat és annak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kémiai egyenlet jelentései, ez alapján számítási feladatok megoldása.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cantSplit/>
          <w:jc w:val="center"/>
        </w:trPr>
        <w:tc>
          <w:tcPr>
            <w:tcW w:w="2348" w:type="dxa"/>
            <w:gridSpan w:val="2"/>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Termokémia</w:t>
            </w:r>
          </w:p>
        </w:tc>
        <w:tc>
          <w:tcPr>
            <w:tcW w:w="672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reakcióhő és a képződéshők, illetve más energiaértékek, például a rácsenergia, az ionizációs energia stb. közötti kapcsolat és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reakcióhő alkalmazása a kémiai számításokban.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8" w:type="dxa"/>
            <w:gridSpan w:val="2"/>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Kémiai egyensúly</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pH-számítás</w:t>
            </w:r>
          </w:p>
        </w:tc>
        <w:tc>
          <w:tcPr>
            <w:tcW w:w="672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kiindulási és az egyensúlyi koncentrációk, valamint az egyensúlyi állandó közötti kapcsolat alkalmazása egyszerűbb feladatokban.</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8"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pH és az oldatok oxónium-, illetve hidroxidion-koncentrációja közötti kapcsolat alkalmazása erős savak és bázisok esetében.</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8" w:type="dxa"/>
            <w:gridSpan w:val="2"/>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p>
        </w:tc>
        <w:tc>
          <w:tcPr>
            <w:tcW w:w="672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disszociációfok fogalma. </w:t>
            </w: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8" w:type="dxa"/>
            <w:gridSpan w:val="2"/>
            <w:tcBorders>
              <w:top w:val="nil"/>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p>
        </w:tc>
        <w:tc>
          <w:tcPr>
            <w:tcW w:w="6722"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pH és az oldatok oxónium-, illetve hidroxidion-koncentrációja, valamint a disszociációfok közötti kapcsolat alkalmazása gyenge savak és bázisok esetében, egyszerűbb példákban.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bottom w:w="0" w:type="dxa"/>
          </w:tblCellMar>
        </w:tblPrEx>
        <w:trPr>
          <w:jc w:val="center"/>
        </w:trPr>
        <w:tc>
          <w:tcPr>
            <w:tcW w:w="2348" w:type="dxa"/>
            <w:gridSpan w:val="2"/>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Elektrokémia</w:t>
            </w:r>
          </w:p>
        </w:tc>
        <w:tc>
          <w:tcPr>
            <w:tcW w:w="6722"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standardpotenciál és galvánelemek elektromotoros ereje közötti kapcsolat alkalmazása.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Faraday-törvények alkalmazása.</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BIOLÓGIA</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biológia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biológia érettségi vizsga célja annak megállapítása, hogy a vizsgázó</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ismeri-e a vizsgálati módszereket (eszközök, eljárások, elméleti háttér), az egyes módszerek korlátait, problémáit;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képes-e egyszerű biológiai vizsgálatokat elvégezni, ezeket értelmezni, értékelni;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érti-e az alapfogalmakat, ismeri-e történeti kialakulásukat, mai értelmezésüket;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megkülönböztetni a tudományosan megalapozott, de egymással esetleg ellentétes hipotéziseket, különösen az etikailag is fontos kérdésekben;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felismeri-e a betegségekre, diszharmonikus állapotokra utaló tüneteket, ismeri-e a megelőzés és az egészséges életmód szabályait;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természet- és környezetvédelem alapvető problémáit és azok lehetséges megoldási módjait;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véleményét – különösen az etikailag is fontos kérdésekben – kifejteni, alátámasztani,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lehetséges ellenérveket.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középszintű követelmények a gyakorlathoz közelebb álló, kevésbé elvont és mennyiségében is kisebb ismeretkört tartalmaznak. Az emelt szintű követelmények a középszinthez képest (azon felül és ahhoz kapcsolódva) a biológia tudományának elvontabb területeit is tartalmazzák. Ahol és amennyire szükséges, az ismeretek köre is szélesebb. Az emelt szint alapvetően a biológiából továbbtanulni szándékozók számára készült, ezért lehetővé kell tennie az esetleg szükséges szelekciót is.</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52"/>
        <w:gridCol w:w="6804"/>
      </w:tblGrid>
      <w:tr w:rsidR="004C2997">
        <w:tblPrEx>
          <w:tblCellMar>
            <w:top w:w="0" w:type="dxa"/>
            <w:bottom w:w="0" w:type="dxa"/>
          </w:tblCellMar>
        </w:tblPrEx>
        <w:tc>
          <w:tcPr>
            <w:tcW w:w="2552" w:type="dxa"/>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6804" w:type="dxa"/>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left w:w="71" w:type="dxa"/>
            <w:bottom w:w="0" w:type="dxa"/>
            <w:right w:w="71" w:type="dxa"/>
          </w:tblCellMar>
        </w:tblPrEx>
        <w:trPr>
          <w:cantSplit/>
        </w:trPr>
        <w:tc>
          <w:tcPr>
            <w:tcW w:w="9356"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Bevezetés a biológiába</w:t>
            </w:r>
          </w:p>
        </w:tc>
      </w:tr>
      <w:tr w:rsidR="004C2997">
        <w:tblPrEx>
          <w:tblCellMar>
            <w:top w:w="0" w:type="dxa"/>
            <w:left w:w="71" w:type="dxa"/>
            <w:bottom w:w="0" w:type="dxa"/>
            <w:right w:w="71" w:type="dxa"/>
          </w:tblCellMar>
        </w:tblPrEx>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biológia tudománya</w:t>
            </w:r>
          </w:p>
        </w:tc>
        <w:tc>
          <w:tcPr>
            <w:tcW w:w="68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rendszertani kategóriák, a faj, a mesterséges és természetes rendszer fogalma.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szerveződési szint fogalma.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71" w:type="dxa"/>
            <w:bottom w:w="0" w:type="dxa"/>
            <w:right w:w="71" w:type="dxa"/>
          </w:tblCellMar>
        </w:tblPrEx>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Fizikai, kémiai alapismeretek</w:t>
            </w:r>
          </w:p>
        </w:tc>
        <w:tc>
          <w:tcPr>
            <w:tcW w:w="68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diffúzió, az ozmózis, a felületi kötődés és a katalízis biológiai jelentősége, feltételei.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71" w:type="dxa"/>
            <w:bottom w:w="0" w:type="dxa"/>
            <w:right w:w="71" w:type="dxa"/>
          </w:tblCellMar>
        </w:tblPrEx>
        <w:trPr>
          <w:cantSplit/>
        </w:trPr>
        <w:tc>
          <w:tcPr>
            <w:tcW w:w="9356"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Egyed alatti szerveződési szint</w:t>
            </w:r>
          </w:p>
        </w:tc>
      </w:tr>
      <w:tr w:rsidR="004C2997">
        <w:tblPrEx>
          <w:tblCellMar>
            <w:top w:w="0" w:type="dxa"/>
            <w:left w:w="71" w:type="dxa"/>
            <w:bottom w:w="0" w:type="dxa"/>
            <w:right w:w="71" w:type="dxa"/>
          </w:tblCellMar>
        </w:tblPrEx>
        <w:trPr>
          <w:cantSplit/>
          <w:trHeight w:val="2080"/>
        </w:trPr>
        <w:tc>
          <w:tcPr>
            <w:tcW w:w="255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Szervetlen és szerves alkotóelemek: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Elemek, ionok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Szervetlen molekulák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Lipidek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Szénhidrátok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Fehérjék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Nukleinsavak, nukleotidok</w:t>
            </w:r>
          </w:p>
        </w:tc>
        <w:tc>
          <w:tcPr>
            <w:tcW w:w="6804"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 H, O, N, S, P  szerepe az élő szervezetben.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w:t>
            </w:r>
            <w:r>
              <w:rPr>
                <w:rFonts w:ascii="Times New Roman" w:hAnsi="Times New Roman" w:cs="Times New Roman"/>
                <w:sz w:val="20"/>
                <w:szCs w:val="20"/>
                <w:vertAlign w:val="superscript"/>
              </w:rPr>
              <w:t>+</w:t>
            </w:r>
            <w:r>
              <w:rPr>
                <w:rFonts w:ascii="Times New Roman" w:hAnsi="Times New Roman" w:cs="Times New Roman"/>
                <w:sz w:val="20"/>
                <w:szCs w:val="20"/>
              </w:rPr>
              <w:t>, Ca</w:t>
            </w:r>
            <w:r>
              <w:rPr>
                <w:rFonts w:ascii="Times New Roman" w:hAnsi="Times New Roman" w:cs="Times New Roman"/>
                <w:sz w:val="20"/>
                <w:szCs w:val="20"/>
                <w:vertAlign w:val="superscript"/>
              </w:rPr>
              <w:t>2+</w:t>
            </w:r>
            <w:r>
              <w:rPr>
                <w:rFonts w:ascii="Times New Roman" w:hAnsi="Times New Roman" w:cs="Times New Roman"/>
                <w:sz w:val="20"/>
                <w:szCs w:val="20"/>
              </w:rPr>
              <w:t>, Mg</w:t>
            </w:r>
            <w:r>
              <w:rPr>
                <w:rFonts w:ascii="Times New Roman" w:hAnsi="Times New Roman" w:cs="Times New Roman"/>
                <w:sz w:val="20"/>
                <w:szCs w:val="20"/>
                <w:vertAlign w:val="superscript"/>
              </w:rPr>
              <w:t>2+</w:t>
            </w:r>
            <w:r>
              <w:rPr>
                <w:rFonts w:ascii="Times New Roman" w:hAnsi="Times New Roman" w:cs="Times New Roman"/>
                <w:sz w:val="20"/>
                <w:szCs w:val="20"/>
              </w:rPr>
              <w:t>, Fe</w:t>
            </w:r>
            <w:r>
              <w:rPr>
                <w:rFonts w:ascii="Times New Roman" w:hAnsi="Times New Roman" w:cs="Times New Roman"/>
                <w:sz w:val="20"/>
                <w:szCs w:val="20"/>
                <w:vertAlign w:val="superscript"/>
              </w:rPr>
              <w:t>2+-3+</w:t>
            </w:r>
            <w:r>
              <w:rPr>
                <w:rFonts w:ascii="Times New Roman" w:hAnsi="Times New Roman" w:cs="Times New Roman"/>
                <w:sz w:val="20"/>
                <w:szCs w:val="20"/>
              </w:rPr>
              <w:t>, HCO</w:t>
            </w:r>
            <w:r>
              <w:rPr>
                <w:rFonts w:ascii="Times New Roman" w:hAnsi="Times New Roman" w:cs="Times New Roman"/>
                <w:sz w:val="20"/>
                <w:szCs w:val="20"/>
                <w:vertAlign w:val="subscript"/>
              </w:rPr>
              <w:t>3</w:t>
            </w:r>
            <w:r>
              <w:rPr>
                <w:rFonts w:ascii="Times New Roman" w:hAnsi="Times New Roman" w:cs="Times New Roman"/>
                <w:sz w:val="20"/>
                <w:szCs w:val="20"/>
                <w:vertAlign w:val="superscript"/>
              </w:rPr>
              <w:t>–</w:t>
            </w:r>
            <w:r>
              <w:rPr>
                <w:rFonts w:ascii="Times New Roman" w:hAnsi="Times New Roman" w:cs="Times New Roman"/>
                <w:sz w:val="20"/>
                <w:szCs w:val="20"/>
              </w:rPr>
              <w:t>, CO</w:t>
            </w:r>
            <w:r>
              <w:rPr>
                <w:rFonts w:ascii="Times New Roman" w:hAnsi="Times New Roman" w:cs="Times New Roman"/>
                <w:sz w:val="20"/>
                <w:szCs w:val="20"/>
                <w:vertAlign w:val="subscript"/>
              </w:rPr>
              <w:t>3</w:t>
            </w:r>
            <w:r>
              <w:rPr>
                <w:rFonts w:ascii="Times New Roman" w:hAnsi="Times New Roman" w:cs="Times New Roman"/>
                <w:sz w:val="20"/>
                <w:szCs w:val="20"/>
                <w:vertAlign w:val="superscript"/>
              </w:rPr>
              <w:t>2–</w:t>
            </w:r>
            <w:r>
              <w:rPr>
                <w:rFonts w:ascii="Times New Roman" w:hAnsi="Times New Roman" w:cs="Times New Roman"/>
                <w:sz w:val="20"/>
                <w:szCs w:val="20"/>
              </w:rPr>
              <w:t>, NO</w:t>
            </w:r>
            <w:r>
              <w:rPr>
                <w:rFonts w:ascii="Times New Roman" w:hAnsi="Times New Roman" w:cs="Times New Roman"/>
                <w:sz w:val="20"/>
                <w:szCs w:val="20"/>
                <w:vertAlign w:val="subscript"/>
              </w:rPr>
              <w:t>3</w:t>
            </w:r>
            <w:r>
              <w:rPr>
                <w:rFonts w:ascii="Times New Roman" w:hAnsi="Times New Roman" w:cs="Times New Roman"/>
                <w:sz w:val="20"/>
                <w:szCs w:val="20"/>
                <w:vertAlign w:val="superscript"/>
              </w:rPr>
              <w:t>–</w:t>
            </w:r>
            <w:r>
              <w:rPr>
                <w:rFonts w:ascii="Times New Roman" w:hAnsi="Times New Roman" w:cs="Times New Roman"/>
                <w:sz w:val="20"/>
                <w:szCs w:val="20"/>
              </w:rPr>
              <w:t xml:space="preserve"> ionok természetes előfordulásai.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víz, a szén-dioxid és az ammónia jelentősége az élővilágban.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lipidek oldódási tulajdonságait, a zsírok és olajok, a foszfatidok, az epe biológiai szerepe.</w:t>
            </w:r>
          </w:p>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A fontosabb szénhidrátok természetes előfordulása, tulajdonságai.</w:t>
            </w:r>
            <w:r>
              <w:rPr>
                <w:rFonts w:ascii="Times New Roman" w:hAnsi="Times New Roman" w:cs="Times New Roman"/>
                <w:i/>
                <w:iCs/>
                <w:sz w:val="20"/>
                <w:szCs w:val="20"/>
              </w:rPr>
              <w:t xml:space="preserv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fehérjék általános szerkezete (peptidlánc). Térszerkezete és aminosav sorrend.</w:t>
            </w:r>
            <w:r>
              <w:rPr>
                <w:rFonts w:ascii="Times New Roman" w:hAnsi="Times New Roman" w:cs="Times New Roman"/>
                <w:i/>
                <w:iCs/>
                <w:sz w:val="20"/>
                <w:szCs w:val="20"/>
              </w:rPr>
              <w:t xml:space="preserv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fehérjék és az esszenciális aminosavak biológiai szerepe.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DNS információhordozó, örökítő (önmegkettőződő) szerepe.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71" w:type="dxa"/>
            <w:bottom w:w="0" w:type="dxa"/>
            <w:right w:w="71" w:type="dxa"/>
          </w:tblCellMar>
        </w:tblPrEx>
        <w:trPr>
          <w:cantSplit/>
          <w:trHeight w:val="890"/>
        </w:trPr>
        <w:tc>
          <w:tcPr>
            <w:tcW w:w="255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Az anyagcsere folyamatai: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Felépítés és lebontás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kapcsolata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Felépítő folyamatok</w:t>
            </w:r>
          </w:p>
        </w:tc>
        <w:tc>
          <w:tcPr>
            <w:tcW w:w="6804" w:type="dxa"/>
            <w:tcBorders>
              <w:left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élőlények felépítő és lebontó folyamatainak kapcsolata (fototrófok, kemotrófok, autotrófok és  heterotrófok). Az endo- és exocitózis.</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Lényegük (reduktív, energia-felhasználó) és helyük.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fotoszintézis szerepe a földi életben, alapfolyamatai.</w:t>
            </w:r>
          </w:p>
        </w:tc>
      </w:tr>
      <w:tr w:rsidR="004C2997">
        <w:tblPrEx>
          <w:tblCellMar>
            <w:top w:w="0" w:type="dxa"/>
            <w:left w:w="71" w:type="dxa"/>
            <w:bottom w:w="0" w:type="dxa"/>
            <w:right w:w="71" w:type="dxa"/>
          </w:tblCellMar>
        </w:tblPrEx>
        <w:tc>
          <w:tcPr>
            <w:tcW w:w="255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Lebontó folyamatok</w:t>
            </w:r>
          </w:p>
        </w:tc>
        <w:tc>
          <w:tcPr>
            <w:tcW w:w="6804"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biológiai oxidáció lényege, bruttó egyenlete.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erjedés lényege, felhasználása.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71" w:type="dxa"/>
            <w:bottom w:w="0" w:type="dxa"/>
            <w:right w:w="71" w:type="dxa"/>
          </w:tblCellMar>
        </w:tblPrEx>
        <w:trPr>
          <w:cantSplit/>
          <w:trHeight w:val="1410"/>
        </w:trPr>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Sejtalkotók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(az eukarióta sejtben)</w:t>
            </w:r>
          </w:p>
        </w:tc>
        <w:tc>
          <w:tcPr>
            <w:tcW w:w="68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fel rajzolt ábrán, mikroszkópban  a sejtalkotókat.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biológiai hártyák (membránok) szerepe, felépítésük általános elve.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passzív és az aktív szállítás.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Állábas, ostoros, csillós mozgásokra az emberi szervezetben.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sejtek osztódási ciklusa. Mitózis és a meiózis.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Sejtválasz külső és belső ingerekre.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9356"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Az egyed szerveződési szintje</w:t>
            </w:r>
          </w:p>
        </w:tc>
      </w:tr>
      <w:tr w:rsidR="004C2997">
        <w:tblPrEx>
          <w:tblCellMar>
            <w:top w:w="0" w:type="dxa"/>
            <w:left w:w="71" w:type="dxa"/>
            <w:bottom w:w="0" w:type="dxa"/>
            <w:right w:w="71" w:type="dxa"/>
          </w:tblCellMar>
        </w:tblPrEx>
        <w:trPr>
          <w:cantSplit/>
        </w:trPr>
        <w:tc>
          <w:tcPr>
            <w:tcW w:w="255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Nem sejtes rendszerek:</w:t>
            </w:r>
          </w:p>
        </w:tc>
        <w:tc>
          <w:tcPr>
            <w:tcW w:w="6804"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71" w:type="dxa"/>
            <w:bottom w:w="0" w:type="dxa"/>
            <w:right w:w="71" w:type="dxa"/>
          </w:tblCellMar>
        </w:tblPrEx>
        <w:trPr>
          <w:cantSplit/>
          <w:trHeight w:val="460"/>
        </w:trPr>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Vírusok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sejtek:</w:t>
            </w:r>
          </w:p>
        </w:tc>
        <w:tc>
          <w:tcPr>
            <w:tcW w:w="68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Fepítésük, biológiai, egészségügyi jelentőségük. A járványok.</w:t>
            </w:r>
          </w:p>
        </w:tc>
      </w:tr>
      <w:tr w:rsidR="004C2997">
        <w:tblPrEx>
          <w:tblCellMar>
            <w:top w:w="0" w:type="dxa"/>
            <w:left w:w="71" w:type="dxa"/>
            <w:bottom w:w="0" w:type="dxa"/>
            <w:right w:w="71" w:type="dxa"/>
          </w:tblCellMar>
        </w:tblPrEx>
        <w:tc>
          <w:tcPr>
            <w:tcW w:w="255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Baktériumok</w:t>
            </w:r>
          </w:p>
        </w:tc>
        <w:tc>
          <w:tcPr>
            <w:tcW w:w="68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baktérium és az eukarióta sejt szerveződése.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baktériumok jelentősége; anyagcseréjük.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71" w:type="dxa"/>
            <w:bottom w:w="0" w:type="dxa"/>
            <w:right w:w="71" w:type="dxa"/>
          </w:tblCellMar>
        </w:tblPrEx>
        <w:trPr>
          <w:cantSplit/>
          <w:trHeight w:val="940"/>
        </w:trPr>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Egysejtű eukarióták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Többsejtűség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Gombák, növények,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állatok elkülönülése</w:t>
            </w:r>
          </w:p>
        </w:tc>
        <w:tc>
          <w:tcPr>
            <w:tcW w:w="68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Testszerveződésük és felépítő anyagcseréjük példákon.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öt regnum elkülönítésének alapja.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egysejtű szerveződés és a többsejtű szerveződés típusai (sejttársulás, sejtfonal, teleptest).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71" w:type="dxa"/>
            <w:bottom w:w="0" w:type="dxa"/>
            <w:right w:w="71" w:type="dxa"/>
          </w:tblCellMar>
        </w:tblPrEx>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Sejtfonalak </w:t>
            </w:r>
          </w:p>
        </w:tc>
        <w:tc>
          <w:tcPr>
            <w:tcW w:w="68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gombák fonalas testfelépítése, spórás szaporodása. </w:t>
            </w:r>
          </w:p>
          <w:p w:rsidR="004C2997" w:rsidRDefault="004C2997">
            <w:pPr>
              <w:autoSpaceDE w:val="0"/>
              <w:autoSpaceDN w:val="0"/>
              <w:adjustRightInd w:val="0"/>
              <w:spacing w:after="0" w:line="240" w:lineRule="auto"/>
              <w:rPr>
                <w:rFonts w:ascii="Times New Roman" w:hAnsi="Times New Roman" w:cs="Times New Roman"/>
                <w:i/>
                <w:iCs/>
                <w:sz w:val="20"/>
                <w:szCs w:val="20"/>
              </w:rPr>
            </w:pPr>
          </w:p>
        </w:tc>
      </w:tr>
      <w:tr w:rsidR="004C2997">
        <w:tblPrEx>
          <w:tblCellMar>
            <w:top w:w="0" w:type="dxa"/>
            <w:left w:w="71" w:type="dxa"/>
            <w:bottom w:w="0" w:type="dxa"/>
            <w:right w:w="71" w:type="dxa"/>
          </w:tblCellMar>
        </w:tblPrEx>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Teleptest és álszövet</w:t>
            </w:r>
          </w:p>
        </w:tc>
        <w:tc>
          <w:tcPr>
            <w:tcW w:w="6804"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 teleptest és az álszövet jellemzői.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71" w:type="dxa"/>
            <w:bottom w:w="0" w:type="dxa"/>
            <w:right w:w="71" w:type="dxa"/>
          </w:tblCellMar>
        </w:tblPrEx>
        <w:trPr>
          <w:cantSplit/>
          <w:trHeight w:val="2800"/>
        </w:trPr>
        <w:tc>
          <w:tcPr>
            <w:tcW w:w="2552" w:type="dxa"/>
          </w:tcPr>
          <w:p w:rsidR="004C2997" w:rsidRDefault="004C2997">
            <w:pPr>
              <w:pageBreakBefore/>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Szövetek, szervek, szervrendszerek, testtájak</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növényvilág fejlődésének hajtóerői. Evolúciós „újítások'’ a harasztoknál, a nyitvatermőknél és a zárvatermőknél.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testfelépítés az életmód és a környezet kapcsolata (szivacsok, laposférgek, gyűrűsférgek, rovarok, lábasfejűek, a gerincesek nagy csoportjai – halak, kétéltűek, hüllők, madarak, emlősök).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Növényi szövettípusok működései, mikroszkópos képük. Felépítésük és alapfunkcióik. Fás szár. A virág biológiai szerepe, része, típusai.</w:t>
            </w:r>
          </w:p>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A virágos növények ivaros és az ivartalan szaporodása, szaporítása.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Állati szövettípusok, működésük, mikroszkópos képük.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petesejt, a hímivarsejt, a zigóta, a hímnősség és a váltivarúság, az ivari kétalakúság, az embrionális és posztembrionális fejlődés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Életkörülmények és szaporodási mód kapcsolata. Regeneráció.</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71" w:type="dxa"/>
            <w:bottom w:w="0" w:type="dxa"/>
            <w:right w:w="71" w:type="dxa"/>
          </w:tblCellMar>
        </w:tblPrEx>
        <w:trPr>
          <w:cantSplit/>
        </w:trPr>
        <w:tc>
          <w:tcPr>
            <w:tcW w:w="255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Viselkedés </w:t>
            </w:r>
          </w:p>
        </w:tc>
        <w:tc>
          <w:tcPr>
            <w:tcW w:w="68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Reflex, irányított mozgás, mozgásmintázat, társítások, belátásos tanulás.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71" w:type="dxa"/>
            <w:bottom w:w="0" w:type="dxa"/>
            <w:right w:w="71" w:type="dxa"/>
          </w:tblCellMar>
        </w:tblPrEx>
        <w:tc>
          <w:tcPr>
            <w:tcW w:w="2552" w:type="dxa"/>
            <w:tcBorders>
              <w:right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Az emberi szervezet</w:t>
            </w:r>
          </w:p>
        </w:tc>
        <w:tc>
          <w:tcPr>
            <w:tcW w:w="6804" w:type="dxa"/>
            <w:tcBorders>
              <w:left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p>
        </w:tc>
      </w:tr>
      <w:tr w:rsidR="004C2997">
        <w:tblPrEx>
          <w:tblCellMar>
            <w:top w:w="0" w:type="dxa"/>
            <w:left w:w="71" w:type="dxa"/>
            <w:bottom w:w="0" w:type="dxa"/>
            <w:right w:w="71" w:type="dxa"/>
          </w:tblCellMar>
        </w:tblPrEx>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Homeosztázis</w:t>
            </w:r>
          </w:p>
        </w:tc>
        <w:tc>
          <w:tcPr>
            <w:tcW w:w="68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homeosztázis fogalma, jelentősége.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71" w:type="dxa"/>
            <w:bottom w:w="0" w:type="dxa"/>
            <w:right w:w="71" w:type="dxa"/>
          </w:tblCellMar>
        </w:tblPrEx>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Kültakaró</w:t>
            </w:r>
          </w:p>
        </w:tc>
        <w:tc>
          <w:tcPr>
            <w:tcW w:w="68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bőr funkciói, részei. Ápolása, védelme.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71" w:type="dxa"/>
            <w:bottom w:w="0" w:type="dxa"/>
            <w:right w:w="71" w:type="dxa"/>
          </w:tblCellMar>
        </w:tblPrEx>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 mozgás</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csontváz biológiai funkciói, a csontok szerkezete, lehetséges kapcsolataik. Néhány fontosabb emberi izom helye és funkciója.  A vázizom felépítése.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agykérgi funkciók szerepe.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mozgási szervrendszer gyakoribb betegségei.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71" w:type="dxa"/>
            <w:bottom w:w="0" w:type="dxa"/>
            <w:right w:w="71" w:type="dxa"/>
          </w:tblCellMar>
        </w:tblPrEx>
        <w:trPr>
          <w:cantSplit/>
          <w:trHeight w:val="2045"/>
        </w:trPr>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táplálkozás</w:t>
            </w:r>
          </w:p>
        </w:tc>
        <w:tc>
          <w:tcPr>
            <w:tcW w:w="6804"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táplálkozás jelentősége, folyamatai.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emésztőrendszer részei, funkciói. A máj szerepe.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fog részeit, a szájápolás higiéniája.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bélbolyhok helye, működése. A bélperisztaltika.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éhség-, szomjúságérzet.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tápanyagok természetes forrásai, hiányuk vagy túlzott fogyasztásuk következményei.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étrend változása tevékenységtől, kortól, nemtől és állapottól függően</w:t>
            </w:r>
            <w:r>
              <w:rPr>
                <w:rFonts w:ascii="Times New Roman" w:hAnsi="Times New Roman" w:cs="Times New Roman"/>
                <w:i/>
                <w:iCs/>
                <w:sz w:val="20"/>
                <w:szCs w:val="20"/>
              </w:rPr>
              <w:t>.</w:t>
            </w:r>
            <w:r>
              <w:rPr>
                <w:rFonts w:ascii="Times New Roman" w:hAnsi="Times New Roman" w:cs="Times New Roman"/>
                <w:sz w:val="20"/>
                <w:szCs w:val="20"/>
              </w:rPr>
              <w:t xml:space="preserv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élelmiszer- és ételtartósítás alapvető szabályai.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71" w:type="dxa"/>
            <w:bottom w:w="0" w:type="dxa"/>
            <w:right w:w="71" w:type="dxa"/>
          </w:tblCellMar>
        </w:tblPrEx>
        <w:trPr>
          <w:cantSplit/>
        </w:trPr>
        <w:tc>
          <w:tcPr>
            <w:tcW w:w="2552" w:type="dxa"/>
            <w:vMerge w:val="restart"/>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légzés</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légzőrendszer szervei, funkciói.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légcsere, a gázcsere és a sejtlégzés összefüggései.</w:t>
            </w:r>
          </w:p>
        </w:tc>
      </w:tr>
      <w:tr w:rsidR="004C2997">
        <w:tblPrEx>
          <w:tblCellMar>
            <w:top w:w="0" w:type="dxa"/>
            <w:left w:w="71" w:type="dxa"/>
            <w:bottom w:w="0" w:type="dxa"/>
            <w:right w:w="71" w:type="dxa"/>
          </w:tblCellMar>
        </w:tblPrEx>
        <w:trPr>
          <w:cantSplit/>
        </w:trPr>
        <w:tc>
          <w:tcPr>
            <w:tcW w:w="2552"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gége részei, a hangszalagok szerepe.</w:t>
            </w:r>
          </w:p>
        </w:tc>
      </w:tr>
      <w:tr w:rsidR="004C2997">
        <w:tblPrEx>
          <w:tblCellMar>
            <w:top w:w="0" w:type="dxa"/>
            <w:left w:w="71" w:type="dxa"/>
            <w:bottom w:w="0" w:type="dxa"/>
            <w:right w:w="71" w:type="dxa"/>
          </w:tblCellMar>
        </w:tblPrEx>
        <w:trPr>
          <w:cantSplit/>
        </w:trPr>
        <w:tc>
          <w:tcPr>
            <w:tcW w:w="2552"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vér szén-dioxid koncentrációjának szerepe.</w:t>
            </w:r>
          </w:p>
        </w:tc>
      </w:tr>
      <w:tr w:rsidR="004C2997">
        <w:tblPrEx>
          <w:tblCellMar>
            <w:top w:w="0" w:type="dxa"/>
            <w:left w:w="71" w:type="dxa"/>
            <w:bottom w:w="0" w:type="dxa"/>
            <w:right w:w="71" w:type="dxa"/>
          </w:tblCellMar>
        </w:tblPrEx>
        <w:trPr>
          <w:cantSplit/>
        </w:trPr>
        <w:tc>
          <w:tcPr>
            <w:tcW w:w="2552"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légzőrendszert károsító tényezők és a légzőrendszer gyakori betegségeit fölismerésük, kezelésük.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71" w:type="dxa"/>
            <w:bottom w:w="0" w:type="dxa"/>
            <w:right w:w="71" w:type="dxa"/>
          </w:tblCellMar>
        </w:tblPrEx>
        <w:trPr>
          <w:cantSplit/>
        </w:trPr>
        <w:tc>
          <w:tcPr>
            <w:tcW w:w="2552" w:type="dxa"/>
            <w:vMerge w:val="restart"/>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anyagszállítás</w:t>
            </w:r>
          </w:p>
        </w:tc>
        <w:tc>
          <w:tcPr>
            <w:tcW w:w="6804"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vér, szövetnedv, nyirok összetétele, fő működéseik.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vérzéscsillapítás módja. A vérszegénység lehetséges okai.</w:t>
            </w:r>
          </w:p>
        </w:tc>
      </w:tr>
      <w:tr w:rsidR="004C2997">
        <w:tblPrEx>
          <w:tblCellMar>
            <w:top w:w="0" w:type="dxa"/>
            <w:left w:w="71" w:type="dxa"/>
            <w:bottom w:w="0" w:type="dxa"/>
            <w:right w:w="71" w:type="dxa"/>
          </w:tblCellMar>
        </w:tblPrEx>
        <w:trPr>
          <w:cantSplit/>
        </w:trPr>
        <w:tc>
          <w:tcPr>
            <w:tcW w:w="2552"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vér, a szöveti folyadék és a nyirok kapcsolata. </w:t>
            </w:r>
          </w:p>
        </w:tc>
      </w:tr>
      <w:tr w:rsidR="004C2997">
        <w:tblPrEx>
          <w:tblCellMar>
            <w:top w:w="0" w:type="dxa"/>
            <w:left w:w="71" w:type="dxa"/>
            <w:bottom w:w="0" w:type="dxa"/>
            <w:right w:w="71" w:type="dxa"/>
          </w:tblCellMar>
        </w:tblPrEx>
        <w:trPr>
          <w:cantSplit/>
        </w:trPr>
        <w:tc>
          <w:tcPr>
            <w:tcW w:w="2552"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szív, a koszorúerek felépítése és működése. Vérnyomás, pulzus.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Befolyásoló élettani hatások. A véreloszlás megváltozásának élettani funkciója.</w:t>
            </w:r>
          </w:p>
        </w:tc>
      </w:tr>
      <w:tr w:rsidR="004C2997">
        <w:tblPrEx>
          <w:tblCellMar>
            <w:top w:w="0" w:type="dxa"/>
            <w:left w:w="71" w:type="dxa"/>
            <w:bottom w:w="0" w:type="dxa"/>
            <w:right w:w="71" w:type="dxa"/>
          </w:tblCellMar>
        </w:tblPrEx>
        <w:trPr>
          <w:cantSplit/>
        </w:trPr>
        <w:tc>
          <w:tcPr>
            <w:tcW w:w="2552"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életmód és a táplálkozás hatása. Sebellátás.</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71" w:type="dxa"/>
            <w:bottom w:w="0" w:type="dxa"/>
            <w:right w:w="71" w:type="dxa"/>
          </w:tblCellMar>
        </w:tblPrEx>
        <w:trPr>
          <w:cantSplit/>
          <w:trHeight w:val="655"/>
        </w:trPr>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kiválasztás</w:t>
            </w:r>
          </w:p>
        </w:tc>
        <w:tc>
          <w:tcPr>
            <w:tcW w:w="68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kiválasztás funkciója, a vizeletkiválasztó rendszer főbb részei.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vizelet összetételét és mennyiségét befolyásoló tényezők.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Vesekőképződés megelőzése, művesekezelés.</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auto"/>
            <w:left w:val="single" w:sz="12" w:space="0" w:color="auto"/>
            <w:bottom w:val="single" w:sz="12" w:space="0" w:color="auto"/>
            <w:right w:val="single" w:sz="12" w:space="0" w:color="auto"/>
            <w:insideH w:val="none" w:sz="0" w:space="0" w:color="auto"/>
            <w:insideV w:val="single" w:sz="6" w:space="0" w:color="auto"/>
          </w:tblBorders>
          <w:tblCellMar>
            <w:top w:w="0" w:type="dxa"/>
            <w:left w:w="71" w:type="dxa"/>
            <w:bottom w:w="0" w:type="dxa"/>
            <w:right w:w="71" w:type="dxa"/>
          </w:tblCellMar>
        </w:tblPrEx>
        <w:trPr>
          <w:cantSplit/>
          <w:trHeight w:val="993"/>
        </w:trPr>
        <w:tc>
          <w:tcPr>
            <w:tcW w:w="2552" w:type="dxa"/>
            <w:tcBorders>
              <w:top w:val="nil"/>
              <w:left w:val="single" w:sz="4"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szabályozás</w:t>
            </w:r>
          </w:p>
        </w:tc>
        <w:tc>
          <w:tcPr>
            <w:tcW w:w="6804" w:type="dxa"/>
            <w:tcBorders>
              <w:top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szabályozás a vezérlés és a visszacsatolások.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idegsejt felépítése és funkciója.   A receptor, a receptornak megfelelő (adekvát) inger, típusai (mechanikai, kémiai, fény, hő).</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szinapszis fogalma, a serkentő vagy gátló hatás magyarázata.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Height w:val="3495"/>
        </w:trPr>
        <w:tc>
          <w:tcPr>
            <w:tcW w:w="2552" w:type="dxa"/>
            <w:tcBorders>
              <w:top w:val="nil"/>
              <w:left w:val="single" w:sz="4"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Az idegrendszer általános jellemzése</w:t>
            </w:r>
          </w:p>
        </w:tc>
        <w:tc>
          <w:tcPr>
            <w:tcW w:w="6804" w:type="dxa"/>
            <w:tcBorders>
              <w:top w:val="nil"/>
              <w:left w:val="single" w:sz="6"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A reflexív és a reflexkör fogalma. Hierarchikus felépítés</w:t>
            </w:r>
            <w:r>
              <w:rPr>
                <w:rFonts w:ascii="Times New Roman" w:hAnsi="Times New Roman" w:cs="Times New Roman"/>
                <w:i/>
                <w:iCs/>
                <w:sz w:val="20"/>
                <w:szCs w:val="20"/>
              </w:rPr>
              <w: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gerincvelő főbb funkciói.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agy főbb részei.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bőr és a belső szervek receptorai.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érzékszervek működésének általános elvei.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szem részei, ezek működése, látáshibák, korrigálásuk.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pupilla, akkomodációs és szemhéjzáró reflex, a távolságészlelés.</w:t>
            </w:r>
          </w:p>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 xml:space="preserve">A külső-, közép- és belső fül része, működései.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nyúltvelői kemoreceptorok szerepe.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szaglóhám, az ízlelőbimbók szerepe.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akaratlagos mozgások szerveződése.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motiváció szerepe.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kisagy fő funkciója, az alkohol hatása.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vegetatív működés fogalma, a szimpatikus és paraszimpatikus befolyásolás következményei.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Height w:val="2545"/>
        </w:trPr>
        <w:tc>
          <w:tcPr>
            <w:tcW w:w="2552" w:type="dxa"/>
            <w:tcBorders>
              <w:top w:val="single" w:sz="4" w:space="0" w:color="auto"/>
              <w:left w:val="single" w:sz="4" w:space="0" w:color="auto"/>
              <w:bottom w:val="nil"/>
              <w:right w:val="single" w:sz="4" w:space="0" w:color="auto"/>
            </w:tcBorders>
          </w:tcPr>
          <w:p w:rsidR="004C2997" w:rsidRDefault="004C2997">
            <w:pPr>
              <w:pageBreakBefore/>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Az emberi magatartás biológiai-pszichológiai alapjai</w:t>
            </w:r>
          </w:p>
        </w:tc>
        <w:tc>
          <w:tcPr>
            <w:tcW w:w="6804"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öröklött és tanult magatartásformák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Öröklött és tanult elemek az emberi viselkedésben. A tanulás és az érzelmek kapcsolata.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tanulás kritikus szakaszait az egyedfejlődés során.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Lorenz bevésődésre vonatkozó kísérletei.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Megerősítés, szokás, függőség kialakulása. </w:t>
            </w:r>
            <w:r>
              <w:rPr>
                <w:rFonts w:ascii="Times New Roman" w:hAnsi="Times New Roman" w:cs="Times New Roman"/>
                <w:i/>
                <w:iCs/>
                <w:sz w:val="20"/>
                <w:szCs w:val="20"/>
              </w:rPr>
              <w:t xml:space="preserv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Vonzódás és taszítás, ezek formái, a csoportok közötti taszítás (agresszió) és altruizmus megnyilvánulásai.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Ézelmi és értelmi fejlődés kapcsolata.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Életmód, stresszbetegségek. Fájdalomcsillapítás. Az idegrendszer néhány betegsége. </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2552" w:type="dxa"/>
            <w:tcBorders>
              <w:top w:val="nil"/>
              <w:left w:val="single" w:sz="4"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left w:val="single" w:sz="6"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pszichoaktív szerek főbb csoportjai, a kémiai és a viselkedési függőségek közös jellegzetességei.</w:t>
            </w:r>
          </w:p>
          <w:p w:rsidR="004C2997" w:rsidRDefault="004C2997">
            <w:pPr>
              <w:autoSpaceDE w:val="0"/>
              <w:autoSpaceDN w:val="0"/>
              <w:adjustRightInd w:val="0"/>
              <w:spacing w:after="0" w:line="240" w:lineRule="auto"/>
              <w:rPr>
                <w:rFonts w:ascii="Times New Roman" w:hAnsi="Times New Roman" w:cs="Times New Roman"/>
                <w:i/>
                <w:iCs/>
                <w:sz w:val="20"/>
                <w:szCs w:val="20"/>
              </w:rPr>
            </w:pP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trHeight w:val="369"/>
        </w:trPr>
        <w:tc>
          <w:tcPr>
            <w:tcW w:w="2552" w:type="dxa"/>
            <w:tcBorders>
              <w:top w:val="single" w:sz="4" w:space="0" w:color="auto"/>
              <w:left w:val="single" w:sz="4" w:space="0" w:color="auto"/>
              <w:bottom w:val="nil"/>
              <w:right w:val="single" w:sz="4" w:space="0" w:color="auto"/>
            </w:tcBorders>
          </w:tcPr>
          <w:p w:rsidR="004C2997" w:rsidRDefault="004C2997">
            <w:pPr>
              <w:pageBreakBefore/>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Hormonrendszer,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hormonális működések</w:t>
            </w:r>
          </w:p>
        </w:tc>
        <w:tc>
          <w:tcPr>
            <w:tcW w:w="6804"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hormonrendszer működésének lényege és szabályozása.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neurohormonális rendszer.</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trHeight w:val="369"/>
        </w:trPr>
        <w:tc>
          <w:tcPr>
            <w:tcW w:w="2552" w:type="dxa"/>
            <w:tcBorders>
              <w:top w:val="nil"/>
              <w:left w:val="single" w:sz="4"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left w:val="single" w:sz="6"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inzulin, adrenalin, tiroxin, tesztoszteron, oxitocin termelődési helye és hatása. A női nemi ciklus során végbemenő hormonális, és testi változások. A hormonális fogamzásgátlás biológiai alapjai. </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2552" w:type="dxa"/>
            <w:tcBorders>
              <w:top w:val="nil"/>
              <w:left w:val="single" w:sz="4"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left w:val="single" w:sz="6"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cukorbetegség.</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2552" w:type="dxa"/>
            <w:tcBorders>
              <w:top w:val="single" w:sz="6" w:space="0" w:color="auto"/>
              <w:left w:val="single" w:sz="4"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Immunrendszer,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immunitás</w:t>
            </w:r>
          </w:p>
        </w:tc>
        <w:tc>
          <w:tcPr>
            <w:tcW w:w="6804" w:type="dxa"/>
            <w:tcBorders>
              <w:top w:val="single" w:sz="6" w:space="0" w:color="auto"/>
              <w:left w:val="single" w:sz="6"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Antitest, antigén, immunitás. Az immunrendszer jellemző sejtjei. A gyulladás.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immunizálás, a kötelező védőoltások.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Pasteur és Semmelweis tudománytörténeti jelentősége.</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2552" w:type="dxa"/>
            <w:tcBorders>
              <w:top w:val="nil"/>
              <w:left w:val="single" w:sz="4"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left w:val="single" w:sz="6"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AB0 és Rh-vércsoportrendszer. Rh-összeférhetetlenség</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Pr>
        <w:tc>
          <w:tcPr>
            <w:tcW w:w="2552" w:type="dxa"/>
            <w:tcBorders>
              <w:top w:val="nil"/>
              <w:left w:val="single" w:sz="4"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left w:val="single" w:sz="6"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Vérátömlesztés, véradás, szervátültetés.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láz és a lázcsillapítás módjai.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allergia és a környezetszennyezés közti kapcsolat.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Pr>
        <w:tc>
          <w:tcPr>
            <w:tcW w:w="2552" w:type="dxa"/>
            <w:tcBorders>
              <w:top w:val="single" w:sz="4" w:space="0" w:color="auto"/>
              <w:left w:val="single" w:sz="4"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Szaporodás és egyedfejlődés</w:t>
            </w:r>
          </w:p>
        </w:tc>
        <w:tc>
          <w:tcPr>
            <w:tcW w:w="6804" w:type="dxa"/>
            <w:vMerge w:val="restart"/>
            <w:tcBorders>
              <w:top w:val="single" w:sz="4" w:space="0" w:color="auto"/>
              <w:left w:val="single" w:sz="6"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férfi és női nemi szervek felépítése, működése, a megtermékenyítés. Az ivar meghatározottságának szintjei.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 magzati fejlődésének, születésének és  posztembrionális fejlődésének fő szakaszai.</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Pr>
        <w:tc>
          <w:tcPr>
            <w:tcW w:w="2552" w:type="dxa"/>
            <w:tcBorders>
              <w:top w:val="nil"/>
              <w:left w:val="single" w:sz="4"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vMerge/>
            <w:tcBorders>
              <w:top w:val="nil"/>
              <w:left w:val="single" w:sz="6"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Pr>
        <w:tc>
          <w:tcPr>
            <w:tcW w:w="2552" w:type="dxa"/>
            <w:tcBorders>
              <w:top w:val="nil"/>
              <w:left w:val="single" w:sz="4"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vMerge/>
            <w:tcBorders>
              <w:top w:val="nil"/>
              <w:left w:val="single" w:sz="6"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2552" w:type="dxa"/>
            <w:tcBorders>
              <w:top w:val="nil"/>
              <w:left w:val="single" w:sz="4"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left w:val="single" w:sz="6"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öregedés során bekövetkező biológiai változások.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emberi élet vége.</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trHeight w:val="501"/>
        </w:trPr>
        <w:tc>
          <w:tcPr>
            <w:tcW w:w="2552" w:type="dxa"/>
            <w:tcBorders>
              <w:top w:val="nil"/>
              <w:left w:val="single" w:sz="4"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left w:val="single" w:sz="6"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családtervezés módjai, a terhességmegszakítás lehetséges következményei.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meddőség gyakoribb okai és az ezeket korrigáló orvosi beavatkozások. Etikai problémáka (mesterséges ondóbevitel, lombikbébi, béranyaság, klónozás).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Várandósság, terhesgondozás.  Nemi úton terjedő betegségek megelőzése.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Height w:val="194"/>
        </w:trPr>
        <w:tc>
          <w:tcPr>
            <w:tcW w:w="9356" w:type="dxa"/>
            <w:gridSpan w:val="2"/>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5. Egyed feletti szerveződési szintek</w:t>
            </w:r>
          </w:p>
        </w:tc>
      </w:tr>
      <w:tr w:rsidR="004C2997">
        <w:tblPrEx>
          <w:tblBorders>
            <w:top w:val="single" w:sz="6" w:space="0" w:color="auto"/>
            <w:left w:val="single" w:sz="6" w:space="0" w:color="auto"/>
            <w:bottom w:val="single" w:sz="6" w:space="0" w:color="auto"/>
            <w:right w:val="single" w:sz="6" w:space="0" w:color="auto"/>
            <w:insideH w:val="none" w:sz="0" w:space="0" w:color="auto"/>
            <w:insideV w:val="none" w:sz="0" w:space="0" w:color="auto"/>
          </w:tblBorders>
          <w:tblCellMar>
            <w:top w:w="0" w:type="dxa"/>
            <w:left w:w="71" w:type="dxa"/>
            <w:bottom w:w="0" w:type="dxa"/>
            <w:right w:w="71" w:type="dxa"/>
          </w:tblCellMar>
        </w:tblPrEx>
        <w:trPr>
          <w:cantSplit/>
          <w:trHeight w:val="2305"/>
        </w:trPr>
        <w:tc>
          <w:tcPr>
            <w:tcW w:w="2552"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Populáció </w:t>
            </w:r>
          </w:p>
        </w:tc>
        <w:tc>
          <w:tcPr>
            <w:tcW w:w="6804"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populáció fogalma. </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Növekedési modellek, korfák.</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környezet fogalma, időbeli és térbeli változása.</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Tűrőképességi görbék és indikáció.</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territórium, a rangsor, az önzetlen és az agresszív magatartás, a rituális harc, a behódolás fogalma, a párosodási rendszerek (csoportszerveződés) típusai.</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szimbiózis, a versengés, az asztalközösség (kommenzalizmus,) az antibiózis, az élősködés és a táplálkozási kölcsönhatás (predáció) fogalma, állati és növényi példákkal.</w:t>
            </w:r>
          </w:p>
        </w:tc>
      </w:tr>
      <w:tr w:rsidR="004C2997">
        <w:tblPrEx>
          <w:tblBorders>
            <w:top w:val="single" w:sz="6" w:space="0" w:color="auto"/>
            <w:left w:val="single" w:sz="12" w:space="0" w:color="auto"/>
            <w:bottom w:val="single" w:sz="12" w:space="0" w:color="auto"/>
            <w:right w:val="single" w:sz="12" w:space="0" w:color="auto"/>
            <w:insideH w:val="none" w:sz="0" w:space="0" w:color="auto"/>
            <w:insideV w:val="single" w:sz="6" w:space="0" w:color="auto"/>
          </w:tblBorders>
          <w:tblCellMar>
            <w:top w:w="0" w:type="dxa"/>
            <w:left w:w="71" w:type="dxa"/>
            <w:bottom w:w="0" w:type="dxa"/>
            <w:right w:w="71" w:type="dxa"/>
          </w:tblCellMar>
        </w:tblPrEx>
        <w:trPr>
          <w:cantSplit/>
          <w:trHeight w:val="276"/>
        </w:trPr>
        <w:tc>
          <w:tcPr>
            <w:tcW w:w="2552" w:type="dxa"/>
            <w:vMerge w:val="restart"/>
            <w:tcBorders>
              <w:top w:val="single" w:sz="4" w:space="0" w:color="auto"/>
              <w:left w:val="single" w:sz="4" w:space="0" w:color="auto"/>
              <w:bottom w:val="nil"/>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Életközösségek (élőhelytípusok)</w:t>
            </w:r>
          </w:p>
        </w:tc>
        <w:tc>
          <w:tcPr>
            <w:tcW w:w="6804" w:type="dxa"/>
            <w:vMerge w:val="restart"/>
            <w:tcBorders>
              <w:top w:val="single" w:sz="4" w:space="0" w:color="auto"/>
              <w:bottom w:val="nil"/>
              <w:right w:val="single" w:sz="4"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flóra és fauna és az életközösség (élőhelytípus) fogalma. </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Térbeli és időbeli mintázatok, az emberi hatás felismerése.</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Egy tó feltöltődésének folyamata.  </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gyomnövény fogalma.</w:t>
            </w:r>
          </w:p>
          <w:p w:rsidR="004C2997" w:rsidRDefault="004C2997">
            <w:pPr>
              <w:autoSpaceDE w:val="0"/>
              <w:autoSpaceDN w:val="0"/>
              <w:adjustRightInd w:val="0"/>
              <w:spacing w:after="0" w:line="240" w:lineRule="auto"/>
              <w:jc w:val="both"/>
              <w:rPr>
                <w:rFonts w:ascii="Times New Roman" w:hAnsi="Times New Roman" w:cs="Times New Roman"/>
                <w:sz w:val="20"/>
                <w:szCs w:val="20"/>
              </w:rPr>
            </w:pPr>
          </w:p>
        </w:tc>
      </w:tr>
      <w:tr w:rsidR="004C2997">
        <w:tblPrEx>
          <w:tblBorders>
            <w:top w:val="single" w:sz="6" w:space="0" w:color="auto"/>
            <w:left w:val="single" w:sz="12" w:space="0" w:color="auto"/>
            <w:bottom w:val="single" w:sz="12" w:space="0" w:color="auto"/>
            <w:right w:val="single" w:sz="12" w:space="0" w:color="auto"/>
            <w:insideH w:val="none" w:sz="0" w:space="0" w:color="auto"/>
            <w:insideV w:val="single" w:sz="6" w:space="0" w:color="auto"/>
          </w:tblBorders>
          <w:tblCellMar>
            <w:top w:w="0" w:type="dxa"/>
            <w:left w:w="71" w:type="dxa"/>
            <w:bottom w:w="0" w:type="dxa"/>
            <w:right w:w="71" w:type="dxa"/>
          </w:tblCellMar>
        </w:tblPrEx>
        <w:trPr>
          <w:cantSplit/>
          <w:trHeight w:val="276"/>
        </w:trPr>
        <w:tc>
          <w:tcPr>
            <w:tcW w:w="2552" w:type="dxa"/>
            <w:vMerge/>
            <w:tcBorders>
              <w:top w:val="nil"/>
              <w:left w:val="single" w:sz="4" w:space="0" w:color="auto"/>
              <w:bottom w:val="nil"/>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804" w:type="dxa"/>
            <w:vMerge/>
            <w:tcBorders>
              <w:top w:val="nil"/>
              <w:bottom w:val="nil"/>
              <w:right w:val="single" w:sz="4"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p>
        </w:tc>
      </w:tr>
      <w:tr w:rsidR="004C2997">
        <w:tblPrEx>
          <w:tblBorders>
            <w:top w:val="single" w:sz="6" w:space="0" w:color="auto"/>
            <w:left w:val="single" w:sz="6" w:space="0" w:color="auto"/>
            <w:bottom w:val="single" w:sz="6" w:space="0" w:color="auto"/>
            <w:right w:val="single" w:sz="6" w:space="0" w:color="auto"/>
            <w:insideH w:val="none" w:sz="0" w:space="0" w:color="auto"/>
            <w:insideV w:val="none" w:sz="0" w:space="0" w:color="auto"/>
          </w:tblBorders>
          <w:tblCellMar>
            <w:top w:w="0" w:type="dxa"/>
            <w:left w:w="71" w:type="dxa"/>
            <w:bottom w:w="0" w:type="dxa"/>
            <w:right w:w="71" w:type="dxa"/>
          </w:tblCellMar>
        </w:tblPrEx>
        <w:tc>
          <w:tcPr>
            <w:tcW w:w="2552"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Bioszféra,</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globális folyamatok</w:t>
            </w:r>
          </w:p>
        </w:tc>
        <w:tc>
          <w:tcPr>
            <w:tcW w:w="6804"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bioszféra fogalma. A Gaia-elmélet.</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Civilizációs ártalmak, a természetes növény- és állatvilágot pusztító és védő emberi beavatkozások. </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Globális és helyi problémák. </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ökológiai válság társadalmi és gazdasági összefüggései.</w:t>
            </w:r>
          </w:p>
          <w:p w:rsidR="004C2997" w:rsidRDefault="004C2997">
            <w:pPr>
              <w:autoSpaceDE w:val="0"/>
              <w:autoSpaceDN w:val="0"/>
              <w:adjustRightInd w:val="0"/>
              <w:spacing w:after="0" w:line="240" w:lineRule="auto"/>
              <w:jc w:val="both"/>
              <w:rPr>
                <w:rFonts w:ascii="Times New Roman" w:hAnsi="Times New Roman" w:cs="Times New Roman"/>
                <w:i/>
                <w:iCs/>
                <w:sz w:val="20"/>
                <w:szCs w:val="20"/>
              </w:rPr>
            </w:pPr>
          </w:p>
        </w:tc>
      </w:tr>
      <w:tr w:rsidR="004C2997">
        <w:tblPrEx>
          <w:tblBorders>
            <w:top w:val="single" w:sz="6" w:space="0" w:color="auto"/>
            <w:left w:val="single" w:sz="6" w:space="0" w:color="auto"/>
            <w:bottom w:val="single" w:sz="6" w:space="0" w:color="auto"/>
            <w:right w:val="single" w:sz="6" w:space="0" w:color="auto"/>
            <w:insideH w:val="none" w:sz="0" w:space="0" w:color="auto"/>
            <w:insideV w:val="none" w:sz="0" w:space="0" w:color="auto"/>
          </w:tblBorders>
          <w:tblCellMar>
            <w:top w:w="0" w:type="dxa"/>
            <w:left w:w="71" w:type="dxa"/>
            <w:bottom w:w="0" w:type="dxa"/>
            <w:right w:w="71" w:type="dxa"/>
          </w:tblCellMar>
        </w:tblPrEx>
        <w:trPr>
          <w:cantSplit/>
          <w:trHeight w:val="700"/>
        </w:trPr>
        <w:tc>
          <w:tcPr>
            <w:tcW w:w="2552"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Ökoszisztéma </w:t>
            </w:r>
          </w:p>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804"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Az ökoszisztéma fogalma. </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Az életközösségek anyagforgalmának és energiaáramlásának jellemzői.  </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szén és az oxigén körforgása. (Biogeokémiai ciklus.)</w:t>
            </w:r>
          </w:p>
          <w:p w:rsidR="004C2997" w:rsidRDefault="004C2997">
            <w:pPr>
              <w:autoSpaceDE w:val="0"/>
              <w:autoSpaceDN w:val="0"/>
              <w:adjustRightInd w:val="0"/>
              <w:spacing w:after="0" w:line="240" w:lineRule="auto"/>
              <w:jc w:val="both"/>
              <w:rPr>
                <w:rFonts w:ascii="Times New Roman" w:hAnsi="Times New Roman" w:cs="Times New Roman"/>
                <w:sz w:val="20"/>
                <w:szCs w:val="20"/>
              </w:rPr>
            </w:pPr>
          </w:p>
        </w:tc>
      </w:tr>
      <w:tr w:rsidR="004C2997">
        <w:tblPrEx>
          <w:tblBorders>
            <w:top w:val="single" w:sz="6" w:space="0" w:color="auto"/>
            <w:left w:val="single" w:sz="6" w:space="0" w:color="auto"/>
            <w:bottom w:val="single" w:sz="6" w:space="0" w:color="auto"/>
            <w:right w:val="single" w:sz="6" w:space="0" w:color="auto"/>
            <w:insideH w:val="none" w:sz="0" w:space="0" w:color="auto"/>
            <w:insideV w:val="none" w:sz="0" w:space="0" w:color="auto"/>
          </w:tblBorders>
          <w:tblCellMar>
            <w:top w:w="0" w:type="dxa"/>
            <w:left w:w="71" w:type="dxa"/>
            <w:bottom w:w="0" w:type="dxa"/>
            <w:right w:w="71" w:type="dxa"/>
          </w:tblCellMar>
        </w:tblPrEx>
        <w:tc>
          <w:tcPr>
            <w:tcW w:w="2552"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H-Times_WD" w:hAnsi="H-Times_WD" w:cs="H-Times_WD"/>
                <w:sz w:val="20"/>
                <w:szCs w:val="20"/>
              </w:rPr>
            </w:pPr>
            <w:r>
              <w:rPr>
                <w:rFonts w:ascii="H-Times_WD" w:hAnsi="H-Times_WD" w:cs="H-Times_WD"/>
                <w:sz w:val="20"/>
                <w:szCs w:val="20"/>
              </w:rPr>
              <w:t>Környezet- és természetvédelem</w:t>
            </w:r>
          </w:p>
        </w:tc>
        <w:tc>
          <w:tcPr>
            <w:tcW w:w="6804"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természetvédelem fogalma, a mellette szóló érvek.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védett területek típusai.</w:t>
            </w:r>
          </w:p>
        </w:tc>
      </w:tr>
      <w:tr w:rsidR="004C2997">
        <w:tblPrEx>
          <w:tblBorders>
            <w:top w:val="single" w:sz="6" w:space="0" w:color="auto"/>
            <w:left w:val="single" w:sz="6" w:space="0" w:color="auto"/>
            <w:bottom w:val="single" w:sz="6" w:space="0" w:color="auto"/>
            <w:right w:val="single" w:sz="6" w:space="0" w:color="auto"/>
            <w:insideH w:val="none" w:sz="0" w:space="0" w:color="auto"/>
            <w:insideV w:val="none" w:sz="0" w:space="0" w:color="auto"/>
          </w:tblBorders>
          <w:tblCellMar>
            <w:top w:w="0" w:type="dxa"/>
            <w:left w:w="71" w:type="dxa"/>
            <w:bottom w:w="0" w:type="dxa"/>
            <w:right w:w="71" w:type="dxa"/>
          </w:tblCellMar>
        </w:tblPrEx>
        <w:tc>
          <w:tcPr>
            <w:tcW w:w="255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Hazánk nemzeti parkjai. </w:t>
            </w:r>
          </w:p>
        </w:tc>
      </w:tr>
      <w:tr w:rsidR="004C2997">
        <w:tblPrEx>
          <w:tblBorders>
            <w:top w:val="single" w:sz="6" w:space="0" w:color="auto"/>
            <w:left w:val="single" w:sz="6" w:space="0" w:color="auto"/>
            <w:bottom w:val="single" w:sz="6" w:space="0" w:color="auto"/>
            <w:right w:val="single" w:sz="6" w:space="0" w:color="auto"/>
            <w:insideH w:val="none" w:sz="0" w:space="0" w:color="auto"/>
            <w:insideV w:val="none" w:sz="0" w:space="0" w:color="auto"/>
          </w:tblBorders>
          <w:tblCellMar>
            <w:top w:w="0" w:type="dxa"/>
            <w:left w:w="71" w:type="dxa"/>
            <w:bottom w:w="0" w:type="dxa"/>
            <w:right w:w="71" w:type="dxa"/>
          </w:tblCellMar>
        </w:tblPrEx>
        <w:tc>
          <w:tcPr>
            <w:tcW w:w="2552"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H-Times_WD" w:hAnsi="H-Times_WD" w:cs="H-Times_WD"/>
                <w:sz w:val="20"/>
                <w:szCs w:val="20"/>
              </w:rPr>
            </w:pPr>
          </w:p>
        </w:tc>
        <w:tc>
          <w:tcPr>
            <w:tcW w:w="6804" w:type="dxa"/>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H-Times_WD" w:hAnsi="H-Times_WD" w:cs="H-Times_WD"/>
                <w:sz w:val="20"/>
                <w:szCs w:val="20"/>
              </w:rPr>
            </w:pPr>
            <w:r>
              <w:rPr>
                <w:rFonts w:ascii="H-Times_WD" w:hAnsi="H-Times_WD" w:cs="H-Times_WD"/>
                <w:sz w:val="20"/>
                <w:szCs w:val="20"/>
              </w:rPr>
              <w:t xml:space="preserve">A környezetvédelem a kibocsátás és ülepedés, a határérték fogalma. </w:t>
            </w:r>
          </w:p>
          <w:p w:rsidR="004C2997" w:rsidRDefault="004C2997">
            <w:pPr>
              <w:autoSpaceDE w:val="0"/>
              <w:autoSpaceDN w:val="0"/>
              <w:adjustRightInd w:val="0"/>
              <w:spacing w:after="0" w:line="240" w:lineRule="auto"/>
              <w:rPr>
                <w:rFonts w:ascii="H-Times_WD" w:hAnsi="H-Times_WD" w:cs="H-Times_WD"/>
                <w:sz w:val="20"/>
                <w:szCs w:val="20"/>
              </w:rPr>
            </w:pPr>
            <w:r>
              <w:rPr>
                <w:rFonts w:ascii="H-Times_WD" w:hAnsi="H-Times_WD" w:cs="H-Times_WD"/>
                <w:sz w:val="20"/>
                <w:szCs w:val="20"/>
              </w:rPr>
              <w:t>A légszennyezés forrásai, az üvegházhatás. A lehetséges teendok. A vizek tisztulása, tisztítása. Hagyományos és ,,alternatív” energiaforrások. A talaj romlásának, illetve javításának folyamata. A hulladék típusai, kezelésük lehetséges módja.</w:t>
            </w:r>
          </w:p>
          <w:p w:rsidR="004C2997" w:rsidRDefault="004C2997">
            <w:pPr>
              <w:autoSpaceDE w:val="0"/>
              <w:autoSpaceDN w:val="0"/>
              <w:adjustRightInd w:val="0"/>
              <w:spacing w:after="0" w:line="240" w:lineRule="auto"/>
              <w:rPr>
                <w:rFonts w:ascii="H-Times_WD" w:hAnsi="H-Times_WD" w:cs="H-Times_WD"/>
                <w:sz w:val="20"/>
                <w:szCs w:val="20"/>
              </w:rPr>
            </w:pPr>
          </w:p>
        </w:tc>
      </w:tr>
      <w:tr w:rsidR="004C2997">
        <w:tblPrEx>
          <w:tblBorders>
            <w:top w:val="single" w:sz="6" w:space="0" w:color="auto"/>
            <w:left w:val="single" w:sz="6" w:space="0" w:color="auto"/>
            <w:bottom w:val="single" w:sz="6" w:space="0" w:color="auto"/>
            <w:right w:val="single" w:sz="6" w:space="0" w:color="auto"/>
            <w:insideH w:val="none" w:sz="0" w:space="0" w:color="auto"/>
            <w:insideV w:val="none" w:sz="0" w:space="0" w:color="auto"/>
          </w:tblBorders>
          <w:tblCellMar>
            <w:top w:w="0" w:type="dxa"/>
            <w:left w:w="71" w:type="dxa"/>
            <w:bottom w:w="0" w:type="dxa"/>
            <w:right w:w="71" w:type="dxa"/>
          </w:tblCellMar>
        </w:tblPrEx>
        <w:trPr>
          <w:cantSplit/>
        </w:trPr>
        <w:tc>
          <w:tcPr>
            <w:tcW w:w="9356" w:type="dxa"/>
            <w:gridSpan w:val="2"/>
            <w:tcBorders>
              <w:top w:val="nil"/>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H-Times_WD" w:hAnsi="H-Times_WD" w:cs="H-Times_WD"/>
                <w:b/>
                <w:bCs/>
                <w:sz w:val="20"/>
                <w:szCs w:val="20"/>
              </w:rPr>
            </w:pPr>
            <w:r>
              <w:rPr>
                <w:rFonts w:ascii="Times New Roman" w:hAnsi="Times New Roman" w:cs="Times New Roman"/>
                <w:b/>
                <w:bCs/>
                <w:sz w:val="20"/>
                <w:szCs w:val="20"/>
              </w:rPr>
              <w:lastRenderedPageBreak/>
              <w:t>6. Öröklődés, változékonyság, evolúció</w:t>
            </w:r>
          </w:p>
        </w:tc>
      </w:tr>
      <w:tr w:rsidR="004C2997">
        <w:tblPrEx>
          <w:tblBorders>
            <w:top w:val="single" w:sz="6" w:space="0" w:color="auto"/>
            <w:left w:val="single" w:sz="6" w:space="0" w:color="auto"/>
            <w:bottom w:val="single" w:sz="6" w:space="0" w:color="auto"/>
            <w:right w:val="single" w:sz="6" w:space="0" w:color="auto"/>
            <w:insideH w:val="none" w:sz="0" w:space="0" w:color="auto"/>
            <w:insideV w:val="none" w:sz="0" w:space="0" w:color="auto"/>
          </w:tblBorders>
          <w:tblCellMar>
            <w:top w:w="0" w:type="dxa"/>
            <w:left w:w="71" w:type="dxa"/>
            <w:bottom w:w="0" w:type="dxa"/>
            <w:right w:w="71" w:type="dxa"/>
          </w:tblCellMar>
        </w:tblPrEx>
        <w:trPr>
          <w:cantSplit/>
          <w:trHeight w:val="2076"/>
        </w:trPr>
        <w:tc>
          <w:tcPr>
            <w:tcW w:w="2552"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Molekuláris genetika</w:t>
            </w:r>
          </w:p>
        </w:tc>
        <w:tc>
          <w:tcPr>
            <w:tcW w:w="6804"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gén és allél, a genetikai kód, a kromoszóma, a rekombináció, a kromatinfonál és homológ kromoszóma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DNS bázissorendje, a fehérje aminosavsorrendje, térszerkezete és biológiai funkciója valamint a tapasztalható jelleg közötti általános összefüggés.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mutáció fogalma, evolúciós szerepe és lehetséges hatásai. Mutagén hatások, csökkentésük vagy kivédésük lehetőségei. Kromoszóma-mutációk, kockázati tényezők.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génműködés szabályozásának fogalma.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daganatos betegségek és a kockázati tényezők.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auto"/>
            <w:left w:val="single" w:sz="12" w:space="0" w:color="auto"/>
            <w:bottom w:val="single" w:sz="12" w:space="0" w:color="auto"/>
            <w:right w:val="single" w:sz="12" w:space="0" w:color="auto"/>
            <w:insideH w:val="none" w:sz="0" w:space="0" w:color="auto"/>
            <w:insideV w:val="single" w:sz="6" w:space="0" w:color="auto"/>
          </w:tblBorders>
          <w:tblCellMar>
            <w:top w:w="0" w:type="dxa"/>
            <w:left w:w="71" w:type="dxa"/>
            <w:bottom w:w="0" w:type="dxa"/>
            <w:right w:w="71" w:type="dxa"/>
          </w:tblCellMar>
        </w:tblPrEx>
        <w:trPr>
          <w:cantSplit/>
        </w:trPr>
        <w:tc>
          <w:tcPr>
            <w:tcW w:w="2552" w:type="dxa"/>
            <w:tcBorders>
              <w:top w:val="single" w:sz="4" w:space="0" w:color="auto"/>
              <w:left w:val="single" w:sz="4" w:space="0" w:color="auto"/>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Mendeli genetika</w:t>
            </w:r>
          </w:p>
        </w:tc>
        <w:tc>
          <w:tcPr>
            <w:tcW w:w="6804" w:type="dxa"/>
            <w:tcBorders>
              <w:top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haploid, diploid, homozigóta és heterozigóta, genotípus és fenotípus fogalmai.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öröklésmenetek alaptípusai.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humángenetikai sajátos módszerei (családfaelemzés).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ivarsejtek szerepe az ivar meghatározásában.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génkölcsönhatás és a</w:t>
            </w:r>
            <w:r>
              <w:rPr>
                <w:rFonts w:ascii="H-Times_WD" w:hAnsi="H-Times_WD" w:cs="H-Times_WD"/>
                <w:sz w:val="20"/>
                <w:szCs w:val="20"/>
              </w:rPr>
              <w:t xml:space="preserve"> génkapcsoltság.</w:t>
            </w:r>
          </w:p>
          <w:p w:rsidR="004C2997" w:rsidRDefault="004C2997">
            <w:pPr>
              <w:autoSpaceDE w:val="0"/>
              <w:autoSpaceDN w:val="0"/>
              <w:adjustRightInd w:val="0"/>
              <w:spacing w:after="0" w:line="240" w:lineRule="auto"/>
              <w:rPr>
                <w:rFonts w:ascii="H-Times_WD" w:hAnsi="H-Times_WD" w:cs="H-Times_WD"/>
                <w:sz w:val="20"/>
                <w:szCs w:val="20"/>
              </w:rPr>
            </w:pPr>
            <w:r>
              <w:rPr>
                <w:rFonts w:ascii="H-Times_WD" w:hAnsi="H-Times_WD" w:cs="H-Times_WD"/>
                <w:sz w:val="20"/>
                <w:szCs w:val="20"/>
              </w:rPr>
              <w:t>Öröklodo mennyiségi tulajdonságok és hajlamok.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auto"/>
            <w:left w:val="single" w:sz="12" w:space="0" w:color="auto"/>
            <w:bottom w:val="single" w:sz="12" w:space="0" w:color="auto"/>
            <w:right w:val="single" w:sz="12" w:space="0" w:color="auto"/>
            <w:insideH w:val="none" w:sz="0" w:space="0" w:color="auto"/>
            <w:insideV w:val="single" w:sz="6" w:space="0" w:color="auto"/>
          </w:tblBorders>
          <w:tblCellMar>
            <w:top w:w="0" w:type="dxa"/>
            <w:left w:w="71" w:type="dxa"/>
            <w:bottom w:w="0" w:type="dxa"/>
            <w:right w:w="71" w:type="dxa"/>
          </w:tblCellMar>
        </w:tblPrEx>
        <w:trPr>
          <w:cantSplit/>
        </w:trPr>
        <w:tc>
          <w:tcPr>
            <w:tcW w:w="2552" w:type="dxa"/>
            <w:tcBorders>
              <w:top w:val="nil"/>
              <w:left w:val="single" w:sz="4" w:space="0" w:color="auto"/>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Populációgenetika 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evolúciós folyamatok</w:t>
            </w:r>
          </w:p>
        </w:tc>
        <w:tc>
          <w:tcPr>
            <w:tcW w:w="6804" w:type="dxa"/>
            <w:tcBorders>
              <w:top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ideális és a reális populáció fogalma, a mutációk,  a szelekció szerepe, kapcsolat a fajkeletkezés elméletével. A természetes szelekció darwini modellje.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populáció nagyságának természetvédelmi jelentősége.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Adaptív és nem adaptív jellegű evolúciós folyamatok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evolúció közvetlen bizonyítékai.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klón fogalma. Biotechnológai módszerek.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Néhány, a géntechnológia mellett és ellen felsorakoztatható érv.</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Genetikai tanácsadás</w:t>
            </w:r>
            <w:r>
              <w:rPr>
                <w:rFonts w:ascii="Times New Roman" w:hAnsi="Times New Roman" w:cs="Times New Roman"/>
                <w:i/>
                <w:iCs/>
                <w:sz w:val="20"/>
                <w:szCs w:val="20"/>
              </w:rPr>
              <w:t xml:space="preserve">. </w:t>
            </w:r>
            <w:r>
              <w:rPr>
                <w:rFonts w:ascii="Times New Roman" w:hAnsi="Times New Roman" w:cs="Times New Roman"/>
                <w:sz w:val="20"/>
                <w:szCs w:val="20"/>
              </w:rPr>
              <w:t xml:space="preserve">Biológiai alkalmasság (fittnes) és az emberi élet értéke.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Human Genom Program célja.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auto"/>
            <w:left w:val="single" w:sz="12" w:space="0" w:color="auto"/>
            <w:bottom w:val="single" w:sz="12" w:space="0" w:color="auto"/>
            <w:right w:val="single" w:sz="12" w:space="0" w:color="auto"/>
            <w:insideH w:val="none" w:sz="0" w:space="0" w:color="auto"/>
            <w:insideV w:val="single" w:sz="6" w:space="0" w:color="auto"/>
          </w:tblBorders>
          <w:tblCellMar>
            <w:top w:w="0" w:type="dxa"/>
            <w:left w:w="71" w:type="dxa"/>
            <w:bottom w:w="0" w:type="dxa"/>
            <w:right w:w="71" w:type="dxa"/>
          </w:tblCellMar>
        </w:tblPrEx>
        <w:trPr>
          <w:cantSplit/>
        </w:trPr>
        <w:tc>
          <w:tcPr>
            <w:tcW w:w="2552" w:type="dxa"/>
            <w:tcBorders>
              <w:top w:val="nil"/>
              <w:left w:val="single" w:sz="4" w:space="0" w:color="auto"/>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bioszféra evolúciója</w:t>
            </w:r>
          </w:p>
        </w:tc>
        <w:tc>
          <w:tcPr>
            <w:tcW w:w="6804" w:type="dxa"/>
            <w:tcBorders>
              <w:top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fizikai és kémiai evolúció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emberszabású majmok és az ember vonásai. Az emberi faj egysége.</w:t>
            </w:r>
          </w:p>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2552"/>
        <w:gridCol w:w="6804"/>
      </w:tblGrid>
      <w:tr w:rsidR="004C2997">
        <w:tblPrEx>
          <w:tblCellMar>
            <w:top w:w="0" w:type="dxa"/>
            <w:bottom w:w="0" w:type="dxa"/>
          </w:tblCellMar>
        </w:tblPrEx>
        <w:trPr>
          <w:cantSplit/>
        </w:trPr>
        <w:tc>
          <w:tcPr>
            <w:tcW w:w="2552" w:type="dxa"/>
            <w:tcBorders>
              <w:top w:val="single" w:sz="4" w:space="0" w:color="auto"/>
              <w:left w:val="single" w:sz="4" w:space="0" w:color="auto"/>
              <w:bottom w:val="single" w:sz="4" w:space="0" w:color="auto"/>
              <w:right w:val="single" w:sz="4" w:space="0" w:color="auto"/>
            </w:tcBorders>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6804" w:type="dxa"/>
            <w:tcBorders>
              <w:top w:val="single" w:sz="4" w:space="0" w:color="auto"/>
              <w:left w:val="nil"/>
              <w:bottom w:val="single" w:sz="4" w:space="0" w:color="auto"/>
              <w:right w:val="single" w:sz="4" w:space="0" w:color="auto"/>
            </w:tcBorders>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356" w:type="dxa"/>
            <w:gridSpan w:val="2"/>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Bevezetés a biológiába</w:t>
            </w:r>
          </w:p>
        </w:tc>
      </w:tr>
      <w:tr w:rsidR="004C2997">
        <w:tblPrEx>
          <w:tblCellMar>
            <w:top w:w="0" w:type="dxa"/>
            <w:bottom w:w="0" w:type="dxa"/>
          </w:tblCellMar>
        </w:tblPrEx>
        <w:tc>
          <w:tcPr>
            <w:tcW w:w="255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biológia tudománya</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rendszertani kategóriák, a faj, a mesterséges és természetes rendszer fogalma. A szerveződési szint fogalma. Modellek.</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c>
          <w:tcPr>
            <w:tcW w:w="255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Fizikai, kémiai alapismeretek</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diffúzió, az ozmózis, a felületi kötődés és a katalízis biológiai jelentősége, feltételei.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Pr>
        <w:tc>
          <w:tcPr>
            <w:tcW w:w="9356"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Egyed alatti szerveződési szint</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Pr>
        <w:tc>
          <w:tcPr>
            <w:tcW w:w="255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Szervetlen és szerves alkotóelemek: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Elemek, ionok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szervetlen molekulák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Lipidek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Szénhidrátok</w:t>
            </w:r>
          </w:p>
        </w:tc>
        <w:tc>
          <w:tcPr>
            <w:tcW w:w="6804"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 H, O, N, S, P  szerepe az élő szervezetben.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w:t>
            </w:r>
            <w:r>
              <w:rPr>
                <w:rFonts w:ascii="Times New Roman" w:hAnsi="Times New Roman" w:cs="Times New Roman"/>
                <w:sz w:val="20"/>
                <w:szCs w:val="20"/>
                <w:vertAlign w:val="superscript"/>
              </w:rPr>
              <w:t>+</w:t>
            </w:r>
            <w:r>
              <w:rPr>
                <w:rFonts w:ascii="Times New Roman" w:hAnsi="Times New Roman" w:cs="Times New Roman"/>
                <w:sz w:val="20"/>
                <w:szCs w:val="20"/>
              </w:rPr>
              <w:t>,Ca</w:t>
            </w:r>
            <w:r>
              <w:rPr>
                <w:rFonts w:ascii="Times New Roman" w:hAnsi="Times New Roman" w:cs="Times New Roman"/>
                <w:sz w:val="20"/>
                <w:szCs w:val="20"/>
                <w:vertAlign w:val="superscript"/>
              </w:rPr>
              <w:t>2+</w:t>
            </w:r>
            <w:r>
              <w:rPr>
                <w:rFonts w:ascii="Times New Roman" w:hAnsi="Times New Roman" w:cs="Times New Roman"/>
                <w:sz w:val="20"/>
                <w:szCs w:val="20"/>
              </w:rPr>
              <w:t>, Mg</w:t>
            </w:r>
            <w:r>
              <w:rPr>
                <w:rFonts w:ascii="Times New Roman" w:hAnsi="Times New Roman" w:cs="Times New Roman"/>
                <w:sz w:val="20"/>
                <w:szCs w:val="20"/>
                <w:vertAlign w:val="superscript"/>
              </w:rPr>
              <w:t>2+</w:t>
            </w:r>
            <w:r>
              <w:rPr>
                <w:rFonts w:ascii="Times New Roman" w:hAnsi="Times New Roman" w:cs="Times New Roman"/>
                <w:sz w:val="20"/>
                <w:szCs w:val="20"/>
              </w:rPr>
              <w:t>, Fe</w:t>
            </w:r>
            <w:r>
              <w:rPr>
                <w:rFonts w:ascii="Times New Roman" w:hAnsi="Times New Roman" w:cs="Times New Roman"/>
                <w:sz w:val="20"/>
                <w:szCs w:val="20"/>
                <w:vertAlign w:val="superscript"/>
              </w:rPr>
              <w:t>2+–</w:t>
            </w:r>
            <w:r>
              <w:rPr>
                <w:rFonts w:ascii="Times New Roman" w:hAnsi="Times New Roman" w:cs="Times New Roman"/>
                <w:sz w:val="20"/>
                <w:szCs w:val="20"/>
              </w:rPr>
              <w:t>3</w:t>
            </w:r>
            <w:r>
              <w:rPr>
                <w:rFonts w:ascii="Times New Roman" w:hAnsi="Times New Roman" w:cs="Times New Roman"/>
                <w:sz w:val="20"/>
                <w:szCs w:val="20"/>
                <w:vertAlign w:val="superscript"/>
              </w:rPr>
              <w:t>+</w:t>
            </w:r>
            <w:r>
              <w:rPr>
                <w:rFonts w:ascii="Times New Roman" w:hAnsi="Times New Roman" w:cs="Times New Roman"/>
                <w:sz w:val="20"/>
                <w:szCs w:val="20"/>
              </w:rPr>
              <w:t>, HCO</w:t>
            </w:r>
            <w:r>
              <w:rPr>
                <w:rFonts w:ascii="Times New Roman" w:hAnsi="Times New Roman" w:cs="Times New Roman"/>
                <w:sz w:val="20"/>
                <w:szCs w:val="20"/>
                <w:vertAlign w:val="subscript"/>
              </w:rPr>
              <w:t>3</w:t>
            </w:r>
            <w:r>
              <w:rPr>
                <w:rFonts w:ascii="Times New Roman" w:hAnsi="Times New Roman" w:cs="Times New Roman"/>
                <w:sz w:val="20"/>
                <w:szCs w:val="20"/>
                <w:vertAlign w:val="superscript"/>
              </w:rPr>
              <w:t>–</w:t>
            </w:r>
            <w:r>
              <w:rPr>
                <w:rFonts w:ascii="Times New Roman" w:hAnsi="Times New Roman" w:cs="Times New Roman"/>
                <w:sz w:val="20"/>
                <w:szCs w:val="20"/>
              </w:rPr>
              <w:t>, CO</w:t>
            </w:r>
            <w:r>
              <w:rPr>
                <w:rFonts w:ascii="Times New Roman" w:hAnsi="Times New Roman" w:cs="Times New Roman"/>
                <w:sz w:val="20"/>
                <w:szCs w:val="20"/>
                <w:vertAlign w:val="subscript"/>
              </w:rPr>
              <w:t>3</w:t>
            </w:r>
            <w:r>
              <w:rPr>
                <w:rFonts w:ascii="Times New Roman" w:hAnsi="Times New Roman" w:cs="Times New Roman"/>
                <w:sz w:val="20"/>
                <w:szCs w:val="20"/>
                <w:vertAlign w:val="superscript"/>
              </w:rPr>
              <w:t>2–</w:t>
            </w:r>
            <w:r>
              <w:rPr>
                <w:rFonts w:ascii="Times New Roman" w:hAnsi="Times New Roman" w:cs="Times New Roman"/>
                <w:sz w:val="20"/>
                <w:szCs w:val="20"/>
              </w:rPr>
              <w:t>, NO</w:t>
            </w:r>
            <w:r>
              <w:rPr>
                <w:rFonts w:ascii="Times New Roman" w:hAnsi="Times New Roman" w:cs="Times New Roman"/>
                <w:sz w:val="20"/>
                <w:szCs w:val="20"/>
                <w:vertAlign w:val="subscript"/>
              </w:rPr>
              <w:t>3</w:t>
            </w:r>
            <w:r>
              <w:rPr>
                <w:rFonts w:ascii="Times New Roman" w:hAnsi="Times New Roman" w:cs="Times New Roman"/>
                <w:sz w:val="20"/>
                <w:szCs w:val="20"/>
                <w:vertAlign w:val="superscript"/>
              </w:rPr>
              <w:t>–</w:t>
            </w:r>
            <w:r>
              <w:rPr>
                <w:rFonts w:ascii="Times New Roman" w:hAnsi="Times New Roman" w:cs="Times New Roman"/>
                <w:sz w:val="20"/>
                <w:szCs w:val="20"/>
              </w:rPr>
              <w:t xml:space="preserve"> természetes előfordulásai.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ionok  természetes előfordulásai.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víz, a szén-dioxid és az ammónia jelentősége az élővilágban. </w:t>
            </w:r>
          </w:p>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A lipidek oldódási tulajdonságai, a zsírok és olajok, a foszfatidok, az epe biológiai szerepe.</w:t>
            </w:r>
            <w:r>
              <w:rPr>
                <w:rFonts w:ascii="Times New Roman" w:hAnsi="Times New Roman" w:cs="Times New Roman"/>
                <w:i/>
                <w:iCs/>
                <w:sz w:val="20"/>
                <w:szCs w:val="20"/>
              </w:rPr>
              <w:t xml:space="preserv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fontosabb szénhidrátok természetes előfordulása, tulajdonságai.</w:t>
            </w:r>
            <w:r>
              <w:rPr>
                <w:rFonts w:ascii="Times New Roman" w:hAnsi="Times New Roman" w:cs="Times New Roman"/>
                <w:i/>
                <w:iCs/>
                <w:sz w:val="20"/>
                <w:szCs w:val="20"/>
              </w:rPr>
              <w:t xml:space="preserve"> </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c>
          <w:tcPr>
            <w:tcW w:w="255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Fehérjék</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fehérjék általános szerkezete (peptidlánc). Térszerkezete és aminosavsorrend.</w:t>
            </w:r>
            <w:r>
              <w:rPr>
                <w:rFonts w:ascii="Times New Roman" w:hAnsi="Times New Roman" w:cs="Times New Roman"/>
                <w:i/>
                <w:iCs/>
                <w:sz w:val="20"/>
                <w:szCs w:val="20"/>
              </w:rPr>
              <w:t xml:space="preserv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fehérjék és az esszenciális aminosavak biológiai szerepe.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c>
          <w:tcPr>
            <w:tcW w:w="2552"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Nukleinsavak,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nukleotidok</w:t>
            </w:r>
          </w:p>
        </w:tc>
        <w:tc>
          <w:tcPr>
            <w:tcW w:w="6804" w:type="dxa"/>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DNS információhordozó, örökítő (önmegkettőződő) szerepe.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trHeight w:val="257"/>
        </w:trPr>
        <w:tc>
          <w:tcPr>
            <w:tcW w:w="255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anyagcsere folyamatai:</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c>
          <w:tcPr>
            <w:tcW w:w="255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  Felépítés és lebontás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kapcsolata</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Felépítő folyamatok</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élőlények felépítő és lebontó folyamatainak kapcsolata (fototrófok, kemotrófok, autotrófok és  heterotrófok). Az endo- és exocitózis.</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Lényegük (reduktív, energia-felhasználó), és helyük.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fotoszintézis szerepe a földi életben, alapfolyamatai.</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c>
          <w:tcPr>
            <w:tcW w:w="255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Lebontó folyamatok</w:t>
            </w:r>
          </w:p>
        </w:tc>
        <w:tc>
          <w:tcPr>
            <w:tcW w:w="6804" w:type="dxa"/>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biológiai oxidáció lényege, bruttó egyenlete.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erjedés lényege, felhasználása. Mechanizmusuk.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Pr>
        <w:tc>
          <w:tcPr>
            <w:tcW w:w="2552"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Sejtalkotók (az eukarióta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sejtben)</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fel rajzolt ábrán, mikroszkópban  a sejtalkotókat.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biológiai hártyák (membránok) szerepe, felépítésük általános elve.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passzív és az aktív szállítás.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Állábas, ostoros, csillós mozgásokra az emberi szervezetben.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sejtek osztódási ciklusa. Mitózis és a meiózis.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Sejtválasz külső és belső ingerekre. Mechanizmusa.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Pr>
        <w:tc>
          <w:tcPr>
            <w:tcW w:w="9356"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Az egyed szerveződési szintje</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Pr>
        <w:tc>
          <w:tcPr>
            <w:tcW w:w="255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Nem sejtes rendszerek:</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c>
          <w:tcPr>
            <w:tcW w:w="255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Vírusok</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Fepítésük, biológiai, egészségügyi jelentőségük. A járványok.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Height w:val="230"/>
        </w:trPr>
        <w:tc>
          <w:tcPr>
            <w:tcW w:w="2552" w:type="dxa"/>
            <w:vMerge w:val="restart"/>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sejtek: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Baktériumik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Egysejtű eukarióták</w:t>
            </w:r>
          </w:p>
        </w:tc>
        <w:tc>
          <w:tcPr>
            <w:tcW w:w="6804" w:type="dxa"/>
            <w:vMerge w:val="restart"/>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baktérium és az eukarióta sejt szerveződése.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baktériumok jelentősége; anyagcseréjük.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Testszerveződésük és felépítő anyagcseréjük példákon.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Height w:val="276"/>
        </w:trPr>
        <w:tc>
          <w:tcPr>
            <w:tcW w:w="2552" w:type="dxa"/>
            <w:vMerge/>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vMerge/>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Height w:val="276"/>
        </w:trPr>
        <w:tc>
          <w:tcPr>
            <w:tcW w:w="2552" w:type="dxa"/>
            <w:vMerge/>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vMerge/>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Pr>
        <w:tc>
          <w:tcPr>
            <w:tcW w:w="9356"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Többsejtűség: </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Height w:val="832"/>
        </w:trPr>
        <w:tc>
          <w:tcPr>
            <w:tcW w:w="255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Gombák, növények,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állatok elkülönülése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Sejtfonalak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Teleptest és álszövet</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öt regnum elkülönítésének alapja.</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egysejtű szerveződés és a többsejtű szerveződés típusai (sejttársulás, sejtfonal, teleptest). </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c>
          <w:tcPr>
            <w:tcW w:w="255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 xml:space="preserve">A gombák fonalas testfelépítése, spórás szaporodása. </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c>
          <w:tcPr>
            <w:tcW w:w="2552"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 teleptest és az álszövet jellemzői.</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c>
          <w:tcPr>
            <w:tcW w:w="2552" w:type="dxa"/>
            <w:tcBorders>
              <w:top w:val="nil"/>
              <w:left w:val="single" w:sz="4" w:space="0" w:color="auto"/>
              <w:bottom w:val="nil"/>
              <w:right w:val="single" w:sz="4" w:space="0" w:color="auto"/>
            </w:tcBorders>
          </w:tcPr>
          <w:p w:rsidR="004C2997" w:rsidRDefault="004C2997">
            <w:pPr>
              <w:pageBreakBefore/>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Szövetek, szervek, szervrendszerek, testtájak</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növényvilág fejlődésének hajtóerői. Evolúciós „újítások a harasztoknál, a nyitvatermőknél és a zárvatermőknél. A növényismeret könyv használata a környezetében élő növények megismeréséhez, és élőhelyének, ökológiai igényeinek jellemzéséhez.</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testfelépítés az életmód és a környezet kapcsolata (szivacsok, laposférgek, gyűrűsférgek, rovarok, lábasfejűek, a gerincesek nagy csoportjai – halak, kétéltűek, hüllők, madarak, emlősök).</w:t>
            </w:r>
          </w:p>
        </w:tc>
      </w:tr>
      <w:tr w:rsidR="004C2997">
        <w:tblPrEx>
          <w:tblCellMar>
            <w:top w:w="0" w:type="dxa"/>
            <w:bottom w:w="0" w:type="dxa"/>
          </w:tblCellMar>
        </w:tblPrEx>
        <w:trPr>
          <w:cantSplit/>
        </w:trPr>
        <w:tc>
          <w:tcPr>
            <w:tcW w:w="255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Növényi szövettípusok működései, mikroszkópos képük. Felépítésük és alapfunkcióik. Fás szár. A virág biológiai szerepe, része, típusai.</w:t>
            </w:r>
          </w:p>
        </w:tc>
      </w:tr>
      <w:tr w:rsidR="004C2997">
        <w:tblPrEx>
          <w:tblCellMar>
            <w:top w:w="0" w:type="dxa"/>
            <w:bottom w:w="0" w:type="dxa"/>
          </w:tblCellMar>
        </w:tblPrEx>
        <w:trPr>
          <w:cantSplit/>
        </w:trPr>
        <w:tc>
          <w:tcPr>
            <w:tcW w:w="255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A virágos növények ivaros és az ivartalan szaporodása, szaporítása.</w:t>
            </w:r>
          </w:p>
        </w:tc>
      </w:tr>
      <w:tr w:rsidR="004C2997">
        <w:tblPrEx>
          <w:tblCellMar>
            <w:top w:w="0" w:type="dxa"/>
            <w:bottom w:w="0" w:type="dxa"/>
          </w:tblCellMar>
        </w:tblPrEx>
        <w:trPr>
          <w:cantSplit/>
        </w:trPr>
        <w:tc>
          <w:tcPr>
            <w:tcW w:w="255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Állati szövettípusok, működésük, mikroszkópos képük.</w:t>
            </w:r>
          </w:p>
        </w:tc>
      </w:tr>
      <w:tr w:rsidR="004C2997">
        <w:tblPrEx>
          <w:tblCellMar>
            <w:top w:w="0" w:type="dxa"/>
            <w:bottom w:w="0" w:type="dxa"/>
          </w:tblCellMar>
        </w:tblPrEx>
        <w:trPr>
          <w:cantSplit/>
        </w:trPr>
        <w:tc>
          <w:tcPr>
            <w:tcW w:w="255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petesejt, a hímivarsejt, a zigóta, a hímnősség és a váltivarúság, az ivari kétalakúság, az embrionális és posztembrionális fejlődés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Életkörülmények és szaporodási mód kapcsolata. Regeneráció.</w:t>
            </w:r>
          </w:p>
        </w:tc>
      </w:tr>
      <w:tr w:rsidR="004C2997">
        <w:tblPrEx>
          <w:tblCellMar>
            <w:top w:w="0" w:type="dxa"/>
            <w:bottom w:w="0" w:type="dxa"/>
          </w:tblCellMar>
        </w:tblPrEx>
        <w:trPr>
          <w:cantSplit/>
        </w:trPr>
        <w:tc>
          <w:tcPr>
            <w:tcW w:w="2552"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Viselkedés </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Reflex, irányított mozgás, mozgásmintázat, társítások, belátásos tanulás. </w:t>
            </w:r>
          </w:p>
        </w:tc>
      </w:tr>
      <w:tr w:rsidR="004C2997">
        <w:tblPrEx>
          <w:tblCellMar>
            <w:top w:w="0" w:type="dxa"/>
            <w:bottom w:w="0" w:type="dxa"/>
          </w:tblCellMar>
        </w:tblPrEx>
        <w:trPr>
          <w:cantSplit/>
        </w:trPr>
        <w:tc>
          <w:tcPr>
            <w:tcW w:w="9356" w:type="dxa"/>
            <w:gridSpan w:val="2"/>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Az emberi szervezet</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Pr>
        <w:tc>
          <w:tcPr>
            <w:tcW w:w="255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Homeosztázis</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homeosztázis fogalma, jelentősége. Az egészség fogalma.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Pr>
        <w:tc>
          <w:tcPr>
            <w:tcW w:w="2552"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Kültakaró</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bőr funkciói, részei.  Ápolása, védelme.</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c>
          <w:tcPr>
            <w:tcW w:w="2552"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mozgás</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csontváz biológiai funkciói, a csontok szerkezete, lehetséges kapcsolataik. Néhány fontosabb emberi izom helye és funkciója.  A vázizom felépítése.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agykérgi funkciók szerepe.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mozgási szervrendszer gyakoribb betegségei.</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Pr>
        <w:tc>
          <w:tcPr>
            <w:tcW w:w="2552" w:type="dxa"/>
            <w:vMerge w:val="restart"/>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 táplálkozás</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táplálkozás jelentősége, folyamatai.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emésztőrendszer részei, funkciói. A máj szerepe.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fog részeit, a szájápolás higiéniája.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bélbolyhok helye, működése. A bélperisztaltika.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éhség-, szomjúságérzet.A tápanyagok természetes forrása, hiányuk vagy túlzott fogyasztásuk következményei.</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Pr>
        <w:tc>
          <w:tcPr>
            <w:tcW w:w="2552" w:type="dxa"/>
            <w:vMerge/>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étrend változása tevékenységtől, kortól, nemtől és állapottól függően</w:t>
            </w:r>
            <w:r>
              <w:rPr>
                <w:rFonts w:ascii="Times New Roman" w:hAnsi="Times New Roman" w:cs="Times New Roman"/>
                <w:i/>
                <w:iCs/>
                <w:sz w:val="20"/>
                <w:szCs w:val="20"/>
              </w:rPr>
              <w:t>.</w:t>
            </w:r>
            <w:r>
              <w:rPr>
                <w:rFonts w:ascii="Times New Roman" w:hAnsi="Times New Roman" w:cs="Times New Roman"/>
                <w:sz w:val="20"/>
                <w:szCs w:val="20"/>
              </w:rPr>
              <w:t xml:space="preserve">  Az élelmiszer- és ételtartósítás alapvető szabályai.</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Pr>
        <w:tc>
          <w:tcPr>
            <w:tcW w:w="2552"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 légzés</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légzőrendszer szervei, funkciói.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légcsere, a gázcsere és a sejtlégzés összefüggései.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gége részei, a hangszalagok szerepe.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vér szén-dioxid koncentrációjának szerepe.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 légzőrendszert károsító tényezők és a légzőrendszer gyakori betegségeit fölismerésük, kezelésük. Mechanizmusa.</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Height w:val="1800"/>
        </w:trPr>
        <w:tc>
          <w:tcPr>
            <w:tcW w:w="2552"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anyagszállítás</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kiválasztás</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804" w:type="dxa"/>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vér, szövetnedv, nyirok összetétele, fő működéseik.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vérzéscsillapítás módja. A vérszegénység lehetséges okai.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vér, a szöveti folyadék és a nyirok kapcsolata.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szív, a koszorúerek felépítése és működése. Vérnyomás, pulzus.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Befolyásoló élettani hatások. A véreloszlás megváltozásának élettani funkciója.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életmód és a táplálkozás hatása. Sebellátás. </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kiválasztás funkciója, a vizeletkiválasztó rendszer főbb részei.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vizelet összetételét és mennyiségét befolyásoló tényezők. Mechanizmusa.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Vesekőképződés megelőzése, művesekezelés. </w:t>
            </w:r>
          </w:p>
        </w:tc>
      </w:tr>
      <w:tr w:rsidR="004C2997">
        <w:tblPrEx>
          <w:tblBorders>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cantSplit/>
          <w:trHeight w:val="70"/>
        </w:trPr>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szabályozás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idegrendszer általános jellemzése </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emberi magatartás biológiai-pszichológiai alapjai</w:t>
            </w:r>
          </w:p>
        </w:tc>
        <w:tc>
          <w:tcPr>
            <w:tcW w:w="68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szabályozás a vezérlés és a visszacsatolások Az idegsejt felépítése, és funkciója.   A receptor, a receptornak megfelelő (adekvát) inger, típusai (mechanikai, kémiai, fény, hő).</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szinapszis fogalma, a serkentő vagy gátló hatás magyarázata.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reflexív és a reflexkör fogalma. Hierarchikus felépítés.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gerincvelő főbb funkciói.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agy főbb részei.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bőr és a belső szervek receptorai.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érzékszervek működésének általános elvei.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szem részei, ezek működése, látáshibák, korrigálásuk.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pupilla, akkomodációs és szemhéjzáró reflex, a távolságészlelés.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külső-, közép- és belső fül része, működései.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nyúltvelői kemoreceptorok szerepe.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szaglóhám, az ízlelőbimbók szerepe.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akaratlagos mozgások szerveződése.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motiváció szerepe.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kisagy fő funkciója, az alkohol hatása.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vegetatív működés fogalma, a szimpatikus és paraszimpatikus befolyásolás következményei. Mechanizmusa.</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öröklött és tanult magatartásformák.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Öröklött és tanult elemek az emberi viselkedésben. A tanulás és az érzelmek kapcsolata.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tanulás kritikus szakaszait az egyedfejlődés során.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Lorenz bevésődésre vonatkozó kísérletei.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Megerősítés, szokás, függőség kialakulása. </w:t>
            </w:r>
            <w:r>
              <w:rPr>
                <w:rFonts w:ascii="Times New Roman" w:hAnsi="Times New Roman" w:cs="Times New Roman"/>
                <w:i/>
                <w:iCs/>
                <w:sz w:val="20"/>
                <w:szCs w:val="20"/>
              </w:rPr>
              <w:t xml:space="preserv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Vonzódás és taszítás, ezek formái, a csoportok közötti taszítás (agresszió) és altruizmus megnyilvánulásai. Oka.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Ézelmi és értelmi fejlődés kapcsolata.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Életmód, stresszbetegségek. Fájdalomcsillapítás. Az idegrendszer néhány betegsége. Mechanizmusuk.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pszichoaktív szerek főbb csoportjai, a kémiai és a viselkedési függőségek közös jellegzetességei.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trHeight w:val="369"/>
        </w:trPr>
        <w:tc>
          <w:tcPr>
            <w:tcW w:w="2552" w:type="dxa"/>
            <w:tcBorders>
              <w:top w:val="single" w:sz="6" w:space="0" w:color="auto"/>
              <w:left w:val="single" w:sz="4" w:space="0" w:color="auto"/>
              <w:bottom w:val="single" w:sz="4" w:space="0" w:color="auto"/>
              <w:right w:val="single" w:sz="4" w:space="0" w:color="auto"/>
            </w:tcBorders>
          </w:tcPr>
          <w:p w:rsidR="004C2997" w:rsidRDefault="004C2997">
            <w:pPr>
              <w:pageBreakBefore/>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hormonrendszer,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hormonális működések</w:t>
            </w:r>
          </w:p>
        </w:tc>
        <w:tc>
          <w:tcPr>
            <w:tcW w:w="6804" w:type="dxa"/>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hormonrendszer működésének lényege és szabályozása.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neurohormonális rendszer.</w:t>
            </w:r>
          </w:p>
        </w:tc>
      </w:tr>
      <w:tr w:rsidR="004C2997">
        <w:tblPrEx>
          <w:tblCellMar>
            <w:top w:w="0" w:type="dxa"/>
            <w:bottom w:w="0" w:type="dxa"/>
          </w:tblCellMar>
        </w:tblPrEx>
        <w:trPr>
          <w:cantSplit/>
        </w:trPr>
        <w:tc>
          <w:tcPr>
            <w:tcW w:w="2552"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immunrendszer,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immunitás</w:t>
            </w:r>
          </w:p>
        </w:tc>
        <w:tc>
          <w:tcPr>
            <w:tcW w:w="6804" w:type="dxa"/>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inzulin, adrenalin, tiroxin, tesztoszteron, oxitocin termelődési helye és hatása. A női nemi ciklus során végbemenő hormonális, és testi változások. A hormonális fogamzásgátlás biológiai alapjai.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cukorbetegség. Kialakulásának mechanizmusa.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Antitest, antigén, immunitás. Az immunrendszer jellemző sejtjei. A gyulladás. Mechanizmusa.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immunizálás, a kötelező védőoltások.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Pasteur és Semmelweis tudománytörténeti jelentősége.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Az AB0 és Rh-vércsoportrendszer. Rh-összeférhetetlenség.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Vérátömlesztés, véradás, szervátültetés.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láz és a lázcsillapítás módjai.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allergia és a környezetszennyezés közti kapcsolat.</w:t>
            </w:r>
          </w:p>
        </w:tc>
      </w:tr>
      <w:tr w:rsidR="004C2997">
        <w:tblPrEx>
          <w:tblCellMar>
            <w:top w:w="0" w:type="dxa"/>
            <w:bottom w:w="0" w:type="dxa"/>
          </w:tblCellMar>
        </w:tblPrEx>
        <w:trPr>
          <w:cantSplit/>
        </w:trPr>
        <w:tc>
          <w:tcPr>
            <w:tcW w:w="2552"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Szaporodás és egyedfejlődés</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férfi és női nemi szervek felépítése, működése, a megtermékenyítés. Az ivar meghatározottságának szintjei.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 magzati fejlődésének, születésének és  posztembrionális fejlődésének fő szakaszai.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öregedés során bekövetkező biológiai változások.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emberi élet vége.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családtervezés módjai, a terhességmegszakítás lehetséges következményei.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meddőség gyakoribb okai és az ezeket korrigáló orvosi beavatkozások. Etikai problémáka (mesterséges ondóbevitel, lombikbébi, béranyaság, klónozás).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Várandósság, terhesgondozás.  Nemi úton terjedő betegségek megelőzése.</w:t>
            </w:r>
          </w:p>
        </w:tc>
      </w:tr>
      <w:tr w:rsidR="004C2997">
        <w:tblPrEx>
          <w:tblCellMar>
            <w:top w:w="0" w:type="dxa"/>
            <w:bottom w:w="0" w:type="dxa"/>
          </w:tblCellMar>
        </w:tblPrEx>
        <w:trPr>
          <w:cantSplit/>
        </w:trPr>
        <w:tc>
          <w:tcPr>
            <w:tcW w:w="9356"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5. Egyed feletti szerveződési szintek</w:t>
            </w:r>
          </w:p>
        </w:tc>
      </w:tr>
      <w:tr w:rsidR="004C2997">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2174"/>
        </w:trPr>
        <w:tc>
          <w:tcPr>
            <w:tcW w:w="2552"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Populáció </w:t>
            </w:r>
          </w:p>
        </w:tc>
        <w:tc>
          <w:tcPr>
            <w:tcW w:w="68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populáció fogalma.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Növekedési modellek, korfák.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környezet fogalma, időbeli és térbeli változása.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Tűrőképességi görbék és indikáció.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territórium, a rangsor, az önzetlen és az agresszív magatartás, a rituális harc, a behódolás fogalma, a párosodási rendszerek (csoportszerveződés) típusai.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szimbiózis, a versengés, az asztalközösség (kommenzalizmus,) az antibiózis, az élősködés és a táplálkozási kölcsönhatás (predáció) fogalma, állati és növényi példákkal.</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Height w:val="1397"/>
        </w:trPr>
        <w:tc>
          <w:tcPr>
            <w:tcW w:w="2552"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Életközösségek (élőhelytípusok)</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flóra és fauna és az életközösség (élőhelytípus) fogalma.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Térbeli és időbeli mintázatok, az emberi hatás felismerése.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iskolájához vagy lakóhelyéhez közeli terület élővilága.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Egy tó feltöltődésének folyamata.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gyomnövény fogalma.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Hazai élőhelytípusok.</w:t>
            </w:r>
          </w:p>
        </w:tc>
      </w:tr>
      <w:tr w:rsidR="004C2997">
        <w:tblPrEx>
          <w:tblBorders>
            <w:top w:val="single" w:sz="6" w:space="0" w:color="auto"/>
            <w:left w:val="single" w:sz="6" w:space="0" w:color="auto"/>
            <w:bottom w:val="single" w:sz="6" w:space="0" w:color="auto"/>
            <w:right w:val="single" w:sz="6" w:space="0" w:color="auto"/>
          </w:tblBorders>
          <w:tblCellMar>
            <w:top w:w="0" w:type="dxa"/>
            <w:bottom w:w="0" w:type="dxa"/>
          </w:tblCellMar>
        </w:tblPrEx>
        <w:tc>
          <w:tcPr>
            <w:tcW w:w="2552"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Bioszféra, globális folyamatok</w:t>
            </w:r>
          </w:p>
        </w:tc>
        <w:tc>
          <w:tcPr>
            <w:tcW w:w="6804"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bioszféra fogalma. A Gaia-elmélet.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Civilizációs ártalmak, a természetes növény- és állatvilágot pusztító és védő emberi beavatkozások.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Globális és helyi problémák. </w:t>
            </w:r>
          </w:p>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Az ökológiai válság társadalmi és gazdasági összefüggései.</w:t>
            </w:r>
          </w:p>
        </w:tc>
      </w:tr>
      <w:tr w:rsidR="004C2997">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Pr>
        <w:tc>
          <w:tcPr>
            <w:tcW w:w="2552"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Ökoszisztéma </w:t>
            </w:r>
          </w:p>
        </w:tc>
        <w:tc>
          <w:tcPr>
            <w:tcW w:w="68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ökoszisztéma fogalma.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életközösségek anyagforgalmának és energiaáramlásának jellemzői.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szén és az oxigén és a nitrogén körforgása. (Biogeokémiai ciklus.)</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cantSplit/>
          <w:trHeight w:val="1671"/>
        </w:trPr>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H-Times_WD" w:hAnsi="H-Times_WD" w:cs="H-Times_WD"/>
                <w:sz w:val="20"/>
                <w:szCs w:val="20"/>
              </w:rPr>
              <w:t>Környezet- és természetvédelem</w:t>
            </w:r>
          </w:p>
        </w:tc>
        <w:tc>
          <w:tcPr>
            <w:tcW w:w="6804" w:type="dxa"/>
            <w:tcBorders>
              <w:lef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természetvédelem fogalma, a mellette szóló érvek.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védett területek típusai.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Hazánk nemzeti parkjai.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H-Times_WD" w:hAnsi="H-Times_WD" w:cs="H-Times_WD"/>
                <w:sz w:val="20"/>
                <w:szCs w:val="20"/>
              </w:rPr>
              <w:t>A környezetvédelem a kibocsátás és ülepedés, a határérték fogalma. A légszennyezés forrásai, az üvegházhatás. A lehetséges teendok. A vizek tisztulása, tisztítása. Hagyományos és ,,alternatív” energiaforrások. A talaj romlásának, illetve javításának folyamata. A hulladék típusai, kezelésük lehetséges módja.</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cantSplit/>
          <w:trHeight w:val="137"/>
        </w:trPr>
        <w:tc>
          <w:tcPr>
            <w:tcW w:w="9356" w:type="dxa"/>
            <w:gridSpan w:val="2"/>
            <w:tcBorders>
              <w:bottom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6. Öröklődés, változékonyság, evolúció</w:t>
            </w:r>
          </w:p>
        </w:tc>
      </w:tr>
      <w:tr w:rsidR="004C2997">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1800"/>
        </w:trPr>
        <w:tc>
          <w:tcPr>
            <w:tcW w:w="2552"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Molekuláris genetika</w:t>
            </w:r>
          </w:p>
        </w:tc>
        <w:tc>
          <w:tcPr>
            <w:tcW w:w="6804"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gén és allél, a genetikai kód, a kromoszóma, a rekombináció, a kromatinfonál és homológ kromoszóma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DNS bázissorendje, a fehérje aminosavsorrendje, térszerkezete és biológiai funkciója valamint a tapasztalható jelleg közötti általános összefüggés.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mutáció fogalma, evolúciós szerepe és lehetséges hatásai. Mutagén hatások, csökkentésük vagy kivédésük lehetőségei. Kromoszóma-mutációk, kockázati tényezők.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génműködés szabályozásának fogalma.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daganatos betegségek és a kockázati tényezők.</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Pr>
        <w:tc>
          <w:tcPr>
            <w:tcW w:w="2552"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Mendeli genetika</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haploid, diploid, homozigóta és heterozigóta, genotípus és fenotípus fogalmai.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öröklésmenetek alaptípusai.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humángenetikai sajátos módszerei (családfaelemzés).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ivarsejtek szerepe az ivar meghatározásában.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génkölcsönhatás és a</w:t>
            </w:r>
            <w:r>
              <w:rPr>
                <w:rFonts w:ascii="H-Times_WD" w:hAnsi="H-Times_WD" w:cs="H-Times_WD"/>
                <w:sz w:val="20"/>
                <w:szCs w:val="20"/>
              </w:rPr>
              <w:t xml:space="preserve"> génkapcsoltság.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H-Times_WD" w:hAnsi="H-Times_WD" w:cs="H-Times_WD"/>
                <w:sz w:val="20"/>
                <w:szCs w:val="20"/>
              </w:rPr>
              <w:t>Öröklodo mennyiségi tulajdonságok és hajlamok.</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Pr>
        <w:tc>
          <w:tcPr>
            <w:tcW w:w="2552"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Populációgenetika és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evolúciós folyamatok</w:t>
            </w:r>
          </w:p>
        </w:tc>
        <w:tc>
          <w:tcPr>
            <w:tcW w:w="6804" w:type="dxa"/>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ideális és a reális populáció fogalma, a mutációk,  a szelekció szerepe, kapcsolat a fajkeletkezés elméletével. A természetes szelekció darwini modellje.  Hardy–Weinberg modell.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populáció nagyságának természetvédelmi jelentősége.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Adaptív és nem adaptív jellegű evolúciós folyamatok.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evolúció közvetlen bizonyítékai.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klón fogalma. Biotechnológai módszerek.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Néhány, a géntechnológia mellett és ellen felsorakoztatható érv.</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Genetikai tanácsadás</w:t>
            </w:r>
            <w:r>
              <w:rPr>
                <w:rFonts w:ascii="Times New Roman" w:hAnsi="Times New Roman" w:cs="Times New Roman"/>
                <w:i/>
                <w:iCs/>
                <w:sz w:val="20"/>
                <w:szCs w:val="20"/>
              </w:rPr>
              <w:t xml:space="preserve">. </w:t>
            </w:r>
            <w:r>
              <w:rPr>
                <w:rFonts w:ascii="Times New Roman" w:hAnsi="Times New Roman" w:cs="Times New Roman"/>
                <w:sz w:val="20"/>
                <w:szCs w:val="20"/>
              </w:rPr>
              <w:t>Biológiai alkalmasság (fittnes) és az emberi élet értéke. A Human Genom Program célja.</w:t>
            </w:r>
          </w:p>
        </w:tc>
      </w:tr>
      <w:tr w:rsidR="004C2997">
        <w:tblPrEx>
          <w:tblBorders>
            <w:top w:val="single" w:sz="6" w:space="0" w:color="auto"/>
            <w:left w:val="single" w:sz="12" w:space="0" w:color="auto"/>
            <w:bottom w:val="single" w:sz="12" w:space="0" w:color="auto"/>
            <w:right w:val="single" w:sz="12" w:space="0" w:color="auto"/>
            <w:insideV w:val="single" w:sz="6" w:space="0" w:color="auto"/>
          </w:tblBorders>
          <w:tblCellMar>
            <w:top w:w="0" w:type="dxa"/>
            <w:bottom w:w="0" w:type="dxa"/>
          </w:tblCellMar>
        </w:tblPrEx>
        <w:trPr>
          <w:cantSplit/>
        </w:trPr>
        <w:tc>
          <w:tcPr>
            <w:tcW w:w="2552"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bioszféra evolúciója</w:t>
            </w:r>
          </w:p>
        </w:tc>
        <w:tc>
          <w:tcPr>
            <w:tcW w:w="6804" w:type="dxa"/>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fizikai és kémiai evolúció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emberszabású majmok és az ember vonásai. Az emberi faj egysége.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 származása.</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FÖLDRAJZ (FÖLDÜNK ÉS KÖRNYEZETÜNK)</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földrajz (Földünk és környezetünk)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középszintű tantárgyi érettségi vizsga célja annak megállapítása, hogy a vizsgázó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köznapi műveltség részét képező földrajzi-környezeti ismeretekkel;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összekapcsolni ismereteit a mindennapokban tapasztalható természeti, társadalmi-gazdasági és környezeti jelenségekkel, folyamatokkal;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földrajzi-környezeti szemlélet- és gondolkodásmód alapjaival;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eligazodni a témákhoz kapcsolódó információhordozókban, belőlük adatokat, tényeket megállapítani, tudja-e értelmezni az információkat, illetve tud-e levonni alapvető következtetéseket azokból;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jártas-e a különböző fajta térképeken közölt információk olvasásában, értelmezésében;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földrajzi ismereteiről logikusan felépített, szabatosan megfogalmazott formában számot adni szóban és írásban;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egyszerű gyakorlati és alapvető számítási feladatok elvégzésére, az eredmények értelmezésére.</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Az emelt szintű tantárgyi érettségi vizsga célja annak megállapítása, hogy a vizsgázó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felsőfokú tanulmányokhoz szükséges tantárgyi alapismeretekkel;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felismerni az ismeretanyag belső összefüggéseit, az egyes témakörök közötti kapcsolatokat;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alkalmazni ismereteit a természeti, a társadalmi-gazdasági és a környezeti jelenségek és folyamatok értelmezésében;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jártas-e a földrajzi-környezeti tartalmú információhordozók kiválasztásában és használatában, a bennük közölt információk feldolgozásában, értelmezésében; képes-e azokból következtetések levonására, összefüggések és törvényszerűségek megállapítására;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több témakör ismeretanyagának logikai összekapcsolását igénylő problémák, fel-adatok felismerésének és megoldásának képességével;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földrajzi ismereteiről logikusan felépített, szabatosan megfogalmazott formában számot adni szóban és írásban, illetve milyen szinten képes különböző típusú írásbeli feladatok megoldására;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földrajzi-környezeti tartalmú információkkal kapcsolatos egyszerű vázlatrajzok, folyamatábrák, keresztmetszeti rajzok és térképvázlatok készítésére és azok értelmezésére.</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vizsga sikeres teljesítéséhez szükség van az általános iskolában tanult tananyagrészek szintézisére és a középiskolában elsajátított ismeretek alapján történő újraértelmezésére.</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2410"/>
        <w:gridCol w:w="8"/>
        <w:gridCol w:w="6654"/>
      </w:tblGrid>
      <w:tr w:rsidR="004C2997">
        <w:tblPrEx>
          <w:tblCellMar>
            <w:top w:w="0" w:type="dxa"/>
            <w:bottom w:w="0" w:type="dxa"/>
          </w:tblCellMar>
        </w:tblPrEx>
        <w:tc>
          <w:tcPr>
            <w:tcW w:w="2418" w:type="dxa"/>
            <w:gridSpan w:val="2"/>
            <w:tcBorders>
              <w:top w:val="single" w:sz="4" w:space="0" w:color="auto"/>
              <w:left w:val="single" w:sz="4" w:space="0" w:color="auto"/>
              <w:bottom w:val="single" w:sz="4" w:space="0" w:color="auto"/>
              <w:right w:val="single" w:sz="4" w:space="0" w:color="auto"/>
            </w:tcBorders>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6654" w:type="dxa"/>
            <w:tcBorders>
              <w:top w:val="single" w:sz="4" w:space="0" w:color="auto"/>
              <w:left w:val="single" w:sz="4" w:space="0" w:color="auto"/>
              <w:bottom w:val="single" w:sz="4" w:space="0" w:color="auto"/>
              <w:right w:val="single" w:sz="4" w:space="0" w:color="auto"/>
            </w:tcBorders>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072" w:type="dxa"/>
            <w:gridSpan w:val="3"/>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Térképi ismeretek</w:t>
            </w:r>
          </w:p>
        </w:tc>
      </w:tr>
      <w:tr w:rsidR="004C2997">
        <w:tblPrEx>
          <w:tblCellMar>
            <w:top w:w="0" w:type="dxa"/>
            <w:bottom w:w="0" w:type="dxa"/>
          </w:tblCellMar>
        </w:tblPrEx>
        <w:tc>
          <w:tcPr>
            <w:tcW w:w="2418" w:type="dxa"/>
            <w:gridSpan w:val="2"/>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54" w:type="dxa"/>
            <w:tcBorders>
              <w:top w:val="nil"/>
              <w:left w:val="nil"/>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földrajzi környezet ábrázolásának lehetőségei, módjai.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különböző tartalmú és fajtájú térképeken közölt információk leolvasása,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egyszerű összefüggések feltárása és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Helymeghatározás a térképen, távolságmérés és -számítás.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űrtérképezés gyakorlati jelentősége.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Földrajzi és környezeti elemek azonosítása űrfelvételeken.</w:t>
            </w:r>
          </w:p>
        </w:tc>
      </w:tr>
      <w:tr w:rsidR="004C2997">
        <w:tblPrEx>
          <w:tblCellMar>
            <w:top w:w="0" w:type="dxa"/>
            <w:bottom w:w="0" w:type="dxa"/>
          </w:tblCellMar>
        </w:tblPrEx>
        <w:trPr>
          <w:cantSplit/>
        </w:trPr>
        <w:tc>
          <w:tcPr>
            <w:tcW w:w="9072" w:type="dxa"/>
            <w:gridSpan w:val="3"/>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Kozmikus környezetünk</w:t>
            </w:r>
          </w:p>
        </w:tc>
      </w:tr>
      <w:tr w:rsidR="004C2997">
        <w:tblPrEx>
          <w:tblCellMar>
            <w:top w:w="0" w:type="dxa"/>
            <w:bottom w:w="0" w:type="dxa"/>
          </w:tblCellMar>
        </w:tblPrEx>
        <w:tc>
          <w:tcPr>
            <w:tcW w:w="2418" w:type="dxa"/>
            <w:gridSpan w:val="2"/>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54" w:type="dxa"/>
            <w:tcBorders>
              <w:top w:val="nil"/>
              <w:left w:val="nil"/>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Naprendszer felépítése és annak földi következményei. A Nap.</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Föld mozgásai és azok következményei.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helyi és a zónaidő számításával kapcsolatos gyakorlati feladatok megoldása.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űrkutatás eredményeinek gyakorlati vonatkozásai.</w:t>
            </w:r>
          </w:p>
        </w:tc>
      </w:tr>
      <w:tr w:rsidR="004C2997">
        <w:tblPrEx>
          <w:tblCellMar>
            <w:top w:w="0" w:type="dxa"/>
            <w:bottom w:w="0" w:type="dxa"/>
          </w:tblCellMar>
        </w:tblPrEx>
        <w:trPr>
          <w:cantSplit/>
        </w:trPr>
        <w:tc>
          <w:tcPr>
            <w:tcW w:w="9072" w:type="dxa"/>
            <w:gridSpan w:val="3"/>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3. A geoszférák földrajza</w:t>
            </w:r>
          </w:p>
        </w:tc>
      </w:tr>
      <w:tr w:rsidR="004C2997">
        <w:tblPrEx>
          <w:tblCellMar>
            <w:top w:w="0" w:type="dxa"/>
            <w:bottom w:w="0" w:type="dxa"/>
          </w:tblCellMar>
        </w:tblPrEx>
        <w:tc>
          <w:tcPr>
            <w:tcW w:w="2418" w:type="dxa"/>
            <w:gridSpan w:val="2"/>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kőzetburok</w:t>
            </w:r>
          </w:p>
        </w:tc>
        <w:tc>
          <w:tcPr>
            <w:tcW w:w="6654" w:type="dxa"/>
            <w:tcBorders>
              <w:top w:val="single" w:sz="6" w:space="0" w:color="auto"/>
              <w:left w:val="nil"/>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Tájékozódás a földtörténeti időegységekben, főbb eseményeikben.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Égitestünk gömbhéjas szerkezete.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kőzetlemezek és mozgásuk következményei.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Föld nagyszerkezeti egységei.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belső és külső erők felszínformáló szerepe, a felszínformák.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leggyakoribb ásványok és kőzetek felismerése, gazdasági hasznosíthatóságuk.</w:t>
            </w:r>
          </w:p>
        </w:tc>
      </w:tr>
      <w:tr w:rsidR="004C2997">
        <w:tblPrEx>
          <w:tblCellMar>
            <w:top w:w="0" w:type="dxa"/>
            <w:bottom w:w="0" w:type="dxa"/>
          </w:tblCellMar>
        </w:tblPrEx>
        <w:tc>
          <w:tcPr>
            <w:tcW w:w="2418" w:type="dxa"/>
            <w:gridSpan w:val="2"/>
            <w:tcBorders>
              <w:top w:val="single" w:sz="4" w:space="0" w:color="auto"/>
              <w:left w:val="single" w:sz="4"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levegőburok</w:t>
            </w:r>
          </w:p>
        </w:tc>
        <w:tc>
          <w:tcPr>
            <w:tcW w:w="6654" w:type="dxa"/>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légkör szerkezete, anyagi felépítése.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légkörben lezajló folyamatok és törvényszerűségeik, az éghajlati elemek közötti kölcsönhatások.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időjárási elemek szerepe a felszínformálódásban.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időjárási elemekkel kapcsolatos számítási feladatok megoldása.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időjárás-jelentések értelmezése, a változások okainak magyarázata.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légkör szennyeződésének okai és a szennyezettség következményei.</w:t>
            </w:r>
          </w:p>
        </w:tc>
      </w:tr>
      <w:tr w:rsidR="004C2997">
        <w:tblPrEx>
          <w:tblCellMar>
            <w:top w:w="0" w:type="dxa"/>
            <w:bottom w:w="0" w:type="dxa"/>
          </w:tblCellMar>
        </w:tblPrEx>
        <w:tc>
          <w:tcPr>
            <w:tcW w:w="2418" w:type="dxa"/>
            <w:gridSpan w:val="2"/>
            <w:tcBorders>
              <w:top w:val="nil"/>
              <w:left w:val="single" w:sz="6"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vízburok</w:t>
            </w:r>
          </w:p>
        </w:tc>
        <w:tc>
          <w:tcPr>
            <w:tcW w:w="6654" w:type="dxa"/>
            <w:tcBorders>
              <w:top w:val="nil"/>
              <w:left w:val="nil"/>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vízburok tagolódása és a víz körforgása.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óceánok és a tengerek földrajzi jellemzői, gazdasági jelentőségük.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felszíni és felszín alatti víztípusok, hasznosíthatóságuk lehetőségei.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vízgazdálkodás főbb tevékenységei.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vízellátás és a vízszennyezés helyi, ill. az egész bolygóra kiható problémái, megoldási lehetőségek.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víz és a jég felszínformáló tevékenysége.</w:t>
            </w:r>
          </w:p>
        </w:tc>
      </w:tr>
      <w:tr w:rsidR="004C2997">
        <w:tblPrEx>
          <w:tblCellMar>
            <w:top w:w="0" w:type="dxa"/>
            <w:bottom w:w="0" w:type="dxa"/>
          </w:tblCellMar>
        </w:tblPrEx>
        <w:trPr>
          <w:trHeight w:val="252"/>
        </w:trPr>
        <w:tc>
          <w:tcPr>
            <w:tcW w:w="2418" w:type="dxa"/>
            <w:gridSpan w:val="2"/>
            <w:tcBorders>
              <w:top w:val="nil"/>
              <w:left w:val="single" w:sz="6"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talaj</w:t>
            </w:r>
          </w:p>
        </w:tc>
        <w:tc>
          <w:tcPr>
            <w:tcW w:w="6654" w:type="dxa"/>
            <w:tcBorders>
              <w:top w:val="nil"/>
              <w:left w:val="nil"/>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talaj természeti és gazdasági jelentősége, a talajpusztulás és következményei.</w:t>
            </w:r>
          </w:p>
        </w:tc>
      </w:tr>
      <w:tr w:rsidR="004C2997">
        <w:tblPrEx>
          <w:tblCellMar>
            <w:top w:w="0" w:type="dxa"/>
            <w:bottom w:w="0" w:type="dxa"/>
          </w:tblCellMar>
        </w:tblPrEx>
        <w:trPr>
          <w:cantSplit/>
        </w:trPr>
        <w:tc>
          <w:tcPr>
            <w:tcW w:w="9072" w:type="dxa"/>
            <w:gridSpan w:val="3"/>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A földrajzi övezetesség</w:t>
            </w:r>
          </w:p>
        </w:tc>
      </w:tr>
      <w:tr w:rsidR="004C2997">
        <w:tblPrEx>
          <w:tblCellMar>
            <w:top w:w="0" w:type="dxa"/>
            <w:bottom w:w="0" w:type="dxa"/>
          </w:tblCellMar>
        </w:tblPrEx>
        <w:tc>
          <w:tcPr>
            <w:tcW w:w="2418" w:type="dxa"/>
            <w:gridSpan w:val="2"/>
            <w:tcBorders>
              <w:top w:val="single" w:sz="4" w:space="0" w:color="auto"/>
              <w:left w:val="single" w:sz="4" w:space="0" w:color="auto"/>
              <w:bottom w:val="single" w:sz="4" w:space="0" w:color="auto"/>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5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szoláris és a valós éghajlati övezetek.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földrajzi övezetek, övek, területek/vidék elhelyezkedése, hasonló és eltérő vonásai, a gazdálkodás jellemzői, a környezeti problémák.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függőleges és a vízszintes övezetesség kapcsolata.</w:t>
            </w:r>
          </w:p>
        </w:tc>
      </w:tr>
      <w:tr w:rsidR="004C2997">
        <w:tblPrEx>
          <w:tblCellMar>
            <w:top w:w="0" w:type="dxa"/>
            <w:bottom w:w="0" w:type="dxa"/>
          </w:tblCellMar>
        </w:tblPrEx>
        <w:trPr>
          <w:cantSplit/>
        </w:trPr>
        <w:tc>
          <w:tcPr>
            <w:tcW w:w="907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5. Népesség- és településföldrajz</w:t>
            </w:r>
          </w:p>
        </w:tc>
      </w:tr>
      <w:tr w:rsidR="004C2997">
        <w:tblPrEx>
          <w:tblCellMar>
            <w:top w:w="0" w:type="dxa"/>
            <w:bottom w:w="0" w:type="dxa"/>
          </w:tblCellMar>
        </w:tblPrEx>
        <w:tc>
          <w:tcPr>
            <w:tcW w:w="2418"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54" w:type="dxa"/>
            <w:tcBorders>
              <w:top w:val="single" w:sz="6" w:space="0" w:color="auto"/>
              <w:left w:val="nil"/>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Föld népességnövekedésének időbeli alakulása, okai, környezeti következményei.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népesség szerkezete.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népesség térbeli eloszlását meghatározó legfontosabb tényezők, a területi megoszlás különbségei.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urbanizáció és a népességmozgások vonásai és következményei.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egyes településtípusok jellemzői, kialakulásuk okai.</w:t>
            </w:r>
          </w:p>
        </w:tc>
      </w:tr>
      <w:tr w:rsidR="004C2997">
        <w:tblPrEx>
          <w:tblCellMar>
            <w:top w:w="0" w:type="dxa"/>
            <w:bottom w:w="0" w:type="dxa"/>
          </w:tblCellMar>
        </w:tblPrEx>
        <w:trPr>
          <w:cantSplit/>
        </w:trPr>
        <w:tc>
          <w:tcPr>
            <w:tcW w:w="907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6. A világ változó társadalmi-gazdasági képe</w:t>
            </w:r>
          </w:p>
        </w:tc>
      </w:tr>
      <w:tr w:rsidR="004C2997">
        <w:tblPrEx>
          <w:tblCellMar>
            <w:top w:w="0" w:type="dxa"/>
            <w:bottom w:w="0" w:type="dxa"/>
          </w:tblCellMar>
        </w:tblPrEx>
        <w:trPr>
          <w:cantSplit/>
        </w:trPr>
        <w:tc>
          <w:tcPr>
            <w:tcW w:w="2410" w:type="dxa"/>
            <w:tcBorders>
              <w:top w:val="single" w:sz="6" w:space="0" w:color="auto"/>
              <w:left w:val="single" w:sz="6"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világgazdaság</w:t>
            </w:r>
          </w:p>
        </w:tc>
        <w:tc>
          <w:tcPr>
            <w:tcW w:w="6662" w:type="dxa"/>
            <w:gridSpan w:val="2"/>
            <w:tcBorders>
              <w:top w:val="single" w:sz="6" w:space="0" w:color="auto"/>
              <w:left w:val="single" w:sz="6"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világgazdaság ágazati felépítése.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gazdasági fejlettség mérésére alkalmas legfontosabb mutatók.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fejlettség területei különbségei.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piacgazdaság működésének elve.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jelentősebb nemzetközi gazdasági és pénzügyi tevékenységek és szervezetek.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nemzetközi munkamegosztás és a világkereskedelem főbb irányai, résztvevői. A globalizáció.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integráció legfontosabb lépései az Európai Unió példáján.</w:t>
            </w:r>
          </w:p>
        </w:tc>
      </w:tr>
      <w:tr w:rsidR="004C2997">
        <w:tblPrEx>
          <w:tblCellMar>
            <w:top w:w="0" w:type="dxa"/>
            <w:bottom w:w="0" w:type="dxa"/>
          </w:tblCellMar>
        </w:tblPrEx>
        <w:tc>
          <w:tcPr>
            <w:tcW w:w="2418"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gazdasági ágazatok</w:t>
            </w:r>
          </w:p>
        </w:tc>
        <w:tc>
          <w:tcPr>
            <w:tcW w:w="6654" w:type="dxa"/>
            <w:tcBorders>
              <w:top w:val="single" w:sz="6" w:space="0" w:color="auto"/>
              <w:left w:val="nil"/>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legfontosabb gazdasági ágazatok telepítő tényezői, azok változása.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gazdasági szerkezetváltás folyamata.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mezőgazdaság termelés jellemzői.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energiagazdaság és az ipar jelentősége, átalakulási tendenciái.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infrastruktúra szerepe és kapcsolata az életminőséggel.</w:t>
            </w:r>
          </w:p>
        </w:tc>
      </w:tr>
      <w:tr w:rsidR="004C2997">
        <w:tblPrEx>
          <w:tblCellMar>
            <w:top w:w="0" w:type="dxa"/>
            <w:bottom w:w="0" w:type="dxa"/>
          </w:tblCellMar>
        </w:tblPrEx>
        <w:trPr>
          <w:cantSplit/>
        </w:trPr>
        <w:tc>
          <w:tcPr>
            <w:tcW w:w="907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7. A világgazdaságban különböző szerepet betöltő régiók, országcsoportok és országok</w:t>
            </w:r>
          </w:p>
        </w:tc>
      </w:tr>
      <w:tr w:rsidR="004C2997">
        <w:tblPrEx>
          <w:tblCellMar>
            <w:top w:w="0" w:type="dxa"/>
            <w:bottom w:w="0" w:type="dxa"/>
          </w:tblCellMar>
        </w:tblPrEx>
        <w:tc>
          <w:tcPr>
            <w:tcW w:w="2418"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sz w:val="20"/>
                <w:szCs w:val="20"/>
              </w:rPr>
            </w:pPr>
          </w:p>
        </w:tc>
        <w:tc>
          <w:tcPr>
            <w:tcW w:w="6654" w:type="dxa"/>
            <w:tcBorders>
              <w:top w:val="single" w:sz="6" w:space="0" w:color="auto"/>
              <w:left w:val="nil"/>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sz w:val="20"/>
                <w:szCs w:val="20"/>
              </w:rPr>
            </w:pPr>
            <w:r>
              <w:rPr>
                <w:rFonts w:ascii="Times New Roman" w:hAnsi="Times New Roman" w:cs="Times New Roman"/>
                <w:sz w:val="20"/>
                <w:szCs w:val="20"/>
              </w:rPr>
              <w:t>Földünk országainak csoportosítása társadalmi-gazdasági jellemzőik szerint.</w:t>
            </w:r>
          </w:p>
          <w:p w:rsidR="004C2997" w:rsidRDefault="004C2997">
            <w:pPr>
              <w:autoSpaceDE w:val="0"/>
              <w:autoSpaceDN w:val="0"/>
              <w:adjustRightInd w:val="0"/>
              <w:spacing w:before="120" w:after="120" w:line="240" w:lineRule="auto"/>
              <w:rPr>
                <w:rFonts w:ascii="Times New Roman" w:hAnsi="Times New Roman" w:cs="Times New Roman"/>
                <w:sz w:val="20"/>
                <w:szCs w:val="20"/>
              </w:rPr>
            </w:pPr>
            <w:r>
              <w:rPr>
                <w:rFonts w:ascii="Times New Roman" w:hAnsi="Times New Roman" w:cs="Times New Roman"/>
                <w:sz w:val="20"/>
                <w:szCs w:val="20"/>
              </w:rPr>
              <w:lastRenderedPageBreak/>
              <w:t>A világgazdasági központok és a peremterületek, eltérő és változó szerepük a világgazdaságban.</w:t>
            </w:r>
          </w:p>
          <w:p w:rsidR="004C2997" w:rsidRDefault="004C2997">
            <w:pPr>
              <w:autoSpaceDE w:val="0"/>
              <w:autoSpaceDN w:val="0"/>
              <w:adjustRightInd w:val="0"/>
              <w:spacing w:before="120" w:after="120" w:line="240" w:lineRule="auto"/>
              <w:rPr>
                <w:rFonts w:ascii="Times New Roman" w:hAnsi="Times New Roman" w:cs="Times New Roman"/>
                <w:sz w:val="20"/>
                <w:szCs w:val="20"/>
              </w:rPr>
            </w:pPr>
            <w:r>
              <w:rPr>
                <w:rFonts w:ascii="Times New Roman" w:hAnsi="Times New Roman" w:cs="Times New Roman"/>
                <w:sz w:val="20"/>
                <w:szCs w:val="20"/>
              </w:rPr>
              <w:t>A különböző egyedi szerepköröket betöltő országcsoportok és országok földrajzi jellemzői.</w:t>
            </w:r>
          </w:p>
        </w:tc>
      </w:tr>
      <w:tr w:rsidR="004C2997">
        <w:tblPrEx>
          <w:tblCellMar>
            <w:top w:w="0" w:type="dxa"/>
            <w:bottom w:w="0" w:type="dxa"/>
          </w:tblCellMar>
        </w:tblPrEx>
        <w:trPr>
          <w:cantSplit/>
        </w:trPr>
        <w:tc>
          <w:tcPr>
            <w:tcW w:w="907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8. Magyarország földrajza</w:t>
            </w:r>
          </w:p>
        </w:tc>
      </w:tr>
      <w:tr w:rsidR="004C2997">
        <w:tblPrEx>
          <w:tblCellMar>
            <w:top w:w="0" w:type="dxa"/>
            <w:bottom w:w="0" w:type="dxa"/>
          </w:tblCellMar>
        </w:tblPrEx>
        <w:trPr>
          <w:cantSplit/>
        </w:trPr>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666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Magyarország földrajzi helyzete.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Hazánk természeti adottságai és erőforrásai, a medence-jelleg érvényesülése.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Népességföldrajzi folyamatok és azok következményei. A népesség nemzetiségi összetételének változásai és következményei a Kárpát-medencében.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Magyarország gazdaságának jellemző vonásai. A gazdaság fő ágai, ágazatai,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területi és szerkezeti átrendeződése, annak okai és társadalmi-gazdasági következményei.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Nemzetközi gazdasági kapcsolataink. Hazánk idegenforgalma.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hazai tájak és régiók eltérő természetföldrajzi és társadalmi-gazdasági képének bemutatása.</w:t>
            </w:r>
          </w:p>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Hazánk környezeti állapota, legfőbb természeti, kulturális és környezeti értékei, gazdasági eredményei</w:t>
            </w:r>
            <w:r>
              <w:rPr>
                <w:rFonts w:ascii="Times New Roman" w:hAnsi="Times New Roman" w:cs="Times New Roman"/>
                <w:i/>
                <w:iCs/>
                <w:sz w:val="20"/>
                <w:szCs w:val="20"/>
              </w:rPr>
              <w: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lakóhely és a régió természeti, társadalmi-gazdasági jellemzői.</w:t>
            </w:r>
          </w:p>
        </w:tc>
      </w:tr>
      <w:tr w:rsidR="004C2997">
        <w:tblPrEx>
          <w:tblCellMar>
            <w:top w:w="0" w:type="dxa"/>
            <w:bottom w:w="0" w:type="dxa"/>
          </w:tblCellMar>
        </w:tblPrEx>
        <w:trPr>
          <w:cantSplit/>
        </w:trPr>
        <w:tc>
          <w:tcPr>
            <w:tcW w:w="907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9. Európa regionális földrajza</w:t>
            </w:r>
          </w:p>
        </w:tc>
      </w:tr>
      <w:tr w:rsidR="004C2997">
        <w:tblPrEx>
          <w:tblCellMar>
            <w:top w:w="0" w:type="dxa"/>
            <w:bottom w:w="0" w:type="dxa"/>
          </w:tblCellMar>
        </w:tblPrEx>
        <w:trPr>
          <w:cantSplit/>
        </w:trPr>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Európa természeti és társadalmi-gazdasági képe.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egyes kontinensrészek és a tipikus tájak földrajzi jellemzői.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európai országok szerepe a kontinens, illetve a világ gazdaságában. Társadalmi-gazdasági adottságaik közös és eltérő vonásai, jellemzői.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Európai Unió kialakulásának társadalmi-gazdasági alapjai, működésének jellemző földrajzi vonásai. Egyes területeinek és országainak hasonlóságai és különbségei.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környezeti problémák területi jellemzői, a megoldásukra tett törekvések Európában.</w:t>
            </w:r>
          </w:p>
        </w:tc>
      </w:tr>
      <w:tr w:rsidR="004C2997">
        <w:tblPrEx>
          <w:tblCellMar>
            <w:top w:w="0" w:type="dxa"/>
            <w:bottom w:w="0" w:type="dxa"/>
          </w:tblCellMar>
        </w:tblPrEx>
        <w:trPr>
          <w:cantSplit/>
        </w:trPr>
        <w:tc>
          <w:tcPr>
            <w:tcW w:w="907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10. Az Európán kívüli földrészek földrajza</w:t>
            </w:r>
          </w:p>
        </w:tc>
      </w:tr>
      <w:tr w:rsidR="004C2997">
        <w:tblPrEx>
          <w:tblCellMar>
            <w:top w:w="0" w:type="dxa"/>
            <w:bottom w:w="0" w:type="dxa"/>
          </w:tblCellMar>
        </w:tblPrEx>
        <w:trPr>
          <w:cantSplit/>
        </w:trPr>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egyes kontinensek általános természetföldrajzi és társadalmi-gazdasági jellemzői, tipikus tájaik.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eltérő társadalmi-gazdasági fejlettségű területek, a világgazdaságban kiemelkedő jelentőségű országcsoportok és országok.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Példák a társadalom természeti környezetbe való beavatkozására az egyes föld-</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részeken.</w:t>
            </w:r>
          </w:p>
        </w:tc>
      </w:tr>
      <w:tr w:rsidR="004C2997">
        <w:tblPrEx>
          <w:tblCellMar>
            <w:top w:w="0" w:type="dxa"/>
            <w:bottom w:w="0" w:type="dxa"/>
          </w:tblCellMar>
        </w:tblPrEx>
        <w:trPr>
          <w:cantSplit/>
        </w:trPr>
        <w:tc>
          <w:tcPr>
            <w:tcW w:w="907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11. A globális válságproblémák földrajzi vonatkozásai</w:t>
            </w:r>
          </w:p>
        </w:tc>
      </w:tr>
      <w:tr w:rsidR="004C2997">
        <w:tblPrEx>
          <w:tblCellMar>
            <w:top w:w="0" w:type="dxa"/>
            <w:bottom w:w="0" w:type="dxa"/>
          </w:tblCellMar>
        </w:tblPrEx>
        <w:tc>
          <w:tcPr>
            <w:tcW w:w="2418"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54" w:type="dxa"/>
            <w:tcBorders>
              <w:top w:val="single" w:sz="6" w:space="0" w:color="auto"/>
              <w:left w:val="nil"/>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legfőbb globális problémák és azok kialakulásának természeti, társadalmi-gazdasági okai.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Példák a globális környezeti gondok megoldási lehetőségeire.</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2410"/>
        <w:gridCol w:w="8"/>
        <w:gridCol w:w="6654"/>
      </w:tblGrid>
      <w:tr w:rsidR="004C2997">
        <w:tblPrEx>
          <w:tblCellMar>
            <w:top w:w="0" w:type="dxa"/>
            <w:bottom w:w="0" w:type="dxa"/>
          </w:tblCellMar>
        </w:tblPrEx>
        <w:tc>
          <w:tcPr>
            <w:tcW w:w="2418" w:type="dxa"/>
            <w:gridSpan w:val="2"/>
            <w:tcBorders>
              <w:top w:val="single" w:sz="4" w:space="0" w:color="auto"/>
              <w:left w:val="single" w:sz="4" w:space="0" w:color="auto"/>
              <w:bottom w:val="single" w:sz="4" w:space="0" w:color="auto"/>
              <w:right w:val="single" w:sz="6" w:space="0" w:color="auto"/>
            </w:tcBorders>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6654" w:type="dxa"/>
            <w:tcBorders>
              <w:top w:val="single" w:sz="4" w:space="0" w:color="auto"/>
              <w:left w:val="nil"/>
              <w:bottom w:val="single" w:sz="4" w:space="0" w:color="auto"/>
              <w:right w:val="single" w:sz="4" w:space="0" w:color="auto"/>
            </w:tcBorders>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072" w:type="dxa"/>
            <w:gridSpan w:val="3"/>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Térképi ismeretek</w:t>
            </w:r>
          </w:p>
        </w:tc>
      </w:tr>
      <w:tr w:rsidR="004C2997">
        <w:tblPrEx>
          <w:tblCellMar>
            <w:top w:w="0" w:type="dxa"/>
            <w:bottom w:w="0" w:type="dxa"/>
          </w:tblCellMar>
        </w:tblPrEx>
        <w:tc>
          <w:tcPr>
            <w:tcW w:w="2418" w:type="dxa"/>
            <w:gridSpan w:val="2"/>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54" w:type="dxa"/>
            <w:tcBorders>
              <w:top w:val="nil"/>
              <w:left w:val="nil"/>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földrajzi környezet ábrázolásának lehetőségei, módjai.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különböző tartalmú és fajtájú térképeken közölt információk leolvasása,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egyszerű összefüggések feltárása és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Helymeghatározás a térképen, távolságmérés és -számítás, metszetszerkesztés.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űrtérképezés módszerei és gyakorlati jelentősége.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Földrajzi és környezeti elemek azonosítása űrfelvételeken, információk leolvasása űrfelvételekről.</w:t>
            </w:r>
          </w:p>
        </w:tc>
      </w:tr>
      <w:tr w:rsidR="004C2997">
        <w:tblPrEx>
          <w:tblCellMar>
            <w:top w:w="0" w:type="dxa"/>
            <w:bottom w:w="0" w:type="dxa"/>
          </w:tblCellMar>
        </w:tblPrEx>
        <w:trPr>
          <w:cantSplit/>
        </w:trPr>
        <w:tc>
          <w:tcPr>
            <w:tcW w:w="9072" w:type="dxa"/>
            <w:gridSpan w:val="3"/>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2. Kozmikus környezetünk</w:t>
            </w:r>
          </w:p>
        </w:tc>
      </w:tr>
      <w:tr w:rsidR="004C2997">
        <w:tblPrEx>
          <w:tblCellMar>
            <w:top w:w="0" w:type="dxa"/>
            <w:bottom w:w="0" w:type="dxa"/>
          </w:tblCellMar>
        </w:tblPrEx>
        <w:tc>
          <w:tcPr>
            <w:tcW w:w="2418" w:type="dxa"/>
            <w:gridSpan w:val="2"/>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54" w:type="dxa"/>
            <w:tcBorders>
              <w:top w:val="nil"/>
              <w:left w:val="nil"/>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csillagászat történeti fejlődésének jelentős állomásai.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Naprendszer felépítése és annak földi következményei.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Nap szerkezete és a szférák jelenségeinek hatása a földi életre.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Föld mozgásai és azok következményei.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helyi és a zónaidő számításával kapcsolatos gyakorlati feladatok megoldása.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űrkutatás eredményeinek gyakorlati vonatkozásai.</w:t>
            </w:r>
          </w:p>
        </w:tc>
      </w:tr>
      <w:tr w:rsidR="004C2997">
        <w:tblPrEx>
          <w:tblCellMar>
            <w:top w:w="0" w:type="dxa"/>
            <w:bottom w:w="0" w:type="dxa"/>
          </w:tblCellMar>
        </w:tblPrEx>
        <w:trPr>
          <w:cantSplit/>
        </w:trPr>
        <w:tc>
          <w:tcPr>
            <w:tcW w:w="9072" w:type="dxa"/>
            <w:gridSpan w:val="3"/>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A geoszférák földrajza</w:t>
            </w:r>
          </w:p>
        </w:tc>
      </w:tr>
      <w:tr w:rsidR="004C2997">
        <w:tblPrEx>
          <w:tblCellMar>
            <w:top w:w="0" w:type="dxa"/>
            <w:bottom w:w="0" w:type="dxa"/>
          </w:tblCellMar>
        </w:tblPrEx>
        <w:tc>
          <w:tcPr>
            <w:tcW w:w="2418" w:type="dxa"/>
            <w:gridSpan w:val="2"/>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kőzetburok</w:t>
            </w:r>
          </w:p>
        </w:tc>
        <w:tc>
          <w:tcPr>
            <w:tcW w:w="6654" w:type="dxa"/>
            <w:tcBorders>
              <w:top w:val="single" w:sz="6" w:space="0" w:color="auto"/>
              <w:left w:val="nil"/>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Tájékozódás a földtörténeti időegységekben és főbb eseményeikben.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környezeti feltételek változásának hatása a felszín és az élővilág fejlődésére.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földtörténeti kormeghatározás néhány elve.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Égitestünk gömbhéjas szerkezete, a geoszférák közötti kapcsolatok.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kőzetlemezek és mozgásuk következményei.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Föld nagyszerkezeti egységei.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lemeztektonikai folyamatok szerkezeti következményei, összefüggései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ásványkincsek elhelyezkedésével.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belső és külső erők felszínformáló szerepe, a felszínformák.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leggyakoribb ásványok és kőzetek felismerése, gazdasági hasznosíthatóságuk. A kőzetek anyagainak körforgása.</w:t>
            </w:r>
          </w:p>
        </w:tc>
      </w:tr>
      <w:tr w:rsidR="004C2997">
        <w:tblPrEx>
          <w:tblCellMar>
            <w:top w:w="0" w:type="dxa"/>
            <w:bottom w:w="0" w:type="dxa"/>
          </w:tblCellMar>
        </w:tblPrEx>
        <w:tc>
          <w:tcPr>
            <w:tcW w:w="2418" w:type="dxa"/>
            <w:gridSpan w:val="2"/>
            <w:tcBorders>
              <w:top w:val="single" w:sz="4" w:space="0" w:color="auto"/>
              <w:left w:val="single" w:sz="4"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levegőburok</w:t>
            </w:r>
          </w:p>
        </w:tc>
        <w:tc>
          <w:tcPr>
            <w:tcW w:w="665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légkör szerkezete, anyagi felépítése és annak változásai.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légkörben lezajló folyamatok és törvényszerűségeik, az éghajlati elemek közötti kölcsönhatások.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időjárási elemek szerepe a felszínformálódásban.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időjárási elemekkel kapcsolatos számítási feladatok megoldása.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időjárás-jelentések értelmezése, a változások okainak magyarázata.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időjárás-változások biológiai hatásai.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legfőbb felhőtípusok összefüggései az időjárási jelenségekkel.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általános légkörzés vízszintes és függőleges összetevőinek kapcsolata.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légkör egységes rendszerként való működése.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légkör szennyeződésének okai és a szennyezettség következményei.</w:t>
            </w:r>
          </w:p>
        </w:tc>
      </w:tr>
      <w:tr w:rsidR="004C2997">
        <w:tblPrEx>
          <w:tblCellMar>
            <w:top w:w="0" w:type="dxa"/>
            <w:bottom w:w="0" w:type="dxa"/>
          </w:tblCellMar>
        </w:tblPrEx>
        <w:tc>
          <w:tcPr>
            <w:tcW w:w="2418" w:type="dxa"/>
            <w:gridSpan w:val="2"/>
            <w:tcBorders>
              <w:top w:val="single" w:sz="4" w:space="0" w:color="auto"/>
              <w:left w:val="single" w:sz="6"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vízburok</w:t>
            </w:r>
          </w:p>
        </w:tc>
        <w:tc>
          <w:tcPr>
            <w:tcW w:w="6654" w:type="dxa"/>
            <w:tcBorders>
              <w:top w:val="single" w:sz="4" w:space="0" w:color="auto"/>
              <w:left w:val="nil"/>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vízburok tagolódása és a víz körforgása. A vízkörzés és a légkörzés kap-</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óceánok és a tengerek földrajzi jellemzői, természeti erőforrásai, gazdasági jelentőségük.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felszíni és felszín alatti víztípusok, kialakulásuk, hasznosíthatóságuk lehe-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tőségei.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vízgazdálkodás főbb tevékenységei.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vízellátás és a vízszennyezés helyi, ill. az egész bolygóra kiható problémái, természeti és társadalmi-gazdasági következményei, megoldási lehetőségek.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víz és a jég felszínformáló tevékenysége.</w:t>
            </w:r>
          </w:p>
        </w:tc>
      </w:tr>
      <w:tr w:rsidR="004C2997">
        <w:tblPrEx>
          <w:tblCellMar>
            <w:top w:w="0" w:type="dxa"/>
            <w:bottom w:w="0" w:type="dxa"/>
          </w:tblCellMar>
        </w:tblPrEx>
        <w:tc>
          <w:tcPr>
            <w:tcW w:w="2418" w:type="dxa"/>
            <w:gridSpan w:val="2"/>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talaj</w:t>
            </w:r>
          </w:p>
        </w:tc>
        <w:tc>
          <w:tcPr>
            <w:tcW w:w="665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talaj keletkezése. A talaj gazdasági jelentősége, a talajpusztulás okai és következményei. </w:t>
            </w:r>
          </w:p>
        </w:tc>
      </w:tr>
      <w:tr w:rsidR="004C2997">
        <w:tblPrEx>
          <w:tblCellMar>
            <w:top w:w="0" w:type="dxa"/>
            <w:bottom w:w="0" w:type="dxa"/>
          </w:tblCellMar>
        </w:tblPrEx>
        <w:tc>
          <w:tcPr>
            <w:tcW w:w="2418" w:type="dxa"/>
            <w:gridSpan w:val="2"/>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geoszférák kölcsönhatásai</w:t>
            </w:r>
          </w:p>
        </w:tc>
        <w:tc>
          <w:tcPr>
            <w:tcW w:w="665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geoszférák közötti összefüggések bemutatása példák segítségével.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geoszférák legfőbb környezeti problémáinak társadalmi-gazdasági és szemléleti okai. Következményeinek, megelőzési és megoldási lehetőségeinek bemutatása példák alapján</w:t>
            </w:r>
          </w:p>
        </w:tc>
      </w:tr>
      <w:tr w:rsidR="004C2997">
        <w:tblPrEx>
          <w:tblCellMar>
            <w:top w:w="0" w:type="dxa"/>
            <w:bottom w:w="0" w:type="dxa"/>
          </w:tblCellMar>
        </w:tblPrEx>
        <w:trPr>
          <w:cantSplit/>
        </w:trPr>
        <w:tc>
          <w:tcPr>
            <w:tcW w:w="9072" w:type="dxa"/>
            <w:gridSpan w:val="3"/>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A földrajzi övezetesség</w:t>
            </w:r>
          </w:p>
        </w:tc>
      </w:tr>
      <w:tr w:rsidR="004C2997">
        <w:tblPrEx>
          <w:tblCellMar>
            <w:top w:w="0" w:type="dxa"/>
            <w:bottom w:w="0" w:type="dxa"/>
          </w:tblCellMar>
        </w:tblPrEx>
        <w:tc>
          <w:tcPr>
            <w:tcW w:w="2418" w:type="dxa"/>
            <w:gridSpan w:val="2"/>
            <w:tcBorders>
              <w:top w:val="single" w:sz="4" w:space="0" w:color="auto"/>
              <w:left w:val="single" w:sz="4" w:space="0" w:color="auto"/>
              <w:bottom w:val="single" w:sz="4" w:space="0" w:color="auto"/>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5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szoláris és a valós éghajlati övezetek közötti különbségek.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földrajzi övezetek, övek, területek/vidék elhelyezkedése, hasonló és eltérő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vonásainak kialakulása és bemutatása, a gazdálkodás jellemző vonásai,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környezeti problémák.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függőleges és a vízszintes övezetesség kapcsolata.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természeti erőforrások övezetes elrendeződésének bizonyítása.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földrajzi övezetesség és az eltartóképesség összefüggései.</w:t>
            </w:r>
          </w:p>
        </w:tc>
      </w:tr>
      <w:tr w:rsidR="004C2997">
        <w:tblPrEx>
          <w:tblCellMar>
            <w:top w:w="0" w:type="dxa"/>
            <w:bottom w:w="0" w:type="dxa"/>
          </w:tblCellMar>
        </w:tblPrEx>
        <w:trPr>
          <w:cantSplit/>
        </w:trPr>
        <w:tc>
          <w:tcPr>
            <w:tcW w:w="907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5. Népesség- és településföldrajz</w:t>
            </w:r>
          </w:p>
        </w:tc>
      </w:tr>
      <w:tr w:rsidR="004C2997">
        <w:tblPrEx>
          <w:tblCellMar>
            <w:top w:w="0" w:type="dxa"/>
            <w:bottom w:w="0" w:type="dxa"/>
          </w:tblCellMar>
        </w:tblPrEx>
        <w:tc>
          <w:tcPr>
            <w:tcW w:w="2418"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54" w:type="dxa"/>
            <w:tcBorders>
              <w:top w:val="single" w:sz="6" w:space="0" w:color="auto"/>
              <w:left w:val="nil"/>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népesedési szakaszok. A Föld népességnövekedésének időbeli alakulása, okai, környezeti következményei.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népesség szerkezetének változásai.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népesség térbeli eloszlását meghatározó legfontosabb tényezők, a területi megoszlás különbségei.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urbanizáció és a népességmozgások összefüggései és következményei.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egyes településtípusok jellemzői, kialakulásuk és átalakulásuk okai, a települések kapcsolatai.</w:t>
            </w:r>
          </w:p>
        </w:tc>
      </w:tr>
      <w:tr w:rsidR="004C2997">
        <w:tblPrEx>
          <w:tblCellMar>
            <w:top w:w="0" w:type="dxa"/>
            <w:bottom w:w="0" w:type="dxa"/>
          </w:tblCellMar>
        </w:tblPrEx>
        <w:trPr>
          <w:cantSplit/>
        </w:trPr>
        <w:tc>
          <w:tcPr>
            <w:tcW w:w="907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6. A világ változó társadalmi-gazdasági képe</w:t>
            </w:r>
          </w:p>
        </w:tc>
      </w:tr>
      <w:tr w:rsidR="004C2997">
        <w:tblPrEx>
          <w:tblCellMar>
            <w:top w:w="0" w:type="dxa"/>
            <w:bottom w:w="0" w:type="dxa"/>
          </w:tblCellMar>
        </w:tblPrEx>
        <w:trPr>
          <w:cantSplit/>
        </w:trPr>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világgazdaság</w:t>
            </w:r>
          </w:p>
        </w:tc>
        <w:tc>
          <w:tcPr>
            <w:tcW w:w="666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világgazdaság ágazati felépítése.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gazdasági fejlettség mérésére alkalmas legfontosabb mutatók.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fejlettség területei különbségei.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piacgazdaság működésének elve.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jelentősebb nemzetközi gazdasági, pénzügyi tevékenységek, szervezetek,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szerepük a világ- és a nemzetgazdasági folyamatokban.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nemzetközi munkamegosztás és a világkereskedelem kialakulásának folyamata, főbb irányai, résztvevői. A globalizáció.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integráció legfontosabb lépései az Európai Unió és egyéb regionális együttműködések példáján.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működőtőke áramlásának legfontosabb irányai és hatásai a gazdasági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fejlődésre.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mindennapi élet jellemző gazdasági folyamatainak felismerése példák alapján.</w:t>
            </w:r>
          </w:p>
        </w:tc>
      </w:tr>
      <w:tr w:rsidR="004C2997">
        <w:tblPrEx>
          <w:tblCellMar>
            <w:top w:w="0" w:type="dxa"/>
            <w:bottom w:w="0" w:type="dxa"/>
          </w:tblCellMar>
        </w:tblPrEx>
        <w:trPr>
          <w:cantSplit/>
        </w:trPr>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gazdasági ágazatok</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gazdasági ágazatok jelentőségének változásai példák alapján.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legfontosabb gazdasági ágazatok telepítő tényezői, azok változása.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gazdasági szerkezetváltás folyamata.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mezőgazdaság termelés jellemzői.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energiagazdaság és az ipar jelentősége, átalakulási tendenciái.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infrastruktúra szerepe és kapcsolata az életminőséggel.</w:t>
            </w:r>
          </w:p>
        </w:tc>
      </w:tr>
      <w:tr w:rsidR="004C2997">
        <w:tblPrEx>
          <w:tblCellMar>
            <w:top w:w="0" w:type="dxa"/>
            <w:bottom w:w="0" w:type="dxa"/>
          </w:tblCellMar>
        </w:tblPrEx>
        <w:trPr>
          <w:cantSplit/>
        </w:trPr>
        <w:tc>
          <w:tcPr>
            <w:tcW w:w="907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7. A világgazdaságban különböző szerepet betöltő régiók, országcsoportok és országok</w:t>
            </w:r>
          </w:p>
        </w:tc>
      </w:tr>
      <w:tr w:rsidR="004C2997">
        <w:tblPrEx>
          <w:tblCellMar>
            <w:top w:w="0" w:type="dxa"/>
            <w:bottom w:w="0" w:type="dxa"/>
          </w:tblCellMar>
        </w:tblPrEx>
        <w:tc>
          <w:tcPr>
            <w:tcW w:w="2418"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54" w:type="dxa"/>
            <w:tcBorders>
              <w:top w:val="single" w:sz="6" w:space="0" w:color="auto"/>
              <w:left w:val="nil"/>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Földünk országainak csoportosítása társadalmi-gazdasági jellemzőik szerint.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világgazdasági központok és a peremterületek kialakulása, területi átrendeződésük, eltérő és változó szerepük a világgazdaságban.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Függőségi viszonyok a világgazdaságban.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különböző egyedi szerepkörök kialakulásának okai. Az egyedi szerepet betöltő országcsoportok és országok földrajzi jellemzői, jelentőségük a világgazdaság működésében.</w:t>
            </w:r>
          </w:p>
        </w:tc>
      </w:tr>
      <w:tr w:rsidR="004C2997">
        <w:tblPrEx>
          <w:tblCellMar>
            <w:top w:w="0" w:type="dxa"/>
            <w:bottom w:w="0" w:type="dxa"/>
          </w:tblCellMar>
        </w:tblPrEx>
        <w:trPr>
          <w:cantSplit/>
        </w:trPr>
        <w:tc>
          <w:tcPr>
            <w:tcW w:w="907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8. Magyarország földrajza</w:t>
            </w:r>
          </w:p>
        </w:tc>
      </w:tr>
      <w:tr w:rsidR="004C2997">
        <w:tblPrEx>
          <w:tblCellMar>
            <w:top w:w="0" w:type="dxa"/>
            <w:bottom w:w="0" w:type="dxa"/>
          </w:tblCellMar>
        </w:tblPrEx>
        <w:trPr>
          <w:cantSplit/>
        </w:trPr>
        <w:tc>
          <w:tcPr>
            <w:tcW w:w="2410"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gridSpan w:val="2"/>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Magyarország földrajzi helyzete.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Hazánk természeti adottságainak és erőforrásainak kapcsolata, a medencejelleg érvényesülése.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Népességföldrajzi folyamatok és azok következményei. A népesség nemzetiségi összetételének változásai és következményei a Kárpát-medencében.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Hazánk társadalmi-gazdasági fejlődésének történelmi háttere, a térszerkezet változásának tendenciái.</w:t>
            </w:r>
          </w:p>
        </w:tc>
      </w:tr>
      <w:tr w:rsidR="004C2997">
        <w:tblPrEx>
          <w:tblCellMar>
            <w:top w:w="0" w:type="dxa"/>
            <w:bottom w:w="0" w:type="dxa"/>
          </w:tblCellMar>
        </w:tblPrEx>
        <w:trPr>
          <w:cantSplit/>
        </w:trPr>
        <w:tc>
          <w:tcPr>
            <w:tcW w:w="2410" w:type="dxa"/>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6662" w:type="dxa"/>
            <w:gridSpan w:val="2"/>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Magyarország gazdaságának jellemző vonásai. A gazdaság fő ágai, ágazatai, területi és szerkezeti átrendeződése, annak okai és társadalmi-gazdasági következményei.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Nemzetközi gazdasági kapcsolataink. A regionális együttműködés lehetőségei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Kárpát-medencében.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Hazánk idegenforgalma.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hazai tájak és régiók eltérő természetföldrajzi és társadalmi-gazdasági képének bemutatása. A regionális fejlettségi különbségek okai és következményei.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környezetgazdálkodás hazai elvei és alkalmazásának lehetőségei.</w:t>
            </w:r>
          </w:p>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Hazánk környezeti állapota, legfőbb természeti, kulturális és környezeti értékei, gazdasági eredményei</w:t>
            </w:r>
            <w:r>
              <w:rPr>
                <w:rFonts w:ascii="Times New Roman" w:hAnsi="Times New Roman" w:cs="Times New Roman"/>
                <w:i/>
                <w:iCs/>
                <w:sz w:val="20"/>
                <w:szCs w:val="20"/>
              </w:rPr>
              <w: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lakóhely és a régió természeti, társadalmi-gazdasági jellemzői.</w:t>
            </w:r>
          </w:p>
        </w:tc>
      </w:tr>
      <w:tr w:rsidR="004C2997">
        <w:tblPrEx>
          <w:tblCellMar>
            <w:top w:w="0" w:type="dxa"/>
            <w:bottom w:w="0" w:type="dxa"/>
          </w:tblCellMar>
        </w:tblPrEx>
        <w:trPr>
          <w:cantSplit/>
        </w:trPr>
        <w:tc>
          <w:tcPr>
            <w:tcW w:w="907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sz w:val="20"/>
                <w:szCs w:val="20"/>
              </w:rPr>
            </w:pPr>
            <w:r>
              <w:rPr>
                <w:rFonts w:ascii="Times New Roman" w:hAnsi="Times New Roman" w:cs="Times New Roman"/>
                <w:b/>
                <w:bCs/>
                <w:sz w:val="20"/>
                <w:szCs w:val="20"/>
              </w:rPr>
              <w:t>9. Európa regionális földrajza</w:t>
            </w:r>
          </w:p>
        </w:tc>
      </w:tr>
      <w:tr w:rsidR="004C2997">
        <w:tblPrEx>
          <w:tblCellMar>
            <w:top w:w="0" w:type="dxa"/>
            <w:bottom w:w="0" w:type="dxa"/>
          </w:tblCellMar>
        </w:tblPrEx>
        <w:trPr>
          <w:cantSplit/>
        </w:trPr>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p>
        </w:tc>
        <w:tc>
          <w:tcPr>
            <w:tcW w:w="666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Európa természeti és társadalmi-gazdasági képe.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egyes kontinensrészek és a tipikus tájak földrajzi jellemzői.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európai országok szerepének bemutatása a kontinens, illetve a világ gazdaságában. Közös és eltérő társadalmi-gazdasági adottságaik magyarázata, azok következményei.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Európai Unió kialakulásának társadalmi-gazdasági alapjai, működésének földrajzi vonásai, a bővítés lehetőségei és korlátai. Egyes területeinek és országainak hasonlóságai és különbségei. A tagországok közös és nemzeti érdekeinek bemutatása, a hasonlóságok és a különbségek okainak magyarázata.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környezeti problémák területi jellemzői, a megoldásukra tett törekvések Európában.</w:t>
            </w:r>
          </w:p>
        </w:tc>
      </w:tr>
      <w:tr w:rsidR="004C2997">
        <w:tblPrEx>
          <w:tblCellMar>
            <w:top w:w="0" w:type="dxa"/>
            <w:bottom w:w="0" w:type="dxa"/>
          </w:tblCellMar>
        </w:tblPrEx>
        <w:trPr>
          <w:cantSplit/>
        </w:trPr>
        <w:tc>
          <w:tcPr>
            <w:tcW w:w="907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sz w:val="20"/>
                <w:szCs w:val="20"/>
              </w:rPr>
            </w:pPr>
            <w:r>
              <w:rPr>
                <w:rFonts w:ascii="Times New Roman" w:hAnsi="Times New Roman" w:cs="Times New Roman"/>
                <w:b/>
                <w:bCs/>
                <w:sz w:val="20"/>
                <w:szCs w:val="20"/>
              </w:rPr>
              <w:t>10. Az Európán kívüli földrészek földrajza</w:t>
            </w:r>
          </w:p>
        </w:tc>
      </w:tr>
      <w:tr w:rsidR="004C2997">
        <w:tblPrEx>
          <w:tblCellMar>
            <w:top w:w="0" w:type="dxa"/>
            <w:bottom w:w="0" w:type="dxa"/>
          </w:tblCellMar>
        </w:tblPrEx>
        <w:trPr>
          <w:cantSplit/>
        </w:trPr>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p>
        </w:tc>
        <w:tc>
          <w:tcPr>
            <w:tcW w:w="666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egyes kontinensek általános természetföldrajzi és társadalmi-gazdasági jellemzői, tipikus tájaik.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eltérő társadalmi-gazdasági fejlettségű területek, a világgazdaságban kiemelkedő jelentőségű országcsoportok és országok, szerepük változásai.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Példák a társadalom természeti környezetbe való beavatkozására az egyes földrészeken.</w:t>
            </w:r>
          </w:p>
        </w:tc>
      </w:tr>
      <w:tr w:rsidR="004C2997">
        <w:tblPrEx>
          <w:tblCellMar>
            <w:top w:w="0" w:type="dxa"/>
            <w:bottom w:w="0" w:type="dxa"/>
          </w:tblCellMar>
        </w:tblPrEx>
        <w:trPr>
          <w:cantSplit/>
        </w:trPr>
        <w:tc>
          <w:tcPr>
            <w:tcW w:w="907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11. A globális válságproblémák földrajzi vonatkozásai</w:t>
            </w:r>
          </w:p>
        </w:tc>
      </w:tr>
      <w:tr w:rsidR="004C2997">
        <w:tblPrEx>
          <w:tblCellMar>
            <w:top w:w="0" w:type="dxa"/>
            <w:bottom w:w="0" w:type="dxa"/>
          </w:tblCellMar>
        </w:tblPrEx>
        <w:tc>
          <w:tcPr>
            <w:tcW w:w="2418"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54" w:type="dxa"/>
            <w:tcBorders>
              <w:top w:val="single" w:sz="6" w:space="0" w:color="auto"/>
              <w:left w:val="nil"/>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legfőbb globális problémák és azok kialakulásának természeti, társadalmi-gazdasági okai.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túlnépesedés, a termelés és a fogyasztás regionális társadalmi következményei és azok megoldási lehetőségei.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Példák a globális környezeti gondok megoldási lehetőségeire.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környezetvédelem nemzetközi szervezetei, az egyezmények legfőbb céljai és elvei. A fenntartható fejlődés.</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ÉNEK-ZENE</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gyakorlati / szóbeli és írásbeli.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gyakorlati / szóbeli és írásbeli.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Az ének-zene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középszintű vizsga célja annak megállapítása, hogy a vizsgázó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jól artikuláltan, tisztán intonálva, zeneileg formáltan énekelni;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kottaolvasási ismereteit alkalmazni a lapról olvasáskor;</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tanult zeneművek hallás utáni felismerésére, a zeneszerzők, a műfajok meghatározására;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zenetörténeti korok általános jellemzőit;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stílusjegyek alapján zenetörténeti korszakokat meghatározni;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társművészeti – irodalmi, képzőművészeti, építészeti, színházművészeti – kapcsolódások felvázolására;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dallamátírásra a tanult hangnemekben (2# – 2b).</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emelt szintű vizsga célja annak megállapítása, hogy a vizsgázó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az esztétikai és előadói szempontoknak megfelelő éneklésre; helyes légzéstechnikára és artikulációra, biztos intonációra, frazeálásra, formálásra;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alkalmazni zenei ismereteit a lapról olvasáskor;</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tájékozódni a zeneirodalom kiemelkedő alkotásai között;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zeneművek meghallgatása alapján a stílusok, zeneszerzők, művek, műfajok felismerésére, meghatározására;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összefüggéseket, kapcsolódásokat fel tud-e tárni a különféle művészeti ágak között, képes-e e társművészeti kapcsolatok kifejtésére;</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műelemzésekben tudja-e tanult ismereteit alkalmazni;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zenei hallás és íráskészségek megfelelő szintű alkalmazására;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hangközök, hangzatok lejegyzésére, éneklésére és hallás utáni megnevezésére;</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diktálás alapján egy- és kétszólamú dallamok lejegyzésére.</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18"/>
        <w:gridCol w:w="14"/>
        <w:gridCol w:w="6638"/>
      </w:tblGrid>
      <w:tr w:rsidR="004C2997">
        <w:tblPrEx>
          <w:tblCellMar>
            <w:top w:w="0" w:type="dxa"/>
            <w:bottom w:w="0" w:type="dxa"/>
          </w:tblCellMar>
        </w:tblPrEx>
        <w:tc>
          <w:tcPr>
            <w:tcW w:w="2432" w:type="dxa"/>
            <w:gridSpan w:val="2"/>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Kompetenciák/</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6638" w:type="dxa"/>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070"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Éneklés és zenetörténet</w:t>
            </w:r>
          </w:p>
        </w:tc>
      </w:tr>
      <w:tr w:rsidR="004C2997">
        <w:tblPrEx>
          <w:tblCellMar>
            <w:top w:w="0" w:type="dxa"/>
            <w:bottom w:w="0" w:type="dxa"/>
          </w:tblCellMar>
        </w:tblPrEx>
        <w:tc>
          <w:tcPr>
            <w:tcW w:w="2432" w:type="dxa"/>
            <w:gridSpan w:val="2"/>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Népzene</w:t>
            </w:r>
          </w:p>
        </w:tc>
        <w:tc>
          <w:tcPr>
            <w:tcW w:w="6638"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Húsz magyar népdal, valamint két különböző nemzetiségi és két más nép népdalának előadása emlékezetből.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népdalok stílusának, szerkezetének, formájának, hangsorának, hangkészletének, előadási módjának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műfajokhoz kapcsolódó népi hangszerek ismerete és felismerése.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tanult népdalokhoz kapcsolódó népszokások ismerete.</w:t>
            </w:r>
          </w:p>
        </w:tc>
      </w:tr>
      <w:tr w:rsidR="004C2997">
        <w:tblPrEx>
          <w:tblCellMar>
            <w:top w:w="0" w:type="dxa"/>
            <w:bottom w:w="0" w:type="dxa"/>
          </w:tblCellMar>
        </w:tblPrEx>
        <w:trPr>
          <w:cantSplit/>
          <w:trHeight w:val="493"/>
        </w:trPr>
        <w:tc>
          <w:tcPr>
            <w:tcW w:w="2432" w:type="dxa"/>
            <w:gridSpan w:val="2"/>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Műzene</w:t>
            </w:r>
          </w:p>
        </w:tc>
        <w:tc>
          <w:tcPr>
            <w:tcW w:w="6638"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zenetörténeti korszakok általános jellemzése, zenei műszavak, előadási jelek; a tanult zeneszerzők életútjának vázlatos ismertetése és főbb műveik megnevezése.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Társművészeti összefüggések bemutatása (irodalom, képzőművészet, tánc, színház).</w:t>
            </w:r>
          </w:p>
        </w:tc>
      </w:tr>
      <w:tr w:rsidR="004C2997">
        <w:tblPrEx>
          <w:tblCellMar>
            <w:top w:w="0" w:type="dxa"/>
            <w:bottom w:w="0" w:type="dxa"/>
          </w:tblCellMar>
        </w:tblPrEx>
        <w:trPr>
          <w:cantSplit/>
          <w:trHeight w:val="493"/>
        </w:trPr>
        <w:tc>
          <w:tcPr>
            <w:tcW w:w="2432" w:type="dxa"/>
            <w:gridSpan w:val="2"/>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Középkor</w:t>
            </w:r>
          </w:p>
        </w:tc>
        <w:tc>
          <w:tcPr>
            <w:tcW w:w="663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szillabikus gregorián dallam éneklése latin szöveggel, emlékezetből.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gregorián zene általános jellemzése.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trubadúr dallam előadása szöveggel emlékezetből</w:t>
            </w:r>
            <w:r>
              <w:rPr>
                <w:rFonts w:ascii="Times New Roman" w:hAnsi="Times New Roman" w:cs="Times New Roman"/>
                <w:i/>
                <w:iCs/>
                <w:sz w:val="20"/>
                <w:szCs w:val="20"/>
              </w:rPr>
              <w:t>.</w:t>
            </w:r>
          </w:p>
        </w:tc>
      </w:tr>
      <w:tr w:rsidR="004C2997">
        <w:tblPrEx>
          <w:tblCellMar>
            <w:top w:w="0" w:type="dxa"/>
            <w:bottom w:w="0" w:type="dxa"/>
          </w:tblCellMar>
        </w:tblPrEx>
        <w:trPr>
          <w:cantSplit/>
          <w:trHeight w:val="493"/>
        </w:trPr>
        <w:tc>
          <w:tcPr>
            <w:tcW w:w="2432" w:type="dxa"/>
            <w:gridSpan w:val="2"/>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lastRenderedPageBreak/>
              <w:t>Reneszánsz</w:t>
            </w:r>
          </w:p>
        </w:tc>
        <w:tc>
          <w:tcPr>
            <w:tcW w:w="663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históriás ének szöveges megszólaltatása emlékezetből.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Vokális műfajok felsorolása, a műfaji jellemzők meghatározása (mise, motetta, madrigál).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magyarországi reneszánsz zene általános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reneszánsz korszak jellemző hangszereinek felsorolása.</w:t>
            </w:r>
          </w:p>
        </w:tc>
      </w:tr>
      <w:tr w:rsidR="004C2997">
        <w:tblPrEx>
          <w:tblCellMar>
            <w:top w:w="0" w:type="dxa"/>
            <w:bottom w:w="0" w:type="dxa"/>
          </w:tblCellMar>
        </w:tblPrEx>
        <w:trPr>
          <w:cantSplit/>
          <w:trHeight w:val="493"/>
        </w:trPr>
        <w:tc>
          <w:tcPr>
            <w:tcW w:w="2432" w:type="dxa"/>
            <w:gridSpan w:val="2"/>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Barokk</w:t>
            </w:r>
          </w:p>
        </w:tc>
        <w:tc>
          <w:tcPr>
            <w:tcW w:w="663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korál dallam éneklése magyar szöveggel, emlékezetből.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könnyebb ária vagy dal szöveges éneklése kottából</w:t>
            </w:r>
            <w:r>
              <w:rPr>
                <w:rFonts w:ascii="Times New Roman" w:hAnsi="Times New Roman" w:cs="Times New Roman"/>
                <w:i/>
                <w:iCs/>
                <w:sz w:val="20"/>
                <w:szCs w:val="20"/>
              </w:rPr>
              <w:t>,</w:t>
            </w:r>
            <w:r>
              <w:rPr>
                <w:rFonts w:ascii="Times New Roman" w:hAnsi="Times New Roman" w:cs="Times New Roman"/>
                <w:sz w:val="20"/>
                <w:szCs w:val="20"/>
              </w:rPr>
              <w:t xml:space="preserve"> tanári zongorakísérettel.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Korál, passió, oratórium, kantáta, a barokk opera meghatározása.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Zenei formák: rondó, variációk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Hangszeres műfajok: concerto, concerto grosso, szvit, prelúdium, fúga értelmezése.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barokk zenekar összetételének és jellemző hangszereinek felsorolása.</w:t>
            </w:r>
          </w:p>
        </w:tc>
      </w:tr>
      <w:tr w:rsidR="004C2997">
        <w:tblPrEx>
          <w:tblCellMar>
            <w:top w:w="0" w:type="dxa"/>
            <w:bottom w:w="0" w:type="dxa"/>
          </w:tblCellMar>
        </w:tblPrEx>
        <w:trPr>
          <w:cantSplit/>
          <w:trHeight w:val="493"/>
        </w:trPr>
        <w:tc>
          <w:tcPr>
            <w:tcW w:w="2432" w:type="dxa"/>
            <w:gridSpan w:val="2"/>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Bécsi klasszika</w:t>
            </w:r>
          </w:p>
        </w:tc>
        <w:tc>
          <w:tcPr>
            <w:tcW w:w="663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bécsi klasszikus dal bemutatása szöveggel emlékezetből</w:t>
            </w:r>
            <w:r>
              <w:rPr>
                <w:rFonts w:ascii="Times New Roman" w:hAnsi="Times New Roman" w:cs="Times New Roman"/>
                <w:i/>
                <w:iCs/>
                <w:sz w:val="20"/>
                <w:szCs w:val="20"/>
              </w:rPr>
              <w:t>,</w:t>
            </w:r>
            <w:r>
              <w:rPr>
                <w:rFonts w:ascii="Times New Roman" w:hAnsi="Times New Roman" w:cs="Times New Roman"/>
                <w:sz w:val="20"/>
                <w:szCs w:val="20"/>
              </w:rPr>
              <w:t xml:space="preserve"> tanári zongorakísérettel.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magyar szöveges verbunkos dallam éneklése emlékezetből.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periódus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Két-, ill. háromtagú formák meghatározása.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Jellemző műfajok általános bemutatása: szonáta, vonósnégyes, szimfónia, klasszikus versenymű, opera.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klasszikus szimfonikus zenekar összetételének meghatározása.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verbunkos zene jellemzői a XVIII. században, kiemelkedő mesterek megnevezése.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Periódus terjedelmű, modulálás nélküli zenei idézet lapról olvasása szolmizálva (2#–2b-ig).</w:t>
            </w:r>
          </w:p>
        </w:tc>
      </w:tr>
      <w:tr w:rsidR="004C2997">
        <w:tblPrEx>
          <w:tblCellMar>
            <w:top w:w="0" w:type="dxa"/>
            <w:bottom w:w="0" w:type="dxa"/>
          </w:tblCellMar>
        </w:tblPrEx>
        <w:trPr>
          <w:cantSplit/>
          <w:trHeight w:val="493"/>
        </w:trPr>
        <w:tc>
          <w:tcPr>
            <w:tcW w:w="2432" w:type="dxa"/>
            <w:gridSpan w:val="2"/>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Romantika</w:t>
            </w:r>
          </w:p>
        </w:tc>
        <w:tc>
          <w:tcPr>
            <w:tcW w:w="663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romantikus dal előadása szöveggel emlékezetből, tanári zongorakísérettel.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romantikus dal jellegzetes vonásainak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programzene jellemzése.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szimfonikus költemény műfaji meghatározása.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nemzeti romantika jellemzése.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Liszt Ferenc és Erkel Ferenc életútjának vázlatos ismertetése, főbb műveinek felsorolása.</w:t>
            </w:r>
          </w:p>
        </w:tc>
      </w:tr>
      <w:tr w:rsidR="004C2997">
        <w:tblPrEx>
          <w:tblCellMar>
            <w:top w:w="0" w:type="dxa"/>
            <w:bottom w:w="0" w:type="dxa"/>
          </w:tblCellMar>
        </w:tblPrEx>
        <w:trPr>
          <w:cantSplit/>
          <w:trHeight w:val="493"/>
        </w:trPr>
        <w:tc>
          <w:tcPr>
            <w:tcW w:w="2432" w:type="dxa"/>
            <w:gridSpan w:val="2"/>
            <w:tcBorders>
              <w:top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Századforduló</w:t>
            </w:r>
          </w:p>
        </w:tc>
        <w:tc>
          <w:tcPr>
            <w:tcW w:w="6638"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zenemű részletének éneklése kottából szolmizálva.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zenei impresszionizmus bemutatása (melodika, ritmika, hangkészlet, hangszerelés).</w:t>
            </w:r>
          </w:p>
        </w:tc>
      </w:tr>
      <w:tr w:rsidR="004C2997">
        <w:tblPrEx>
          <w:tblCellMar>
            <w:top w:w="0" w:type="dxa"/>
            <w:bottom w:w="0" w:type="dxa"/>
          </w:tblCellMar>
        </w:tblPrEx>
        <w:trPr>
          <w:cantSplit/>
          <w:trHeight w:val="601"/>
        </w:trPr>
        <w:tc>
          <w:tcPr>
            <w:tcW w:w="2432" w:type="dxa"/>
            <w:gridSpan w:val="2"/>
            <w:tcBorders>
              <w:top w:val="nil"/>
            </w:tcBorders>
          </w:tcPr>
          <w:p w:rsidR="004C2997" w:rsidRDefault="004C2997">
            <w:pPr>
              <w:autoSpaceDE w:val="0"/>
              <w:autoSpaceDN w:val="0"/>
              <w:adjustRightInd w:val="0"/>
              <w:spacing w:after="0" w:line="240" w:lineRule="auto"/>
              <w:ind w:left="214" w:firstLine="13"/>
              <w:jc w:val="both"/>
              <w:rPr>
                <w:rFonts w:ascii="Times New Roman" w:hAnsi="Times New Roman" w:cs="Times New Roman"/>
                <w:sz w:val="20"/>
                <w:szCs w:val="20"/>
              </w:rPr>
            </w:pPr>
            <w:r>
              <w:rPr>
                <w:rFonts w:ascii="Times New Roman" w:hAnsi="Times New Roman" w:cs="Times New Roman"/>
                <w:sz w:val="20"/>
                <w:szCs w:val="20"/>
              </w:rPr>
              <w:t>XX. századi és kortárs zene</w:t>
            </w:r>
          </w:p>
        </w:tc>
        <w:tc>
          <w:tcPr>
            <w:tcW w:w="6638"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Egy-egy téma éneklése szolmizálva kottából, Bartók Béla és Kodály Zoltán műveiből.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Bartók Béla és Kodály Zoltán életművének bemutatása (életút, főbb művek).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XX. század főbb zenei irányzatainak megnevezése.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Kortárs magyar szerzők és főbb műveik felsorolása.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amerikai zene fejlődésének, a dzsessz és hatásának leíró jelegű bemutatása.</w:t>
            </w:r>
          </w:p>
        </w:tc>
      </w:tr>
      <w:tr w:rsidR="004C2997">
        <w:tblPrEx>
          <w:tblCellMar>
            <w:top w:w="0" w:type="dxa"/>
            <w:bottom w:w="0" w:type="dxa"/>
          </w:tblCellMar>
        </w:tblPrEx>
        <w:trPr>
          <w:cantSplit/>
          <w:trHeight w:val="262"/>
        </w:trPr>
        <w:tc>
          <w:tcPr>
            <w:tcW w:w="9070" w:type="dxa"/>
            <w:gridSpan w:val="3"/>
            <w:tcBorders>
              <w:bottom w:val="nil"/>
            </w:tcBorders>
            <w:vAlign w:val="center"/>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Zenefelismerés</w:t>
            </w:r>
          </w:p>
        </w:tc>
      </w:tr>
      <w:tr w:rsidR="004C2997">
        <w:tblPrEx>
          <w:tblCellMar>
            <w:top w:w="0" w:type="dxa"/>
            <w:bottom w:w="0" w:type="dxa"/>
          </w:tblCellMar>
        </w:tblPrEx>
        <w:trPr>
          <w:cantSplit/>
          <w:trHeight w:val="601"/>
        </w:trPr>
        <w:tc>
          <w:tcPr>
            <w:tcW w:w="2432" w:type="dxa"/>
            <w:gridSpan w:val="2"/>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38"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zenefelismerési feladatban nyolc hangzó (CD-n vagy hangkazettán rögzített) zenei szemelvényt kell felismerni. Feladattípustól függően kell meghatározni a népi hangszerek, a korszak, a zeneszerző, a mű és a műfaj nevét. A válogatás tanult anyagból legyen az alábbi szerzőktől.</w:t>
            </w:r>
          </w:p>
        </w:tc>
      </w:tr>
      <w:tr w:rsidR="004C2997">
        <w:tblPrEx>
          <w:tblCellMar>
            <w:top w:w="0" w:type="dxa"/>
            <w:bottom w:w="0" w:type="dxa"/>
          </w:tblCellMar>
        </w:tblPrEx>
        <w:trPr>
          <w:cantSplit/>
        </w:trPr>
        <w:tc>
          <w:tcPr>
            <w:tcW w:w="2432" w:type="dxa"/>
            <w:gridSpan w:val="2"/>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Népzene</w:t>
            </w:r>
          </w:p>
        </w:tc>
        <w:tc>
          <w:tcPr>
            <w:tcW w:w="663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Népi hangszerek: furulya, duda, citera, tekerő, cimbalom.</w:t>
            </w:r>
          </w:p>
        </w:tc>
      </w:tr>
      <w:tr w:rsidR="004C2997">
        <w:tblPrEx>
          <w:tblCellMar>
            <w:top w:w="0" w:type="dxa"/>
            <w:bottom w:w="0" w:type="dxa"/>
          </w:tblCellMar>
        </w:tblPrEx>
        <w:trPr>
          <w:cantSplit/>
        </w:trPr>
        <w:tc>
          <w:tcPr>
            <w:tcW w:w="2432" w:type="dxa"/>
            <w:gridSpan w:val="2"/>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Reneszánsz</w:t>
            </w:r>
          </w:p>
        </w:tc>
        <w:tc>
          <w:tcPr>
            <w:tcW w:w="663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Josquin des Pres, Tinódi Lantos Sebestyén.</w:t>
            </w:r>
          </w:p>
        </w:tc>
      </w:tr>
      <w:tr w:rsidR="004C2997">
        <w:tblPrEx>
          <w:tblCellMar>
            <w:top w:w="0" w:type="dxa"/>
            <w:bottom w:w="0" w:type="dxa"/>
          </w:tblCellMar>
        </w:tblPrEx>
        <w:trPr>
          <w:cantSplit/>
        </w:trPr>
        <w:tc>
          <w:tcPr>
            <w:tcW w:w="2432" w:type="dxa"/>
            <w:gridSpan w:val="2"/>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Barokk</w:t>
            </w:r>
          </w:p>
        </w:tc>
        <w:tc>
          <w:tcPr>
            <w:tcW w:w="663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 S. Bach, Händel.</w:t>
            </w:r>
          </w:p>
        </w:tc>
      </w:tr>
      <w:tr w:rsidR="004C2997">
        <w:tblPrEx>
          <w:tblCellMar>
            <w:top w:w="0" w:type="dxa"/>
            <w:bottom w:w="0" w:type="dxa"/>
          </w:tblCellMar>
        </w:tblPrEx>
        <w:trPr>
          <w:cantSplit/>
        </w:trPr>
        <w:tc>
          <w:tcPr>
            <w:tcW w:w="2432" w:type="dxa"/>
            <w:gridSpan w:val="2"/>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Bécsi klasszika</w:t>
            </w:r>
          </w:p>
        </w:tc>
        <w:tc>
          <w:tcPr>
            <w:tcW w:w="663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Haydn, Mozart, Beethoven.</w:t>
            </w:r>
          </w:p>
        </w:tc>
      </w:tr>
      <w:tr w:rsidR="004C2997">
        <w:tblPrEx>
          <w:tblCellMar>
            <w:top w:w="0" w:type="dxa"/>
            <w:bottom w:w="0" w:type="dxa"/>
          </w:tblCellMar>
        </w:tblPrEx>
        <w:trPr>
          <w:cantSplit/>
        </w:trPr>
        <w:tc>
          <w:tcPr>
            <w:tcW w:w="2432" w:type="dxa"/>
            <w:gridSpan w:val="2"/>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Romantika</w:t>
            </w:r>
          </w:p>
        </w:tc>
        <w:tc>
          <w:tcPr>
            <w:tcW w:w="663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Liszt Ferenc, Erkel Ferenc, Verdi, Muszorgszkij.</w:t>
            </w:r>
          </w:p>
        </w:tc>
      </w:tr>
      <w:tr w:rsidR="004C2997">
        <w:tblPrEx>
          <w:tblCellMar>
            <w:top w:w="0" w:type="dxa"/>
            <w:bottom w:w="0" w:type="dxa"/>
          </w:tblCellMar>
        </w:tblPrEx>
        <w:trPr>
          <w:cantSplit/>
        </w:trPr>
        <w:tc>
          <w:tcPr>
            <w:tcW w:w="2432" w:type="dxa"/>
            <w:gridSpan w:val="2"/>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Századforduló</w:t>
            </w:r>
          </w:p>
        </w:tc>
        <w:tc>
          <w:tcPr>
            <w:tcW w:w="6638"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Ravel.</w:t>
            </w:r>
          </w:p>
        </w:tc>
      </w:tr>
      <w:tr w:rsidR="004C2997">
        <w:tblPrEx>
          <w:tblCellMar>
            <w:top w:w="0" w:type="dxa"/>
            <w:bottom w:w="0" w:type="dxa"/>
          </w:tblCellMar>
        </w:tblPrEx>
        <w:trPr>
          <w:cantSplit/>
        </w:trPr>
        <w:tc>
          <w:tcPr>
            <w:tcW w:w="2432" w:type="dxa"/>
            <w:gridSpan w:val="2"/>
            <w:tcBorders>
              <w:top w:val="nil"/>
            </w:tcBorders>
          </w:tcPr>
          <w:p w:rsidR="004C2997" w:rsidRDefault="004C2997">
            <w:pPr>
              <w:autoSpaceDE w:val="0"/>
              <w:autoSpaceDN w:val="0"/>
              <w:adjustRightInd w:val="0"/>
              <w:spacing w:after="0" w:line="240" w:lineRule="auto"/>
              <w:ind w:left="214" w:firstLine="13"/>
              <w:jc w:val="both"/>
              <w:rPr>
                <w:rFonts w:ascii="Times New Roman" w:hAnsi="Times New Roman" w:cs="Times New Roman"/>
                <w:sz w:val="20"/>
                <w:szCs w:val="20"/>
              </w:rPr>
            </w:pPr>
            <w:r>
              <w:rPr>
                <w:rFonts w:ascii="Times New Roman" w:hAnsi="Times New Roman" w:cs="Times New Roman"/>
                <w:sz w:val="20"/>
                <w:szCs w:val="20"/>
              </w:rPr>
              <w:t>XX. századi és kortárs zene</w:t>
            </w:r>
          </w:p>
        </w:tc>
        <w:tc>
          <w:tcPr>
            <w:tcW w:w="6638"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Bartók, Kodály, Gershwin, Orff.</w:t>
            </w:r>
          </w:p>
        </w:tc>
      </w:tr>
      <w:tr w:rsidR="004C2997">
        <w:tblPrEx>
          <w:tblCellMar>
            <w:top w:w="0" w:type="dxa"/>
            <w:bottom w:w="0" w:type="dxa"/>
          </w:tblCellMar>
        </w:tblPrEx>
        <w:trPr>
          <w:cantSplit/>
        </w:trPr>
        <w:tc>
          <w:tcPr>
            <w:tcW w:w="9070"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Dallamátírás</w:t>
            </w:r>
          </w:p>
        </w:tc>
      </w:tr>
      <w:tr w:rsidR="004C2997">
        <w:tblPrEx>
          <w:tblCellMar>
            <w:top w:w="0" w:type="dxa"/>
            <w:bottom w:w="0" w:type="dxa"/>
          </w:tblCellMar>
        </w:tblPrEx>
        <w:trPr>
          <w:cantSplit/>
        </w:trPr>
        <w:tc>
          <w:tcPr>
            <w:tcW w:w="2418"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5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Egy egyszólamú, hangnemben maradó, periódus terjedelmű dallam átírása betűkottából a vonalrendszerbe violinkulcsban, 2#–2b előjegyzési körben. </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32"/>
        <w:gridCol w:w="6640"/>
      </w:tblGrid>
      <w:tr w:rsidR="004C2997">
        <w:tblPrEx>
          <w:tblCellMar>
            <w:top w:w="0" w:type="dxa"/>
            <w:bottom w:w="0" w:type="dxa"/>
          </w:tblCellMar>
        </w:tblPrEx>
        <w:tc>
          <w:tcPr>
            <w:tcW w:w="2432" w:type="dxa"/>
            <w:shd w:val="pct25"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Kompetenciák/</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6640" w:type="dxa"/>
            <w:shd w:val="pct25"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072" w:type="dxa"/>
            <w:gridSpan w:val="2"/>
            <w:tcBorders>
              <w:bottom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Éneklés és zeneirodalom</w:t>
            </w:r>
          </w:p>
        </w:tc>
      </w:tr>
      <w:tr w:rsidR="004C2997">
        <w:tblPrEx>
          <w:tblCellMar>
            <w:top w:w="0" w:type="dxa"/>
            <w:bottom w:w="0" w:type="dxa"/>
          </w:tblCellMar>
        </w:tblPrEx>
        <w:tc>
          <w:tcPr>
            <w:tcW w:w="243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Népzene</w:t>
            </w:r>
          </w:p>
        </w:tc>
        <w:tc>
          <w:tcPr>
            <w:tcW w:w="6640" w:type="dxa"/>
            <w:tcBorders>
              <w:bottom w:val="nil"/>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Harminc magyar népdal, valamint két különböző nemzetiségi és két más népek népdalának előadása szöveggel emlékezetből.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Népdalelemzés: stílus, szerkezet, forma hangsor, hangkészlet, előadásmód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műfajokhoz kapcsolódó népi hangszerek ismerete és felismerése.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dalok néprajzi hátterének bemutatása, jelentős népdalgyűjtők (Vikár Béla, Kodály Zoltán, Bartók Béla) népdalgyűjtő munkájának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tanult népdalokhoz kapcsolódó népszokások ismerete.</w:t>
            </w:r>
          </w:p>
        </w:tc>
      </w:tr>
      <w:tr w:rsidR="004C2997">
        <w:tblPrEx>
          <w:tblCellMar>
            <w:top w:w="0" w:type="dxa"/>
            <w:bottom w:w="0" w:type="dxa"/>
          </w:tblCellMar>
        </w:tblPrEx>
        <w:tc>
          <w:tcPr>
            <w:tcW w:w="243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Műzene</w:t>
            </w:r>
          </w:p>
        </w:tc>
        <w:tc>
          <w:tcPr>
            <w:tcW w:w="6640"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zenetörténeti korszakok általános jellemzése, a legjelentősebb zeneszerzők életútjának vázlatos ismerete, főbb műveik megnevezése.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Társművészeti összefüggések kifejtése (építészet, irodalom, képzőművészet, tánc, színházművészet).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Korszakonként a leggyakoribb zenei műszavak, előadási jelek ismerete.</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Középkor</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szillabikus és egy melizmatikus gregorián dallam latin nyelvű éneklése emlékezetből.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gregorián zene általános jellemzése.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trubadúr és egy Minnesang dallam előadása szöveggel emlékezetből és elemzésük kotta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modális hangsorok éneklése szolmizálva, hallás utáni felismerésük.</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Reneszánsz</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ungaresca dallam éneklése szolmizálva emlékezetből.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Egy-egy világi és egyházi kórusmű elemzése kotta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Vokális műfajok felsorolása, a műfaji jellemzők meghatározása (mise, motetta, madrigál).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magyarországi reneszánsz zene általános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reneszánsz korszak jellemző hangszereinek felsorolása.</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Barokk</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korál dallam éneklése magyar szöveggel emlékezetből.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virágének előadása szöveggel emlékezetből.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könnyebb ária vagy dal szöveges éneklése emlékezetből</w:t>
            </w:r>
            <w:r>
              <w:rPr>
                <w:rFonts w:ascii="Times New Roman" w:hAnsi="Times New Roman" w:cs="Times New Roman"/>
                <w:i/>
                <w:iCs/>
                <w:sz w:val="20"/>
                <w:szCs w:val="20"/>
              </w:rPr>
              <w:t>,</w:t>
            </w:r>
            <w:r>
              <w:rPr>
                <w:rFonts w:ascii="Times New Roman" w:hAnsi="Times New Roman" w:cs="Times New Roman"/>
                <w:sz w:val="20"/>
                <w:szCs w:val="20"/>
              </w:rPr>
              <w:t xml:space="preserve"> tanári zongorakísérettel.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egyik énekelt mű elemzése kotta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Három szemelvény éneklése emlékezetből szolmizálva.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Hangközök éneklése adott hangra szolmizálva és hangnévvel, felismerésük hallás után.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Jellemző műfajok: korál, passió, oratórium, kantáta, opera meghatározása.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korál szerepének ismertetése.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,,da capo” ária lényegének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Zenei formák (rondó, variáció), műfajok (prelúdium, fúga, concerto, concerto grosso, szvit)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barokk zenekar összetételének és jellemző hangszereinek felsorolása.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Hangközök ismerete decimáig.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Hangközök éneklése adott hangra szolmizálva és hangnévvel, hangközök felismerése hallás után.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hármashangzatok és megfordításaik éneklése azonos hangról szolmizálva és hangnévvel. Felismerésük hallás után.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hangzatok hangnembe helyezése.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Domináns szeptim és megfordításainak ismerete, éneklése szolmizálva, hangnévvel és azok felismerése hallás után.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Középnehéz moduláló barokk dallam lapról olvasása szolmizálva, dó-váltással.</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Bécsi klasszika</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Három szerző (Haydn, Mozart, Beethoven) egy-egy dallamának előadása emlékezetből, tanári zongorakísérettel.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énekelt dal formai elemzése kotta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Három téma éneklése hangszeres művekből szolmizálva, emlékezetből.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magyar verbunkos dallam éneklése kottából szolmizálva.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klasszikus periódus, két-, ill. háromtagú formák és a szonátaforma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klasszikus funkciórend fogalmának ismerete.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teljes kvintkör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Jellemző műfajok: szonáta, vonósnégyes, szimfónia, versenymű, opera ismerete és felismerése.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szimfonikus zenekar összetételének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verbunkos zene megjelenésének ismerete a bécsi klasszikus művekben.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Haydn, Mozart és Beethoven életútjának vázlatos ismertetése, főbb műveik felsorolása.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Periódus terjedelmű, hangnemi kitérést tartalmazó vagy moduláló dallam lapról olvasása.(3 #–3b-ig)</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lastRenderedPageBreak/>
              <w:t>Romantika</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Két választott szerző egy-egy dalának éneklése szöveggel emlékezetből, tanári zongorakísérettel.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romantikus dal műfaja, a dalciklus jellegzetes vonásai.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Két szerző egy-egy művéből téma éneklése szolmizálva, kottából.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romantikus zenekari összetétel.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szimfonikus költemény műfaji meghatározása.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legjelentősebb operaszerzők és főbb műveik felsorolása.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Verdi, Muszorgszkij, Wagner életútjának vázlatos ismertetése, főbb műveik felsorolása.</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Századforduló</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Két szemelvény éneklése szolmizálva</w:t>
            </w:r>
            <w:r>
              <w:rPr>
                <w:rFonts w:ascii="Times New Roman" w:hAnsi="Times New Roman" w:cs="Times New Roman"/>
                <w:i/>
                <w:iCs/>
                <w:sz w:val="20"/>
                <w:szCs w:val="20"/>
              </w:rPr>
              <w:t>,</w:t>
            </w:r>
            <w:r>
              <w:rPr>
                <w:rFonts w:ascii="Times New Roman" w:hAnsi="Times New Roman" w:cs="Times New Roman"/>
                <w:sz w:val="20"/>
                <w:szCs w:val="20"/>
              </w:rPr>
              <w:t xml:space="preserve"> vagy hangnévvel kottából</w:t>
            </w:r>
            <w:r>
              <w:rPr>
                <w:rFonts w:ascii="Times New Roman" w:hAnsi="Times New Roman" w:cs="Times New Roman"/>
                <w:i/>
                <w:iCs/>
                <w:sz w:val="20"/>
                <w:szCs w:val="20"/>
              </w:rPr>
              <w: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zenei impresszionizmus bemutatása (melodika, ritmika, hangkészlet, hangszerelés).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Egészhangú skála éneklése hangnévvel.</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left="214" w:firstLine="13"/>
              <w:jc w:val="both"/>
              <w:rPr>
                <w:rFonts w:ascii="Times New Roman" w:hAnsi="Times New Roman" w:cs="Times New Roman"/>
                <w:sz w:val="20"/>
                <w:szCs w:val="20"/>
              </w:rPr>
            </w:pPr>
            <w:r>
              <w:rPr>
                <w:rFonts w:ascii="Times New Roman" w:hAnsi="Times New Roman" w:cs="Times New Roman"/>
                <w:sz w:val="20"/>
                <w:szCs w:val="20"/>
              </w:rPr>
              <w:t>XX. századi és kortárs zene</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Bartók Béla és Kodály Zoltán életművének bemutatása (életút, főbb művek).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Bartók Béla és Kodály Zoltán műveinek jellemző formai, dallami, ritmikai sajátosságainak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Bartók kórusmű előadása kottából.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Kodály kórusmű előadása kottából.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XX. század főbb zenei irányzatainak megnevezése.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Komponálási technikák felsorolása és lényegének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Kortárs magyar szerzők és műveik felsorolása.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oratorikus és színpadi műfajok változásainak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amerikai zene fejlődésének, a dzsessz és hatásának leíró jellegű bemutatása.</w:t>
            </w:r>
          </w:p>
        </w:tc>
      </w:tr>
      <w:tr w:rsidR="004C2997">
        <w:tblPrEx>
          <w:tblCellMar>
            <w:top w:w="0" w:type="dxa"/>
            <w:bottom w:w="0" w:type="dxa"/>
          </w:tblCellMar>
        </w:tblPrEx>
        <w:tc>
          <w:tcPr>
            <w:tcW w:w="2432" w:type="dxa"/>
            <w:tcBorders>
              <w:bottom w:val="nil"/>
              <w:right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Zenefelismerés</w:t>
            </w:r>
          </w:p>
        </w:tc>
        <w:tc>
          <w:tcPr>
            <w:tcW w:w="6640" w:type="dxa"/>
            <w:tcBorders>
              <w:left w:val="nil"/>
              <w:bottom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p>
        </w:tc>
      </w:tr>
      <w:tr w:rsidR="004C2997">
        <w:tblPrEx>
          <w:tblCellMar>
            <w:top w:w="0" w:type="dxa"/>
            <w:bottom w:w="0" w:type="dxa"/>
          </w:tblCellMar>
        </w:tblPrEx>
        <w:tc>
          <w:tcPr>
            <w:tcW w:w="243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alábbi zeneszerzőktől válogatva 9 ismert és 9 ismeretlen műzenei idézet meghatározása. A bejátszás CD-ről vagy hangkazettáról történik. Az egyszeri lejátszás alapján feladat a népi hangszerek, a zenetörténeti korszak, stílus és műfaj, a hallott zenemű szerzőjének és a mű címének megnevezése.</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Népzene</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Népi hangszerek: furulya, duda, citera, tekerő, cimbalom.</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Reneszánsz</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Josquin des Pres, Tinódi Lantos Sebestyén, Palestrina, Lassus, Bakfark Bálint.</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Barokk</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Monteverdi, Purcell, Vivaldi, J. S. Bach, Händel, Corelli, Esterházy Pál.</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Bécsi klasszika</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Haydn, Mozart, Beethoven.</w:t>
            </w:r>
          </w:p>
        </w:tc>
      </w:tr>
      <w:tr w:rsidR="004C2997">
        <w:tblPrEx>
          <w:tblCellMar>
            <w:top w:w="0" w:type="dxa"/>
            <w:bottom w:w="0" w:type="dxa"/>
          </w:tblCellMar>
        </w:tblPrEx>
        <w:trPr>
          <w:trHeight w:val="460"/>
        </w:trPr>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Romantika</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Liszt Ferenc, Erkel Ferenc, Verdi, Muszorgszkij, Wagner, Dvořak, Smetana, Brahms.</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Századforduló</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Debussy, Ravel.</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left="214" w:firstLine="13"/>
              <w:jc w:val="both"/>
              <w:rPr>
                <w:rFonts w:ascii="Times New Roman" w:hAnsi="Times New Roman" w:cs="Times New Roman"/>
                <w:sz w:val="20"/>
                <w:szCs w:val="20"/>
              </w:rPr>
            </w:pPr>
            <w:r>
              <w:rPr>
                <w:rFonts w:ascii="Times New Roman" w:hAnsi="Times New Roman" w:cs="Times New Roman"/>
                <w:sz w:val="20"/>
                <w:szCs w:val="20"/>
              </w:rPr>
              <w:t>XX. századi és kortárs zene</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Bartók Béla, Kodály Zoltán, Gershwin, Orff, Sztravinszkij, Honegger, Bernstein, Szokolay Sándor.</w:t>
            </w: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Dallamdiktálás</w:t>
            </w:r>
          </w:p>
        </w:tc>
      </w:tr>
      <w:tr w:rsidR="004C2997">
        <w:tblPrEx>
          <w:tblCellMar>
            <w:top w:w="0" w:type="dxa"/>
            <w:bottom w:w="0" w:type="dxa"/>
          </w:tblCellMar>
        </w:tblPrEx>
        <w:trPr>
          <w:cantSplit/>
        </w:trPr>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8–10 ütemű egyszólamú barokk dallam lejegyzése violinkulcsban (2#–2b-ig).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8–10 ütemű egyszerű bécsi klasszikus kétszólamú dallam lejegyzése violinkulcsban (2#–2b-ig).</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RAJZ ÉS VIZUÁLIS KULTÚRA</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írásbeli és gyakorlati.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gyakorlati/ írásbeli és szóbeli.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rajz és vizuális kultúra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 tantárgy jellegéből következik, hogy a vizuális alkotás és a vizuális befogadás egyazon tanulási folyamat része, de – mint különbözően fejleszthető képességrendszerrel szemben támasztott követelmény </w:t>
      </w:r>
      <w:r>
        <w:rPr>
          <w:rFonts w:ascii="Symbol" w:hAnsi="Symbol" w:cs="Symbol"/>
          <w:sz w:val="20"/>
          <w:szCs w:val="20"/>
        </w:rPr>
        <w:t></w:t>
      </w:r>
      <w:r>
        <w:rPr>
          <w:rFonts w:ascii="Times New Roman" w:hAnsi="Times New Roman" w:cs="Times New Roman"/>
          <w:sz w:val="20"/>
          <w:szCs w:val="20"/>
        </w:rPr>
        <w:t xml:space="preserve"> elkülönülve jelenik meg a követelményrendszerben.</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Mindkét fő kompetenciaterület esetében, mind az ismeret jellegű tudáselemek megjelenése, mind azok készségszintű alkalmazása eltérően kap hangsúlyt a két vizsgaszinten. Az emelt szintű követelmény a középszinthez képest tartalmában – az ismeretek mennyiségében – nem bővül jelentősen, arányosan változik azonban a készségek, képességek alkalmazásának szintje tekintetében. Ennek értelmében az emelt szintű vizsga során lényegesen fontosabb szerepet kap az elsajátított ismeretek önálló alkalmazása, az összefüggések felismerése, a problémamegoldó gondolkodás, az alkotó képességek és alkotó gondolkodás alkalmazása.</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 rajz és vizuális kultúra érettségi vizsga célja annak megállapítása, hogy a vizsgázó képes-e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vizuális jelenségek megfigyelésére, széles körű elemző vizsgálatára, és esztétikai, kommunikációs szempontok szerinti megítélésére;</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vizuális nyelv elemeinek megfelelő használatára és segítségével vizuális alkotások elemzésére;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vizuálisan érzékelhető tárgyak és jelenségek megjelenítésére és egyéni elképzelések, érzések kifejezésére különböző eszközökkel;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különböző köznapi és művészi vizuális közlésformák sajátos és közös vonásainak bemutatására, sokrétű értelmezése, kritikus megítélésére;</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képzetekben gazdag vizuális képi látásmód alkalmazására és ennek árnyalt vizuális kifejezésére;</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értelmezhető vizuális közlések létrehozására a közlés céljának megfelelő formában és alkalmas technikával;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időben és térben eltérő korok és kultúrák művészi értékeire vonatkozó ismereteinek bemutatására, értelmezésére és az ismeretelemek segítségével elemzésre;</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megfelelő szintű pszichomotorikus és technikai készségek használatára;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leíró, értelmező, elemző munkája során a megfelelő közlésformák kiválasztására;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önálló döntéseken alapuló alkotó gondolkodásra és alkotói magatartás bemutatására,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problémahelyzetben kreatív megoldások bemutatására.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32"/>
        <w:gridCol w:w="6640"/>
      </w:tblGrid>
      <w:tr w:rsidR="004C2997">
        <w:tblPrEx>
          <w:tblCellMar>
            <w:top w:w="0" w:type="dxa"/>
            <w:bottom w:w="0" w:type="dxa"/>
          </w:tblCellMar>
        </w:tblPrEx>
        <w:tc>
          <w:tcPr>
            <w:tcW w:w="2432" w:type="dxa"/>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Kompetenciák/</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6640" w:type="dxa"/>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i/>
                <w:iCs/>
                <w:sz w:val="20"/>
                <w:szCs w:val="20"/>
              </w:rPr>
            </w:pPr>
            <w:r>
              <w:rPr>
                <w:rFonts w:ascii="Times New Roman" w:hAnsi="Times New Roman" w:cs="Times New Roman"/>
                <w:b/>
                <w:bCs/>
                <w:sz w:val="20"/>
                <w:szCs w:val="20"/>
              </w:rPr>
              <w:t>1. Alkotás</w:t>
            </w:r>
          </w:p>
        </w:tc>
      </w:tr>
      <w:tr w:rsidR="004C2997">
        <w:tblPrEx>
          <w:tblCellMar>
            <w:top w:w="0" w:type="dxa"/>
            <w:bottom w:w="0" w:type="dxa"/>
          </w:tblCellMar>
        </w:tblPrEx>
        <w:tc>
          <w:tcPr>
            <w:tcW w:w="243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Vizuális nyelv </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vizuális nyelv elemeinek és eszközeinek (pont, vonal, sík- és térforma, tónus, szín) adott célnak megfelelő használata.</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Adott célnak megfelelő kompozíció létrehozása.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Kontrasztokkal történő kiemelés használata és értelmező ábrázolása.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Színharmóniák, színkontrasztok használata.</w:t>
            </w:r>
          </w:p>
        </w:tc>
      </w:tr>
      <w:tr w:rsidR="004C2997">
        <w:tblPrEx>
          <w:tblCellMar>
            <w:top w:w="0" w:type="dxa"/>
            <w:bottom w:w="0" w:type="dxa"/>
          </w:tblCellMar>
        </w:tblPrEx>
        <w:tc>
          <w:tcPr>
            <w:tcW w:w="2432" w:type="dxa"/>
            <w:tcBorders>
              <w:top w:val="nil"/>
              <w:bottom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top w:val="nil"/>
              <w:bottom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vizuális nyelv eszközeinek használata különböző kontextusban.</w:t>
            </w:r>
          </w:p>
        </w:tc>
      </w:tr>
      <w:tr w:rsidR="004C2997">
        <w:tblPrEx>
          <w:tblCellMar>
            <w:top w:w="0" w:type="dxa"/>
            <w:bottom w:w="0" w:type="dxa"/>
          </w:tblCellMar>
        </w:tblPrEx>
        <w:tc>
          <w:tcPr>
            <w:tcW w:w="2432" w:type="dxa"/>
            <w:tcBorders>
              <w:top w:val="single" w:sz="6" w:space="0" w:color="auto"/>
              <w:bottom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Technikák</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top w:val="single" w:sz="6" w:space="0" w:color="auto"/>
              <w:bottom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adott technika adekvát használata.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Jártasság a szabadkézi rajzban – ceruzával, tollal.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Jártasság a műszaki jellegű rajzban – ceruzával, szerkesztőeszközökkel.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Jártasság egyes festőtechnikákban – akvarellel vagy temperával.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Jártasság a kollázstechnikában.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Jártasság egy kézi sokszorosító eljárásban </w:t>
            </w:r>
            <w:r>
              <w:rPr>
                <w:rFonts w:ascii="Times New Roman" w:hAnsi="Times New Roman" w:cs="Times New Roman"/>
                <w:i/>
                <w:iCs/>
                <w:sz w:val="20"/>
                <w:szCs w:val="20"/>
              </w:rPr>
              <w:t>(pl. papírnyomat)</w:t>
            </w:r>
            <w:r>
              <w:rPr>
                <w:rFonts w:ascii="Times New Roman" w:hAnsi="Times New Roman" w:cs="Times New Roman"/>
                <w:sz w:val="20"/>
                <w:szCs w:val="20"/>
              </w:rPr>
              <w:t>.</w:t>
            </w:r>
          </w:p>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lastRenderedPageBreak/>
              <w:t xml:space="preserve">Jártasság egy további szabadon választott technika alkalmazásában </w:t>
            </w:r>
            <w:r>
              <w:rPr>
                <w:rFonts w:ascii="Times New Roman" w:hAnsi="Times New Roman" w:cs="Times New Roman"/>
                <w:i/>
                <w:iCs/>
                <w:sz w:val="20"/>
                <w:szCs w:val="20"/>
              </w:rPr>
              <w:t>(pl. mintázás, vegyes technikák, fotó, videó, számítógép, kézműves technikák).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Jártasság a sablonnal történő feliratkészítésben.</w:t>
            </w:r>
          </w:p>
        </w:tc>
      </w:tr>
      <w:tr w:rsidR="004C2997">
        <w:tblPrEx>
          <w:tblCellMar>
            <w:top w:w="0" w:type="dxa"/>
            <w:bottom w:w="0" w:type="dxa"/>
          </w:tblCellMar>
        </w:tblPrEx>
        <w:tc>
          <w:tcPr>
            <w:tcW w:w="2432" w:type="dxa"/>
            <w:tcBorders>
              <w:top w:val="single" w:sz="6"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Ábrázolás, látványértelmezés</w:t>
            </w:r>
          </w:p>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Formaértelmezés</w:t>
            </w:r>
          </w:p>
        </w:tc>
        <w:tc>
          <w:tcPr>
            <w:tcW w:w="6640" w:type="dxa"/>
            <w:tcBorders>
              <w:top w:val="single" w:sz="6"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Ábrázoló jellegű rajz készítése során a látvány főbb arányainak, formájának megfigyelése és helyes visszaadása.</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Egyszerű tárgyak formakapcsolatait bemutató rajz készítése </w:t>
            </w:r>
            <w:r>
              <w:rPr>
                <w:rFonts w:ascii="Times New Roman" w:hAnsi="Times New Roman" w:cs="Times New Roman"/>
                <w:i/>
                <w:iCs/>
                <w:sz w:val="20"/>
                <w:szCs w:val="20"/>
              </w:rPr>
              <w:t>(pl. szabásrajz, szerkezeti vázlat)</w:t>
            </w:r>
            <w:r>
              <w:rPr>
                <w:rFonts w:ascii="Times New Roman" w:hAnsi="Times New Roman" w:cs="Times New Roman"/>
                <w:sz w:val="20"/>
                <w:szCs w:val="20"/>
              </w:rPr>
              <w:t xml:space="preserve"> .</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Térértelmezés </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Téri helyzetek értelmezhető ábrázolása</w:t>
            </w:r>
            <w:r>
              <w:rPr>
                <w:rFonts w:ascii="Times New Roman" w:hAnsi="Times New Roman" w:cs="Times New Roman"/>
                <w:i/>
                <w:iCs/>
                <w:sz w:val="20"/>
                <w:szCs w:val="20"/>
              </w:rPr>
              <w: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Látvány alapján, az ábrázolás során a nézőpont következetes megtartása.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Beállítás alapján a térmélység megjelenítése.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választott térábrázolási rendszer következetes alkalmazása szabadkézi rajzban.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Látvány vagy ábra alapján a térábrázolási konvenciók (vetületi ábrázolás, axonometrikus ábrázolás, kétiránypontos perspektivikus ábrázolás) következetes alkalmazása szabadkézi rajzban.</w:t>
            </w:r>
          </w:p>
        </w:tc>
      </w:tr>
      <w:tr w:rsidR="004C2997">
        <w:tblPrEx>
          <w:tblCellMar>
            <w:top w:w="0" w:type="dxa"/>
            <w:bottom w:w="0" w:type="dxa"/>
          </w:tblCellMar>
        </w:tblPrEx>
        <w:trPr>
          <w:cantSplit/>
          <w:trHeight w:val="191"/>
        </w:trPr>
        <w:tc>
          <w:tcPr>
            <w:tcW w:w="2432"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Színértelmezés</w:t>
            </w:r>
          </w:p>
        </w:tc>
        <w:tc>
          <w:tcPr>
            <w:tcW w:w="664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Beállítás alapján szín és fényviszonyok helyes visszaadása.</w:t>
            </w:r>
          </w:p>
        </w:tc>
      </w:tr>
      <w:tr w:rsidR="004C2997">
        <w:tblPrEx>
          <w:tblCellMar>
            <w:top w:w="0" w:type="dxa"/>
            <w:bottom w:w="0" w:type="dxa"/>
          </w:tblCellMar>
        </w:tblPrEx>
        <w:tc>
          <w:tcPr>
            <w:tcW w:w="243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Megjelenítés, közlés, kifejezés, alkotás</w:t>
            </w:r>
          </w:p>
          <w:p w:rsidR="004C2997" w:rsidRDefault="004C2997">
            <w:pPr>
              <w:autoSpaceDE w:val="0"/>
              <w:autoSpaceDN w:val="0"/>
              <w:adjustRightInd w:val="0"/>
              <w:spacing w:after="0" w:line="240" w:lineRule="auto"/>
              <w:ind w:firstLine="227"/>
              <w:jc w:val="both"/>
              <w:rPr>
                <w:rFonts w:ascii="Times New Roman" w:hAnsi="Times New Roman" w:cs="Times New Roman"/>
                <w:i/>
                <w:iCs/>
                <w:sz w:val="20"/>
                <w:szCs w:val="20"/>
              </w:rPr>
            </w:pPr>
            <w:r>
              <w:rPr>
                <w:rFonts w:ascii="Times New Roman" w:hAnsi="Times New Roman" w:cs="Times New Roman"/>
                <w:sz w:val="20"/>
                <w:szCs w:val="20"/>
              </w:rPr>
              <w:t>Kompozíció</w:t>
            </w:r>
          </w:p>
        </w:tc>
        <w:tc>
          <w:tcPr>
            <w:tcW w:w="6640"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Kompozíció létrehozása megadott szempontok alapján.</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Érzelmek</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Érzelmek, lelkiállapotok vizuális kifejezése.</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Folyamat, mozgás, idő</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Folyamat, történet bemutatása értelmezhető képsorozatokban </w:t>
            </w:r>
            <w:r>
              <w:rPr>
                <w:rFonts w:ascii="Times New Roman" w:hAnsi="Times New Roman" w:cs="Times New Roman"/>
                <w:i/>
                <w:iCs/>
                <w:sz w:val="20"/>
                <w:szCs w:val="20"/>
              </w:rPr>
              <w:t>(pl. folyamatábra, képes forgatókönyv)</w:t>
            </w:r>
            <w:r>
              <w:rPr>
                <w:rFonts w:ascii="Times New Roman" w:hAnsi="Times New Roman" w:cs="Times New Roman"/>
                <w:sz w:val="20"/>
                <w:szCs w:val="20"/>
              </w:rPr>
              <w:t>.</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Kép- és szöveg</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 és szövegszerkesztés hagyományos technikával.</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Adott tartalomnak megfelelő betűtípus és kompozíció kiválasztása. </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Vizuális információ</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Vizuális jelek, szimbólumok következetes használata.</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Nem vizuális természetű információk értelmező képi megjelenítése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(pl. grafikonnal, diagrammal).</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Színkódok következetes alkalmazása a magyarázó-közlő ábrázolásban.</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Tárgyak és környezet</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csomagolás tervezése adott funkcióra.</w:t>
            </w:r>
          </w:p>
        </w:tc>
      </w:tr>
      <w:tr w:rsidR="004C2997">
        <w:tblPrEx>
          <w:tblCellMar>
            <w:top w:w="0" w:type="dxa"/>
            <w:bottom w:w="0" w:type="dxa"/>
          </w:tblCellMar>
        </w:tblPrEx>
        <w:tc>
          <w:tcPr>
            <w:tcW w:w="2432"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terek átalakításának, berendezésének megtervezése.</w:t>
            </w:r>
          </w:p>
        </w:tc>
      </w:tr>
      <w:tr w:rsidR="004C2997">
        <w:tblPrEx>
          <w:tblCellMar>
            <w:top w:w="0" w:type="dxa"/>
            <w:bottom w:w="0" w:type="dxa"/>
          </w:tblCellMar>
        </w:tblPrEx>
        <w:tc>
          <w:tcPr>
            <w:tcW w:w="9072" w:type="dxa"/>
            <w:gridSpan w:val="2"/>
            <w:tcBorders>
              <w:bottom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Befogadás</w:t>
            </w:r>
          </w:p>
        </w:tc>
      </w:tr>
      <w:tr w:rsidR="004C2997">
        <w:tblPrEx>
          <w:tblCellMar>
            <w:top w:w="0" w:type="dxa"/>
            <w:bottom w:w="0" w:type="dxa"/>
          </w:tblCellMar>
        </w:tblPrEx>
        <w:tc>
          <w:tcPr>
            <w:tcW w:w="243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megjelenítés sajátosságai</w:t>
            </w:r>
          </w:p>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Vizuális nyelv</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vizuális közlés, kifejezés legfontosabb eszközeinek (pont, vonal, sík- és térforma, felület, tónus, szín, szerkezet/kompozíció, képi motívumok, kontrasztok, térábrázolási rendszerek, anyagok, technikák) szerepének ismerete, használata az elemzés során.</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i/>
                <w:iCs/>
                <w:sz w:val="20"/>
                <w:szCs w:val="20"/>
              </w:rPr>
            </w:pPr>
            <w:r>
              <w:rPr>
                <w:rFonts w:ascii="Times New Roman" w:hAnsi="Times New Roman" w:cs="Times New Roman"/>
                <w:sz w:val="20"/>
                <w:szCs w:val="20"/>
              </w:rPr>
              <w:t>Térábrázolási módok</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legjellegzetesebb térábrázolási konvenciók felismerése és lényegének ismerete.</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Vizuális minőségek</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Vizuális minőségek differenciált megkülönböztetése.</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Látványértelmezés</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látványértelmezésben szerepet játszó tényezők ismerete és alkalmazása az elemzés során.</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Kontraszt, harmónia</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Színharmóniák, színkontrasztok felismerése.</w:t>
            </w:r>
          </w:p>
        </w:tc>
      </w:tr>
      <w:tr w:rsidR="004C2997">
        <w:tblPrEx>
          <w:tblCellMar>
            <w:top w:w="0" w:type="dxa"/>
            <w:bottom w:w="0" w:type="dxa"/>
          </w:tblCellMar>
        </w:tblPrEx>
        <w:tc>
          <w:tcPr>
            <w:tcW w:w="2432" w:type="dxa"/>
            <w:tcBorders>
              <w:top w:val="nil"/>
              <w:bottom w:val="single" w:sz="6" w:space="0" w:color="auto"/>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Kontextus</w:t>
            </w:r>
          </w:p>
        </w:tc>
        <w:tc>
          <w:tcPr>
            <w:tcW w:w="6640" w:type="dxa"/>
            <w:tcBorders>
              <w:top w:val="nil"/>
              <w:bottom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vizuális közlés, kifejezés jelentését meghatározó összefüggések – kontextus – felismerése és használata az értelmezés, elemzés során.</w:t>
            </w:r>
          </w:p>
        </w:tc>
      </w:tr>
      <w:tr w:rsidR="004C2997">
        <w:tblPrEx>
          <w:tblCellMar>
            <w:top w:w="0" w:type="dxa"/>
            <w:bottom w:w="0" w:type="dxa"/>
          </w:tblCellMar>
        </w:tblPrEx>
        <w:tc>
          <w:tcPr>
            <w:tcW w:w="2432" w:type="dxa"/>
            <w:tcBorders>
              <w:top w:val="single" w:sz="6" w:space="0" w:color="auto"/>
              <w:bottom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Technikák</w:t>
            </w:r>
          </w:p>
        </w:tc>
        <w:tc>
          <w:tcPr>
            <w:tcW w:w="6640" w:type="dxa"/>
            <w:tcBorders>
              <w:top w:val="single" w:sz="6" w:space="0" w:color="auto"/>
              <w:bottom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vizuális közlés, kifejezés legfontosabb technikáinak felismerése.</w:t>
            </w:r>
          </w:p>
        </w:tc>
      </w:tr>
      <w:tr w:rsidR="004C2997">
        <w:tblPrEx>
          <w:tblCellMar>
            <w:top w:w="0" w:type="dxa"/>
            <w:bottom w:w="0" w:type="dxa"/>
          </w:tblCellMar>
        </w:tblPrEx>
        <w:tc>
          <w:tcPr>
            <w:tcW w:w="2432" w:type="dxa"/>
            <w:tcBorders>
              <w:top w:val="single" w:sz="6"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Vizuális kommunikáció</w:t>
            </w:r>
          </w:p>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Vizuális információ</w:t>
            </w:r>
          </w:p>
        </w:tc>
        <w:tc>
          <w:tcPr>
            <w:tcW w:w="6640" w:type="dxa"/>
            <w:tcBorders>
              <w:top w:val="single" w:sz="6"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köznapi és művészi vizuális közlésekben előforduló legfontosabb jelek, jelképek, motívumok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köznapi közlésekben előforduló vizuális információk értelmezése </w:t>
            </w:r>
            <w:r>
              <w:rPr>
                <w:rFonts w:ascii="Times New Roman" w:hAnsi="Times New Roman" w:cs="Times New Roman"/>
                <w:i/>
                <w:iCs/>
                <w:sz w:val="20"/>
                <w:szCs w:val="20"/>
              </w:rPr>
              <w:t>(pl. műszaki rajz, folyamatábra)</w:t>
            </w:r>
            <w:r>
              <w:rPr>
                <w:rFonts w:ascii="Times New Roman" w:hAnsi="Times New Roman" w:cs="Times New Roman"/>
                <w:sz w:val="20"/>
                <w:szCs w:val="20"/>
              </w:rPr>
              <w:t xml:space="preserve">. </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Tömegkommunikáció</w:t>
            </w:r>
          </w:p>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tömegkommunikáció legfontosabb eszközeinek, formáinak ismerete és megkülönböztetése.</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Fotó, mozgókép</w:t>
            </w:r>
          </w:p>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Fotó elemzése.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fotó legfontosabb műtípusainak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Álló- és mozgóképi reklámanyag képi hatásának elemzése.</w:t>
            </w:r>
          </w:p>
        </w:tc>
      </w:tr>
      <w:tr w:rsidR="004C2997">
        <w:tblPrEx>
          <w:tblCellMar>
            <w:top w:w="0" w:type="dxa"/>
            <w:bottom w:w="0" w:type="dxa"/>
          </w:tblCellMar>
        </w:tblPrEx>
        <w:tc>
          <w:tcPr>
            <w:tcW w:w="2432"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3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Tárgy- és környezetkultúra</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Forma és funkció</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tárgyról leolvasható információk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Különböző korokból és kultúrákból származó tárgyak és objektumok </w:t>
            </w:r>
            <w:r>
              <w:rPr>
                <w:rFonts w:ascii="Times New Roman" w:hAnsi="Times New Roman" w:cs="Times New Roman"/>
                <w:i/>
                <w:iCs/>
                <w:sz w:val="20"/>
                <w:szCs w:val="20"/>
              </w:rPr>
              <w:t xml:space="preserve">(pl. épület, </w:t>
            </w:r>
            <w:r>
              <w:rPr>
                <w:rFonts w:ascii="Times New Roman" w:hAnsi="Times New Roman" w:cs="Times New Roman"/>
                <w:i/>
                <w:iCs/>
                <w:sz w:val="20"/>
                <w:szCs w:val="20"/>
              </w:rPr>
              <w:lastRenderedPageBreak/>
              <w:t>építmény)</w:t>
            </w:r>
            <w:r>
              <w:rPr>
                <w:rFonts w:ascii="Times New Roman" w:hAnsi="Times New Roman" w:cs="Times New Roman"/>
                <w:sz w:val="20"/>
                <w:szCs w:val="20"/>
              </w:rPr>
              <w:t xml:space="preserve"> forma- és funkcióelemzése.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Tárgyak, épületek stílusjegyek alapján történő csoportosítása.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lastRenderedPageBreak/>
              <w:t>Tervező folyamat</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tervező, alkotó folyamat lépéseinek ismerete.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Népművészet</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tárgyi néprajz és népművészet fogalmának ismerete.</w:t>
            </w:r>
          </w:p>
        </w:tc>
      </w:tr>
      <w:tr w:rsidR="004C2997">
        <w:tblPrEx>
          <w:tblCellMar>
            <w:top w:w="0" w:type="dxa"/>
            <w:bottom w:w="0" w:type="dxa"/>
          </w:tblCellMar>
        </w:tblPrEx>
        <w:tc>
          <w:tcPr>
            <w:tcW w:w="2432"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választott néprajzi tájegység életmódjának, tárgykultúrájának ismerete.</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Kifejezés és képzőművészet</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Művészeti ágak</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művészeti ágak (képzőművészet, építészet, alkalmazott művészetek) legfontosabb jellemzőinek ismeret.</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Műfajok</w:t>
            </w:r>
          </w:p>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képzőművészet kétdimenziós </w:t>
            </w:r>
            <w:r>
              <w:rPr>
                <w:rFonts w:ascii="Times New Roman" w:hAnsi="Times New Roman" w:cs="Times New Roman"/>
                <w:i/>
                <w:iCs/>
                <w:sz w:val="20"/>
                <w:szCs w:val="20"/>
              </w:rPr>
              <w:t>(pl. festészet, fotó)</w:t>
            </w:r>
            <w:r>
              <w:rPr>
                <w:rFonts w:ascii="Times New Roman" w:hAnsi="Times New Roman" w:cs="Times New Roman"/>
                <w:sz w:val="20"/>
                <w:szCs w:val="20"/>
              </w:rPr>
              <w:t xml:space="preserve"> és háromdimenziós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(pl. szobrászat, installáció),</w:t>
            </w:r>
            <w:r>
              <w:rPr>
                <w:rFonts w:ascii="Times New Roman" w:hAnsi="Times New Roman" w:cs="Times New Roman"/>
                <w:sz w:val="20"/>
                <w:szCs w:val="20"/>
              </w:rPr>
              <w:t xml:space="preserve"> valamint időbeli kifejezéssel bíró </w:t>
            </w:r>
            <w:r>
              <w:rPr>
                <w:rFonts w:ascii="Times New Roman" w:hAnsi="Times New Roman" w:cs="Times New Roman"/>
                <w:i/>
                <w:iCs/>
                <w:sz w:val="20"/>
                <w:szCs w:val="20"/>
              </w:rPr>
              <w:t>(pl. happening, multimédia)</w:t>
            </w:r>
            <w:r>
              <w:rPr>
                <w:rFonts w:ascii="Times New Roman" w:hAnsi="Times New Roman" w:cs="Times New Roman"/>
                <w:sz w:val="20"/>
                <w:szCs w:val="20"/>
              </w:rPr>
              <w:t xml:space="preserve"> műfajainak ismerete.</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Művészettörténeti korszakok, irányzatok</w:t>
            </w:r>
          </w:p>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művészeti ágak történetének, nagy korszakainak, irányzatainak ismerete (őskor, ókor, középkor, reneszánsz, barokk, klasszicizmus, romantika, realizmus, a századforduló és századelő izmusai, a XX. század második felének irányzatai és legalább egy Európán kívüli kultúra).</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Stílusjegyek</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Adott művek besorolása vagy csoportosítása stílusjegyeik alapján.</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Alkotások és alkotók</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legjelentősebb alkotók ismerete és alkotásaik felismerése és stílusmeghatározása.</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Műelemző módszerek</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különböző művészeti ágak kiemelkedő alkotásainak elemzése a megfelelő műelemző módszerek alkalmazásával.</w:t>
            </w:r>
          </w:p>
        </w:tc>
      </w:tr>
      <w:tr w:rsidR="004C2997">
        <w:tblPrEx>
          <w:tblCellMar>
            <w:top w:w="0" w:type="dxa"/>
            <w:bottom w:w="0" w:type="dxa"/>
          </w:tblCellMar>
        </w:tblPrEx>
        <w:tc>
          <w:tcPr>
            <w:tcW w:w="2432" w:type="dxa"/>
            <w:tcBorders>
              <w:top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Mű és környezete</w:t>
            </w:r>
          </w:p>
        </w:tc>
        <w:tc>
          <w:tcPr>
            <w:tcW w:w="664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 létrehozását meghatározó összefüggések ismerete.</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32"/>
        <w:gridCol w:w="6640"/>
      </w:tblGrid>
      <w:tr w:rsidR="004C2997">
        <w:tblPrEx>
          <w:tblCellMar>
            <w:top w:w="0" w:type="dxa"/>
            <w:bottom w:w="0" w:type="dxa"/>
          </w:tblCellMar>
        </w:tblPrEx>
        <w:trPr>
          <w:cantSplit/>
        </w:trPr>
        <w:tc>
          <w:tcPr>
            <w:tcW w:w="2432" w:type="dxa"/>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Kompetenciák/</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6640" w:type="dxa"/>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072" w:type="dxa"/>
            <w:gridSpan w:val="2"/>
            <w:tcBorders>
              <w:top w:val="nil"/>
              <w:bottom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Alkotás</w:t>
            </w:r>
          </w:p>
        </w:tc>
      </w:tr>
      <w:tr w:rsidR="004C2997">
        <w:tblPrEx>
          <w:tblCellMar>
            <w:top w:w="0" w:type="dxa"/>
            <w:bottom w:w="0" w:type="dxa"/>
          </w:tblCellMar>
        </w:tblPrEx>
        <w:trPr>
          <w:cantSplit/>
        </w:trPr>
        <w:tc>
          <w:tcPr>
            <w:tcW w:w="243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Vizuális nyelv </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vizuális nyelv elemeinek és eszközeinek (pont, vonal, sík- és térforma, tónus, szín) adott célnak és a szándéknak megfelelő, tudatos, egyéni használata.</w:t>
            </w:r>
          </w:p>
        </w:tc>
      </w:tr>
      <w:tr w:rsidR="004C2997">
        <w:tblPrEx>
          <w:tblCellMar>
            <w:top w:w="0" w:type="dxa"/>
            <w:bottom w:w="0" w:type="dxa"/>
          </w:tblCellMar>
        </w:tblPrEx>
        <w:trPr>
          <w:cantSplit/>
        </w:trPr>
        <w:tc>
          <w:tcPr>
            <w:tcW w:w="243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Adott célnak megfelelő kompozíció létrehozása.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Kontrasztokkal történő kiemelés tudatos használata az értelmező ábrázolás és a kifejezés során.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Színharmóniák, színkontrasztok tudatos alkalmazása a tervező munka során.</w:t>
            </w:r>
          </w:p>
        </w:tc>
      </w:tr>
      <w:tr w:rsidR="004C2997">
        <w:tblPrEx>
          <w:tblCellMar>
            <w:top w:w="0" w:type="dxa"/>
            <w:bottom w:w="0" w:type="dxa"/>
          </w:tblCellMar>
        </w:tblPrEx>
        <w:trPr>
          <w:cantSplit/>
        </w:trPr>
        <w:tc>
          <w:tcPr>
            <w:tcW w:w="2432" w:type="dxa"/>
            <w:tcBorders>
              <w:top w:val="nil"/>
              <w:bottom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top w:val="nil"/>
              <w:bottom w:val="single" w:sz="6" w:space="0" w:color="auto"/>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 xml:space="preserve">A vizuális nyelv eszközeinek használata különböző kontextusban. A vizuális nyelv hatáselemeinek jelentésmódosító átalakítása </w:t>
            </w:r>
            <w:r>
              <w:rPr>
                <w:rFonts w:ascii="Times New Roman" w:hAnsi="Times New Roman" w:cs="Times New Roman"/>
                <w:i/>
                <w:iCs/>
                <w:sz w:val="20"/>
                <w:szCs w:val="20"/>
              </w:rPr>
              <w:t>(pl. a képi környezet megváltoztatásával).</w:t>
            </w:r>
          </w:p>
        </w:tc>
      </w:tr>
      <w:tr w:rsidR="004C2997">
        <w:tblPrEx>
          <w:tblCellMar>
            <w:top w:w="0" w:type="dxa"/>
            <w:bottom w:w="0" w:type="dxa"/>
          </w:tblCellMar>
        </w:tblPrEx>
        <w:trPr>
          <w:cantSplit/>
        </w:trPr>
        <w:tc>
          <w:tcPr>
            <w:tcW w:w="2432" w:type="dxa"/>
            <w:tcBorders>
              <w:top w:val="single" w:sz="6" w:space="0" w:color="auto"/>
              <w:bottom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Technikák</w:t>
            </w:r>
          </w:p>
        </w:tc>
        <w:tc>
          <w:tcPr>
            <w:tcW w:w="6640" w:type="dxa"/>
            <w:tcBorders>
              <w:top w:val="single" w:sz="6" w:space="0" w:color="auto"/>
              <w:bottom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adott célnak megfelelő anyagok és technikák kiválasztása.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Jártasság a szabadkézi rajzban – ceruzával, tollal és legalább egy további technikával </w:t>
            </w:r>
            <w:r>
              <w:rPr>
                <w:rFonts w:ascii="Times New Roman" w:hAnsi="Times New Roman" w:cs="Times New Roman"/>
                <w:i/>
                <w:iCs/>
                <w:sz w:val="20"/>
                <w:szCs w:val="20"/>
              </w:rPr>
              <w:t>(pl. szénnel, krétával, pasztellel).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Jártasság a műszaki jellegű rajzban – ceruzával, szerkesztőeszközökkel.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Jártasság egyes festőtechnikákban – akvarellel vagy temperával.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Jártasság a kollázstechnikában.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Jártasság egy kézi sokszorosító eljárásban </w:t>
            </w:r>
            <w:r>
              <w:rPr>
                <w:rFonts w:ascii="Times New Roman" w:hAnsi="Times New Roman" w:cs="Times New Roman"/>
                <w:i/>
                <w:iCs/>
                <w:sz w:val="20"/>
                <w:szCs w:val="20"/>
              </w:rPr>
              <w:t>(pl. papírnyomat)</w:t>
            </w:r>
            <w:r>
              <w:rPr>
                <w:rFonts w:ascii="Times New Roman" w:hAnsi="Times New Roman" w:cs="Times New Roman"/>
                <w:sz w:val="20"/>
                <w:szCs w:val="20"/>
              </w:rPr>
              <w: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Makett, vagy modellkészítés </w:t>
            </w:r>
            <w:r>
              <w:rPr>
                <w:rFonts w:ascii="Times New Roman" w:hAnsi="Times New Roman" w:cs="Times New Roman"/>
                <w:i/>
                <w:iCs/>
                <w:sz w:val="20"/>
                <w:szCs w:val="20"/>
              </w:rPr>
              <w:t>(pl. papírból, fából).</w:t>
            </w:r>
          </w:p>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 xml:space="preserve">Jártasság egy további szabadon választott technika alkalmazásában </w:t>
            </w:r>
            <w:r>
              <w:rPr>
                <w:rFonts w:ascii="Times New Roman" w:hAnsi="Times New Roman" w:cs="Times New Roman"/>
                <w:i/>
                <w:iCs/>
                <w:sz w:val="20"/>
                <w:szCs w:val="20"/>
              </w:rPr>
              <w:t>(pl. mintázás, vegyes technikák, fotó, videó, számítógép, kézműves technikák).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Jártasság egy további technikával történő feliratkészítésben </w:t>
            </w:r>
            <w:r>
              <w:rPr>
                <w:rFonts w:ascii="Times New Roman" w:hAnsi="Times New Roman" w:cs="Times New Roman"/>
                <w:i/>
                <w:iCs/>
                <w:sz w:val="20"/>
                <w:szCs w:val="20"/>
              </w:rPr>
              <w:t>(pl. betűkivágás, számítógép)</w:t>
            </w:r>
            <w:r>
              <w:rPr>
                <w:rFonts w:ascii="Times New Roman" w:hAnsi="Times New Roman" w:cs="Times New Roman"/>
                <w:sz w:val="20"/>
                <w:szCs w:val="20"/>
              </w:rPr>
              <w:t>.</w:t>
            </w:r>
          </w:p>
        </w:tc>
      </w:tr>
      <w:tr w:rsidR="004C2997">
        <w:tblPrEx>
          <w:tblCellMar>
            <w:top w:w="0" w:type="dxa"/>
            <w:bottom w:w="0" w:type="dxa"/>
          </w:tblCellMar>
        </w:tblPrEx>
        <w:trPr>
          <w:cantSplit/>
        </w:trPr>
        <w:tc>
          <w:tcPr>
            <w:tcW w:w="2432" w:type="dxa"/>
            <w:tcBorders>
              <w:top w:val="single" w:sz="6"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Ábrázolás, látványértelmezés</w:t>
            </w:r>
          </w:p>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Formaértelmezés</w:t>
            </w:r>
          </w:p>
        </w:tc>
        <w:tc>
          <w:tcPr>
            <w:tcW w:w="6640" w:type="dxa"/>
            <w:tcBorders>
              <w:top w:val="single" w:sz="6"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Ábrázoló jellegű rajz készítése során a látvány pontos, részletekre kiterjedő arányainak, formarészleteinek megfigyelése és visszaadása.</w:t>
            </w:r>
          </w:p>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Ábrázoló rajz készítése során a részletek egymáshoz, és az egészhez viszonyított arányainak helyes megítélése.</w:t>
            </w:r>
          </w:p>
        </w:tc>
      </w:tr>
      <w:tr w:rsidR="004C2997">
        <w:tblPrEx>
          <w:tblCellMar>
            <w:top w:w="0" w:type="dxa"/>
            <w:bottom w:w="0" w:type="dxa"/>
          </w:tblCellMar>
        </w:tblPrEx>
        <w:trPr>
          <w:cantSplit/>
        </w:trPr>
        <w:tc>
          <w:tcPr>
            <w:tcW w:w="243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szerkezeti összefüggéseket pontosan értelmező szabadkézi rajz készítése beállítás alapján és emlékezetből</w:t>
            </w:r>
            <w:r>
              <w:rPr>
                <w:rFonts w:ascii="Times New Roman" w:hAnsi="Times New Roman" w:cs="Times New Roman"/>
                <w:i/>
                <w:iCs/>
                <w:sz w:val="20"/>
                <w:szCs w:val="20"/>
              </w:rPr>
              <w:t xml:space="preserve"> (pl. szerkezeti rajz, metszetsajz)</w:t>
            </w:r>
            <w:r>
              <w:rPr>
                <w:rFonts w:ascii="Times New Roman" w:hAnsi="Times New Roman" w:cs="Times New Roman"/>
                <w:sz w:val="20"/>
                <w:szCs w:val="20"/>
              </w:rPr>
              <w:t>.</w:t>
            </w:r>
          </w:p>
        </w:tc>
      </w:tr>
      <w:tr w:rsidR="004C2997">
        <w:tblPrEx>
          <w:tblCellMar>
            <w:top w:w="0" w:type="dxa"/>
            <w:bottom w:w="0" w:type="dxa"/>
          </w:tblCellMar>
        </w:tblPrEx>
        <w:trPr>
          <w:cantSplit/>
        </w:trPr>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lastRenderedPageBreak/>
              <w:t>Térértelmezés</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Téri helyzetek értelmezhető ábrázolása szöveges instrukciók alapján is.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ábrázolás során a nézőpont következetes megtartása emlékezetből is.</w:t>
            </w:r>
          </w:p>
        </w:tc>
      </w:tr>
      <w:tr w:rsidR="004C2997">
        <w:tblPrEx>
          <w:tblCellMar>
            <w:top w:w="0" w:type="dxa"/>
            <w:bottom w:w="0" w:type="dxa"/>
          </w:tblCellMar>
        </w:tblPrEx>
        <w:trPr>
          <w:cantSplit/>
        </w:trPr>
        <w:tc>
          <w:tcPr>
            <w:tcW w:w="243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 térmélység megjelenítése emlékezetből is.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Térrekonstrukció készítése.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Adott cél érdekében a megfelelő térábrázolási rendszer kiválasztása és tudatos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Látvány vagy ábra alapján a térábrázolási konvenciók (vetületi ábrázolás, axonometrikus ábrázolás, kétiránypontos perspektivikus ábrázolás) következetes alkalmazása szerkesztéssel is.</w:t>
            </w:r>
          </w:p>
        </w:tc>
      </w:tr>
      <w:tr w:rsidR="004C2997">
        <w:tblPrEx>
          <w:tblCellMar>
            <w:top w:w="0" w:type="dxa"/>
            <w:bottom w:w="0" w:type="dxa"/>
          </w:tblCellMar>
        </w:tblPrEx>
        <w:trPr>
          <w:cantSplit/>
        </w:trPr>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Színértelmezés</w:t>
            </w:r>
          </w:p>
          <w:p w:rsidR="004C2997" w:rsidRDefault="004C2997">
            <w:pPr>
              <w:autoSpaceDE w:val="0"/>
              <w:autoSpaceDN w:val="0"/>
              <w:adjustRightInd w:val="0"/>
              <w:spacing w:after="0" w:line="240" w:lineRule="auto"/>
              <w:rPr>
                <w:rFonts w:ascii="Times New Roman" w:hAnsi="Times New Roman" w:cs="Times New Roman"/>
                <w:i/>
                <w:iCs/>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Beállítás alapján vagy emlékezetből szín és fényviszonyok helyes, érzékeny visszaadása.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Beállításról vagy instrukció alapján színvázlat készítése.</w:t>
            </w:r>
          </w:p>
        </w:tc>
      </w:tr>
      <w:tr w:rsidR="004C2997">
        <w:tblPrEx>
          <w:tblCellMar>
            <w:top w:w="0" w:type="dxa"/>
            <w:bottom w:w="0" w:type="dxa"/>
          </w:tblCellMar>
        </w:tblPrEx>
        <w:trPr>
          <w:cantSplit/>
        </w:trPr>
        <w:tc>
          <w:tcPr>
            <w:tcW w:w="2432" w:type="dxa"/>
            <w:tcBorders>
              <w:top w:val="nil"/>
              <w:bottom w:val="single" w:sz="6" w:space="0" w:color="auto"/>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Mozgásértelmezés</w:t>
            </w:r>
          </w:p>
        </w:tc>
        <w:tc>
          <w:tcPr>
            <w:tcW w:w="6640" w:type="dxa"/>
            <w:tcBorders>
              <w:top w:val="nil"/>
              <w:bottom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mozgás fázisainak értelmező jellegű ábrázolása szabadkézi rajzban.</w:t>
            </w:r>
          </w:p>
        </w:tc>
      </w:tr>
      <w:tr w:rsidR="004C2997">
        <w:tblPrEx>
          <w:tblCellMar>
            <w:top w:w="0" w:type="dxa"/>
            <w:bottom w:w="0" w:type="dxa"/>
          </w:tblCellMar>
        </w:tblPrEx>
        <w:trPr>
          <w:cantSplit/>
        </w:trPr>
        <w:tc>
          <w:tcPr>
            <w:tcW w:w="243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Megjelenítés, közlés, kifejezés, alkotás</w:t>
            </w:r>
          </w:p>
          <w:p w:rsidR="004C2997" w:rsidRDefault="004C2997">
            <w:pPr>
              <w:autoSpaceDE w:val="0"/>
              <w:autoSpaceDN w:val="0"/>
              <w:adjustRightInd w:val="0"/>
              <w:spacing w:after="0" w:line="240" w:lineRule="auto"/>
              <w:ind w:firstLine="227"/>
              <w:jc w:val="both"/>
              <w:rPr>
                <w:rFonts w:ascii="Times New Roman" w:hAnsi="Times New Roman" w:cs="Times New Roman"/>
                <w:i/>
                <w:iCs/>
                <w:sz w:val="20"/>
                <w:szCs w:val="20"/>
              </w:rPr>
            </w:pPr>
            <w:r>
              <w:rPr>
                <w:rFonts w:ascii="Times New Roman" w:hAnsi="Times New Roman" w:cs="Times New Roman"/>
                <w:sz w:val="20"/>
                <w:szCs w:val="20"/>
              </w:rPr>
              <w:t>Térviszonyok</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Téri helyzetek szubjektív megjelenítése kifejező jellegű alkotásokban.</w:t>
            </w:r>
          </w:p>
        </w:tc>
      </w:tr>
      <w:tr w:rsidR="004C2997">
        <w:tblPrEx>
          <w:tblCellMar>
            <w:top w:w="0" w:type="dxa"/>
            <w:bottom w:w="0" w:type="dxa"/>
          </w:tblCellMar>
        </w:tblPrEx>
        <w:trPr>
          <w:cantSplit/>
        </w:trPr>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i/>
                <w:iCs/>
                <w:sz w:val="20"/>
                <w:szCs w:val="20"/>
              </w:rPr>
            </w:pPr>
            <w:r>
              <w:rPr>
                <w:rFonts w:ascii="Times New Roman" w:hAnsi="Times New Roman" w:cs="Times New Roman"/>
                <w:sz w:val="20"/>
                <w:szCs w:val="20"/>
              </w:rPr>
              <w:t>Kompozíció</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Képi igényű kompozíció létrehozása látvány és elképzelés alapján.</w:t>
            </w:r>
          </w:p>
        </w:tc>
      </w:tr>
      <w:tr w:rsidR="004C2997">
        <w:tblPrEx>
          <w:tblCellMar>
            <w:top w:w="0" w:type="dxa"/>
            <w:bottom w:w="0" w:type="dxa"/>
          </w:tblCellMar>
        </w:tblPrEx>
        <w:trPr>
          <w:cantSplit/>
        </w:trPr>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i/>
                <w:iCs/>
                <w:sz w:val="20"/>
                <w:szCs w:val="20"/>
              </w:rPr>
            </w:pPr>
            <w:r>
              <w:rPr>
                <w:rFonts w:ascii="Times New Roman" w:hAnsi="Times New Roman" w:cs="Times New Roman"/>
                <w:sz w:val="20"/>
                <w:szCs w:val="20"/>
              </w:rPr>
              <w:t>Színhatás</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színek expresszív hatásának felhasználása kifejező jellegű munkában.</w:t>
            </w:r>
          </w:p>
        </w:tc>
      </w:tr>
      <w:tr w:rsidR="004C2997">
        <w:tblPrEx>
          <w:tblCellMar>
            <w:top w:w="0" w:type="dxa"/>
            <w:bottom w:w="0" w:type="dxa"/>
          </w:tblCellMar>
        </w:tblPrEx>
        <w:trPr>
          <w:cantSplit/>
        </w:trPr>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Érzelmek</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Érzelmek, lelkiállapotok vizuális kifejezése a szándéknak megfelelő megjelenítésben.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Elképzelt vagy gyűjtött képi elemekből, érzelmeket, hangulatot, elvont gondolatot kifejező képi kompozíció összeállítása.</w:t>
            </w:r>
          </w:p>
        </w:tc>
      </w:tr>
      <w:tr w:rsidR="004C2997">
        <w:tblPrEx>
          <w:tblCellMar>
            <w:top w:w="0" w:type="dxa"/>
            <w:bottom w:w="0" w:type="dxa"/>
          </w:tblCellMar>
        </w:tblPrEx>
        <w:trPr>
          <w:cantSplit/>
        </w:trPr>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Folyamat, mozgás, idő</w:t>
            </w:r>
          </w:p>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Folyamat, történet bemutatása értelmezhető képsorozatokban </w:t>
            </w:r>
            <w:r>
              <w:rPr>
                <w:rFonts w:ascii="Times New Roman" w:hAnsi="Times New Roman" w:cs="Times New Roman"/>
                <w:i/>
                <w:iCs/>
                <w:sz w:val="20"/>
                <w:szCs w:val="20"/>
              </w:rPr>
              <w:t>(pl. folyamatábra, képregény)</w:t>
            </w:r>
            <w:r>
              <w:rPr>
                <w:rFonts w:ascii="Times New Roman" w:hAnsi="Times New Roman" w:cs="Times New Roman"/>
                <w:sz w:val="20"/>
                <w:szCs w:val="20"/>
              </w:rPr>
              <w:t>.</w:t>
            </w:r>
          </w:p>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 xml:space="preserve">Rövid mozgóképi közlés, kifejezés megtervezése </w:t>
            </w:r>
            <w:r>
              <w:rPr>
                <w:rFonts w:ascii="Times New Roman" w:hAnsi="Times New Roman" w:cs="Times New Roman"/>
                <w:i/>
                <w:iCs/>
                <w:sz w:val="20"/>
                <w:szCs w:val="20"/>
              </w:rPr>
              <w:t>(pl. képes forgatókönyv).</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i/>
                <w:iCs/>
                <w:sz w:val="20"/>
                <w:szCs w:val="20"/>
              </w:rPr>
            </w:pPr>
            <w:r>
              <w:rPr>
                <w:rFonts w:ascii="Times New Roman" w:hAnsi="Times New Roman" w:cs="Times New Roman"/>
                <w:sz w:val="20"/>
                <w:szCs w:val="20"/>
              </w:rPr>
              <w:t>Kép és szöveg</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 és szövegszerkesztés hagyományos technikával</w:t>
            </w:r>
            <w:r>
              <w:rPr>
                <w:rFonts w:ascii="Times New Roman" w:hAnsi="Times New Roman" w:cs="Times New Roman"/>
                <w:i/>
                <w:iCs/>
                <w:sz w:val="20"/>
                <w:szCs w:val="20"/>
              </w:rPr>
              <w: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Adott tartalomnak megfelelő betűtípus és kompozíció kiválasztása.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 és szöveg kölcsönhatásának megjelenítése adott hatás vagy jelentés eléréséhez.</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Vizuális információ</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Vizuális jelek, szimbólumok következetes használata.</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Nem vizuális természetű információk értelmezhető képi megjelenítése </w:t>
            </w:r>
          </w:p>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(pl. grafikonnal, diagrammal).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Nem vizuális információk értelmezhető képi jellé </w:t>
            </w:r>
            <w:r>
              <w:rPr>
                <w:rFonts w:ascii="Times New Roman" w:hAnsi="Times New Roman" w:cs="Times New Roman"/>
                <w:i/>
                <w:iCs/>
                <w:sz w:val="20"/>
                <w:szCs w:val="20"/>
              </w:rPr>
              <w:t>(pl. embléma, piktogram)</w:t>
            </w:r>
            <w:r>
              <w:rPr>
                <w:rFonts w:ascii="Times New Roman" w:hAnsi="Times New Roman" w:cs="Times New Roman"/>
                <w:sz w:val="20"/>
                <w:szCs w:val="20"/>
              </w:rPr>
              <w:t xml:space="preserve"> tömörítése.</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Színkódok következetes alkalmazása a magyarázó-közlő ábrázolásban.</w:t>
            </w:r>
          </w:p>
        </w:tc>
      </w:tr>
      <w:tr w:rsidR="004C2997">
        <w:tblPrEx>
          <w:tblCellMar>
            <w:top w:w="0" w:type="dxa"/>
            <w:bottom w:w="0" w:type="dxa"/>
          </w:tblCellMar>
        </w:tblPrEx>
        <w:tc>
          <w:tcPr>
            <w:tcW w:w="2432" w:type="dxa"/>
            <w:tcBorders>
              <w:top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Tárgyak és környezet</w:t>
            </w:r>
          </w:p>
        </w:tc>
        <w:tc>
          <w:tcPr>
            <w:tcW w:w="664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tárgy és csomagolás tervezése adott funkcióra és a tervezés, megvalósulási folyamat dokumentálása.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tervezéshez szükséges felmérés, kutatás elvégzése.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tárgy megalkotása szabadon választott anyagból.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Adott tárgy, építészeti tér átalakítása úgy, hogy más funkció betöltésére is alkalmas legyen.</w:t>
            </w: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Befogadás</w:t>
            </w:r>
          </w:p>
        </w:tc>
      </w:tr>
      <w:tr w:rsidR="004C2997">
        <w:tblPrEx>
          <w:tblCellMar>
            <w:top w:w="0" w:type="dxa"/>
            <w:bottom w:w="0" w:type="dxa"/>
          </w:tblCellMar>
        </w:tblPrEx>
        <w:tc>
          <w:tcPr>
            <w:tcW w:w="243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 </w:t>
            </w:r>
            <w:r>
              <w:rPr>
                <w:rFonts w:ascii="Times New Roman" w:hAnsi="Times New Roman" w:cs="Times New Roman"/>
                <w:sz w:val="20"/>
                <w:szCs w:val="20"/>
              </w:rPr>
              <w:t>A megjelenítés sajátosságai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Vizuális nyelv</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vizuális közlés, kifejezés legfontosabb eszközeinek (pont, vonal, sík- és térforma, felület, tónus, szín, szerkezet/kompozíció, képi motívumok, kontrasztok, térábrázolási rendszerek, anyagok, technikák) szerepének ismerete, használata az elemzés során.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Képi, zenei, irodalmi alkotásokban egyaránt előforduló megfelelő kifejezőeszközök </w:t>
            </w:r>
            <w:r>
              <w:rPr>
                <w:rFonts w:ascii="Times New Roman" w:hAnsi="Times New Roman" w:cs="Times New Roman"/>
                <w:i/>
                <w:iCs/>
                <w:sz w:val="20"/>
                <w:szCs w:val="20"/>
              </w:rPr>
              <w:t>(pl. szerkezet, motívum, ritmus)</w:t>
            </w:r>
            <w:r>
              <w:rPr>
                <w:rFonts w:ascii="Times New Roman" w:hAnsi="Times New Roman" w:cs="Times New Roman"/>
                <w:sz w:val="20"/>
                <w:szCs w:val="20"/>
              </w:rPr>
              <w:t xml:space="preserve"> felismerése és a párhuzamok elemzése.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leggyakoribb kompozíciós formák kifejező hatásának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látványértelmezésben szerepet játszó tényezők </w:t>
            </w:r>
            <w:r>
              <w:rPr>
                <w:rFonts w:ascii="Times New Roman" w:hAnsi="Times New Roman" w:cs="Times New Roman"/>
                <w:i/>
                <w:iCs/>
                <w:sz w:val="20"/>
                <w:szCs w:val="20"/>
              </w:rPr>
              <w:t>(pl. nézőpont, arányok)</w:t>
            </w:r>
            <w:r>
              <w:rPr>
                <w:rFonts w:ascii="Times New Roman" w:hAnsi="Times New Roman" w:cs="Times New Roman"/>
                <w:sz w:val="20"/>
                <w:szCs w:val="20"/>
              </w:rPr>
              <w:t xml:space="preserve"> lényegének, jelentésének ismerete és alkalmazása az elemzés során.</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i/>
                <w:iCs/>
                <w:sz w:val="20"/>
                <w:szCs w:val="20"/>
              </w:rPr>
            </w:pPr>
            <w:r>
              <w:rPr>
                <w:rFonts w:ascii="Times New Roman" w:hAnsi="Times New Roman" w:cs="Times New Roman"/>
                <w:sz w:val="20"/>
                <w:szCs w:val="20"/>
              </w:rPr>
              <w:t>Térábrázolási módok</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legjellegzetesebb térábrázolási konvenciók lényegének ismerete, és összehasonlítása az elemzés során.</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Vizuális minőségek</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Vizuális minőségek differenciált megkülönböztetése.</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Látványértelmezés</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látványértelmezésben szerepet játszó tényezők ismerete és alkalmazása az elemzés során.</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lastRenderedPageBreak/>
              <w:t>Kontraszt, harmónia</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Színharmóniák, színkontrasztok felismerése és lényegének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Kontraszt kiemelő szerepének vizsgálata.</w:t>
            </w:r>
          </w:p>
        </w:tc>
      </w:tr>
      <w:tr w:rsidR="004C2997">
        <w:tblPrEx>
          <w:tblCellMar>
            <w:top w:w="0" w:type="dxa"/>
            <w:bottom w:w="0" w:type="dxa"/>
          </w:tblCellMar>
        </w:tblPrEx>
        <w:tc>
          <w:tcPr>
            <w:tcW w:w="2432" w:type="dxa"/>
            <w:tcBorders>
              <w:top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Kontextus</w:t>
            </w:r>
          </w:p>
        </w:tc>
        <w:tc>
          <w:tcPr>
            <w:tcW w:w="664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vizuális közlés, kifejezés jelentését meghatározó összefüggések – kontextus – felismerése és használata az értelmezés, elemzés során.</w:t>
            </w:r>
          </w:p>
        </w:tc>
      </w:tr>
      <w:tr w:rsidR="004C2997">
        <w:tblPrEx>
          <w:tblCellMar>
            <w:top w:w="0" w:type="dxa"/>
            <w:bottom w:w="0" w:type="dxa"/>
          </w:tblCellMar>
        </w:tblPrEx>
        <w:tc>
          <w:tcPr>
            <w:tcW w:w="2432"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Technikák</w:t>
            </w:r>
          </w:p>
        </w:tc>
        <w:tc>
          <w:tcPr>
            <w:tcW w:w="664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vizuális közlés, kifejezés legfontosabb technikáinak leíró jellegű ismerete.</w:t>
            </w:r>
          </w:p>
        </w:tc>
      </w:tr>
      <w:tr w:rsidR="004C2997">
        <w:tblPrEx>
          <w:tblCellMar>
            <w:top w:w="0" w:type="dxa"/>
            <w:bottom w:w="0" w:type="dxa"/>
          </w:tblCellMar>
        </w:tblPrEx>
        <w:tc>
          <w:tcPr>
            <w:tcW w:w="243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Vizuális kommunikáció</w:t>
            </w:r>
          </w:p>
          <w:p w:rsidR="004C2997" w:rsidRDefault="004C2997">
            <w:pPr>
              <w:autoSpaceDE w:val="0"/>
              <w:autoSpaceDN w:val="0"/>
              <w:adjustRightInd w:val="0"/>
              <w:spacing w:after="0" w:line="240" w:lineRule="auto"/>
              <w:ind w:firstLine="227"/>
              <w:jc w:val="both"/>
              <w:rPr>
                <w:rFonts w:ascii="Times New Roman" w:hAnsi="Times New Roman" w:cs="Times New Roman"/>
                <w:i/>
                <w:iCs/>
                <w:sz w:val="20"/>
                <w:szCs w:val="20"/>
              </w:rPr>
            </w:pPr>
            <w:r>
              <w:rPr>
                <w:rFonts w:ascii="Times New Roman" w:hAnsi="Times New Roman" w:cs="Times New Roman"/>
                <w:sz w:val="20"/>
                <w:szCs w:val="20"/>
              </w:rPr>
              <w:t>Folyamat, mozgás, idő</w:t>
            </w:r>
          </w:p>
        </w:tc>
        <w:tc>
          <w:tcPr>
            <w:tcW w:w="6640"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Időt, mozgást, változást rögzítő vizuális megjelenítési módok ismerete és összehasonlítása.</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i/>
                <w:iCs/>
                <w:sz w:val="20"/>
                <w:szCs w:val="20"/>
              </w:rPr>
            </w:pPr>
            <w:r>
              <w:rPr>
                <w:rFonts w:ascii="Times New Roman" w:hAnsi="Times New Roman" w:cs="Times New Roman"/>
                <w:sz w:val="20"/>
                <w:szCs w:val="20"/>
              </w:rPr>
              <w:t>Kép és szöveg</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 és kép kölcsönhatásának elemző vizsgálata.</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Vizuális információ</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köznapi és művészi vizuális közlésekben előforduló legfontosabb jelek, jelképek, motívumok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köznapi közlésekben előforduló vizuális információk értelmezése </w:t>
            </w:r>
            <w:r>
              <w:rPr>
                <w:rFonts w:ascii="Times New Roman" w:hAnsi="Times New Roman" w:cs="Times New Roman"/>
                <w:i/>
                <w:iCs/>
                <w:sz w:val="20"/>
                <w:szCs w:val="20"/>
              </w:rPr>
              <w:t>(pl. műszaki rajz, folyamatábra)</w:t>
            </w:r>
            <w:r>
              <w:rPr>
                <w:rFonts w:ascii="Times New Roman" w:hAnsi="Times New Roman" w:cs="Times New Roman"/>
                <w:sz w:val="20"/>
                <w:szCs w:val="20"/>
              </w:rPr>
              <w:t>.</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Tömegkommunikáció</w:t>
            </w:r>
          </w:p>
          <w:p w:rsidR="004C2997" w:rsidRDefault="004C2997">
            <w:pPr>
              <w:autoSpaceDE w:val="0"/>
              <w:autoSpaceDN w:val="0"/>
              <w:adjustRightInd w:val="0"/>
              <w:spacing w:after="0" w:line="240" w:lineRule="auto"/>
              <w:ind w:firstLine="227"/>
              <w:jc w:val="both"/>
              <w:rPr>
                <w:rFonts w:ascii="Times New Roman" w:hAnsi="Times New Roman" w:cs="Times New Roman"/>
                <w:i/>
                <w:iCs/>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tömegkommunikáció legfontosabb eszközeinek, formáinak ismerete és megkülönböztetése.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tömegkommunikáció jelentőségének, működési hatásrendszerének ismerete.</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Médiakategóriák</w:t>
            </w:r>
          </w:p>
          <w:p w:rsidR="004C2997" w:rsidRDefault="004C2997">
            <w:pPr>
              <w:autoSpaceDE w:val="0"/>
              <w:autoSpaceDN w:val="0"/>
              <w:adjustRightInd w:val="0"/>
              <w:spacing w:after="0" w:line="240" w:lineRule="auto"/>
              <w:ind w:firstLine="227"/>
              <w:jc w:val="both"/>
              <w:rPr>
                <w:rFonts w:ascii="Times New Roman" w:hAnsi="Times New Roman" w:cs="Times New Roman"/>
                <w:i/>
                <w:iCs/>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legfontosabb médiakategóriák kommunikatív és esztétikai hatásának ismerete.</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Fotó és mozgókép</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Fotó elemzése.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fotó és film legfontosabb műtípusainak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mozgóképi kifejezés legfontosabb eszközeinek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fotó és film műfajainak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fotó képzőművészeti felhasználásának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Álló- és mozgóképi reklámanyag képi hatásának elemzése.</w:t>
            </w:r>
          </w:p>
        </w:tc>
      </w:tr>
      <w:tr w:rsidR="004C2997">
        <w:tblPrEx>
          <w:tblCellMar>
            <w:top w:w="0" w:type="dxa"/>
            <w:bottom w:w="0" w:type="dxa"/>
          </w:tblCellMar>
        </w:tblPrEx>
        <w:tc>
          <w:tcPr>
            <w:tcW w:w="243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Tárgy- és környezetkultúra </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Forma és funkció</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tárgyról leolvasható információk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Különböző korokból és kultúrákból származó tárgyak és objektumok </w:t>
            </w:r>
            <w:r>
              <w:rPr>
                <w:rFonts w:ascii="Times New Roman" w:hAnsi="Times New Roman" w:cs="Times New Roman"/>
                <w:i/>
                <w:iCs/>
                <w:sz w:val="20"/>
                <w:szCs w:val="20"/>
              </w:rPr>
              <w:t>(pl. épület, építmény)</w:t>
            </w:r>
            <w:r>
              <w:rPr>
                <w:rFonts w:ascii="Times New Roman" w:hAnsi="Times New Roman" w:cs="Times New Roman"/>
                <w:sz w:val="20"/>
                <w:szCs w:val="20"/>
              </w:rPr>
              <w:t xml:space="preserve"> forma- és funkcióelemzése.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Tárgyak, épületek stílusjegyek alapján történő csoportosítása.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Tárgyak elemzése során minél több vizsgálati szempont alkalmazása.</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Tervező folyamat</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tervező, alkotó folyamat lépéseinek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tárgytervezés szempontjainak ismerete.</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left="214" w:firstLine="13"/>
              <w:rPr>
                <w:rFonts w:ascii="Times New Roman" w:hAnsi="Times New Roman" w:cs="Times New Roman"/>
                <w:sz w:val="20"/>
                <w:szCs w:val="20"/>
              </w:rPr>
            </w:pPr>
            <w:r>
              <w:rPr>
                <w:rFonts w:ascii="Times New Roman" w:hAnsi="Times New Roman" w:cs="Times New Roman"/>
                <w:sz w:val="20"/>
                <w:szCs w:val="20"/>
              </w:rPr>
              <w:t>Kézműves és ipari tárgykultúra</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kézműves és ipari tárgykultúra főbb műfajainak és technikáinak ismerete és megkülönböztetése.</w:t>
            </w:r>
          </w:p>
        </w:tc>
      </w:tr>
      <w:tr w:rsidR="004C2997">
        <w:tblPrEx>
          <w:tblCellMar>
            <w:top w:w="0" w:type="dxa"/>
            <w:bottom w:w="0" w:type="dxa"/>
          </w:tblCellMar>
        </w:tblPrEx>
        <w:tc>
          <w:tcPr>
            <w:tcW w:w="2432" w:type="dxa"/>
            <w:tcBorders>
              <w:top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Népművészet</w:t>
            </w:r>
          </w:p>
        </w:tc>
        <w:tc>
          <w:tcPr>
            <w:tcW w:w="664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tárgyi néprajz és népművészet fogalmának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választott néprajzi tájegység életmódjának, tárgykultúrájának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népművészet legfontosabb sajátosságainak ismerete.</w:t>
            </w:r>
          </w:p>
        </w:tc>
      </w:tr>
      <w:tr w:rsidR="004C2997">
        <w:tblPrEx>
          <w:tblCellMar>
            <w:top w:w="0" w:type="dxa"/>
            <w:bottom w:w="0" w:type="dxa"/>
          </w:tblCellMar>
        </w:tblPrEx>
        <w:tc>
          <w:tcPr>
            <w:tcW w:w="243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Kifejezés és képzőművészet</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Művészeti ágak</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művészeti ágak (képzőművészet, építészet, alkalmazott művészetek) jellemzőinek ismerete.</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Műfajok</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képzőművészet kétdimenziós </w:t>
            </w:r>
            <w:r>
              <w:rPr>
                <w:rFonts w:ascii="Times New Roman" w:hAnsi="Times New Roman" w:cs="Times New Roman"/>
                <w:i/>
                <w:iCs/>
                <w:sz w:val="20"/>
                <w:szCs w:val="20"/>
              </w:rPr>
              <w:t>(pl. festészet, fotó)</w:t>
            </w:r>
            <w:r>
              <w:rPr>
                <w:rFonts w:ascii="Times New Roman" w:hAnsi="Times New Roman" w:cs="Times New Roman"/>
                <w:sz w:val="20"/>
                <w:szCs w:val="20"/>
              </w:rPr>
              <w:t xml:space="preserve"> és háromdimenziós </w:t>
            </w:r>
            <w:r>
              <w:rPr>
                <w:rFonts w:ascii="Times New Roman" w:hAnsi="Times New Roman" w:cs="Times New Roman"/>
                <w:i/>
                <w:iCs/>
                <w:sz w:val="20"/>
                <w:szCs w:val="20"/>
              </w:rPr>
              <w:t>(pl. szobrászat, installáció)</w:t>
            </w:r>
            <w:r>
              <w:rPr>
                <w:rFonts w:ascii="Times New Roman" w:hAnsi="Times New Roman" w:cs="Times New Roman"/>
                <w:sz w:val="20"/>
                <w:szCs w:val="20"/>
              </w:rPr>
              <w:t xml:space="preserve"> és időbeli kifejezéssel bíró (</w:t>
            </w:r>
            <w:r>
              <w:rPr>
                <w:rFonts w:ascii="Times New Roman" w:hAnsi="Times New Roman" w:cs="Times New Roman"/>
                <w:i/>
                <w:iCs/>
                <w:sz w:val="20"/>
                <w:szCs w:val="20"/>
              </w:rPr>
              <w:t>pl. happening, multimédia)</w:t>
            </w:r>
            <w:r>
              <w:rPr>
                <w:rFonts w:ascii="Times New Roman" w:hAnsi="Times New Roman" w:cs="Times New Roman"/>
                <w:sz w:val="20"/>
                <w:szCs w:val="20"/>
              </w:rPr>
              <w:t xml:space="preserve"> műfajainak ismerete.</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left="214" w:firstLine="13"/>
              <w:jc w:val="both"/>
              <w:rPr>
                <w:rFonts w:ascii="Times New Roman" w:hAnsi="Times New Roman" w:cs="Times New Roman"/>
                <w:sz w:val="20"/>
                <w:szCs w:val="20"/>
              </w:rPr>
            </w:pPr>
            <w:r>
              <w:rPr>
                <w:rFonts w:ascii="Times New Roman" w:hAnsi="Times New Roman" w:cs="Times New Roman"/>
                <w:sz w:val="20"/>
                <w:szCs w:val="20"/>
              </w:rPr>
              <w:t>Művészettörténeti korszakok, irányzatok</w:t>
            </w:r>
          </w:p>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művészeti ágak történetének – nagy korszakainak és irányzatainak – összefüggéseinek ismerete,és összehasonlító, elemző tanulmányozása (őskor, ókor, középkor, reneszánsz, barokk, klasszicizmus, romantika, realizmus, a századforduló és századelő izmusai, a XX. század második felének irányzatai és legalább egy Európán kívüli kultúra).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modern és posztmodern lényegének ismerete.</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Stílusjegyek</w:t>
            </w: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Adott művek besorolása vagy csoportosítása stílusjegyeik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Stílusjegyek alapján ismeretlen mű meghatározása, besorolása.</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Alkotók és alkotások</w:t>
            </w:r>
          </w:p>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legjelentősebb alkotók ismerete és alkotásaik felismerése,  stílusmeghatározása és kormeghatározása.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Egy-egy szabadon választott külföldi és hazai kortárs alkotó munkáinak elemző vizsgálata.</w:t>
            </w:r>
          </w:p>
        </w:tc>
      </w:tr>
      <w:tr w:rsidR="004C2997">
        <w:tblPrEx>
          <w:tblCellMar>
            <w:top w:w="0" w:type="dxa"/>
            <w:bottom w:w="0" w:type="dxa"/>
          </w:tblCellMar>
        </w:tblPrEx>
        <w:tc>
          <w:tcPr>
            <w:tcW w:w="2432" w:type="dxa"/>
            <w:tcBorders>
              <w:top w:val="nil"/>
              <w:bottom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Műelemző módszerek</w:t>
            </w:r>
          </w:p>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p>
        </w:tc>
        <w:tc>
          <w:tcPr>
            <w:tcW w:w="6640"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különböző művészeti ágak kiemelkedő alkotásainak elemzése a megfelelő műelemző módszerek alkalmazásával.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Műalkotás-elemző vázlat készítése.</w:t>
            </w:r>
          </w:p>
        </w:tc>
      </w:tr>
      <w:tr w:rsidR="004C2997">
        <w:tblPrEx>
          <w:tblCellMar>
            <w:top w:w="0" w:type="dxa"/>
            <w:bottom w:w="0" w:type="dxa"/>
          </w:tblCellMar>
        </w:tblPrEx>
        <w:tc>
          <w:tcPr>
            <w:tcW w:w="2432" w:type="dxa"/>
            <w:tcBorders>
              <w:top w:val="nil"/>
            </w:tcBorders>
          </w:tcPr>
          <w:p w:rsidR="004C2997" w:rsidRDefault="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Mű és környezete</w:t>
            </w:r>
          </w:p>
        </w:tc>
        <w:tc>
          <w:tcPr>
            <w:tcW w:w="6640"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 létrehozását meghatározó összefüggések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kontextus jelentőségének megértése a művészi értékek viszonylagosságában.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Művész és közönségének kapcsolatának ismerete.</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INFORMATIKA</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gyakorlati és szóbeli.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Emeltszinten: gyakorlati és szóbeli.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Az informatika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informatika érettségi vizsga célja, hogy a tanuló adjon számot az általános műveltség részét képező informatikai ismeretek elsajátításának mértékéről.</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Középszinten:</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tanuló adjon számot arról, hogy:</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képes kiválasztani a munkájához megfelelő informatikai eszközöket;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alkalmazói szinten önállóan tudja használni a számítógépet és a hálózatot feladatai megoldásához;</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 a számítógépet és kiegészítő eszközeit önállóan, biztonságosan használni;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 használni a legismertebb alkalmazói rendszereket;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az információs és kommunikációs technológiák társadalmi hatásait és képes a változásokhoz alkalmazkodni;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 az informatikai ismereteit rendezni és önállóan alkalmazni;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 a könyvtári informatikai (hagyományos és számítógépes) rendszerek lehetőségeinek felhasználására;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 a további szakmai fejlődésre.</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Emelt szinten:</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vizsga más ismereteket és képességeket is mér. Nevezetesen azt, hogy a tanuló: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 az algoritmikus gondolkodásra;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 problémák megfogalmazására és számítógépes megoldások tervezésére;</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 a számítógépes megoldások elkészítésére.</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informatika gyakorlatorientált tárgy, ezért mind az oktatásban, mind a vizsgáztatásban meghatározó szerepe van a számítógépen végzett munkának, illetve feladatmegoldásnak. A gyakorlati vizsgafeladatokat számítógéppel kell megoldani.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középszinten megfogalmazott követelmények szándék szerint megfelelnek az ECDL vizsga követelményeinek.</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2502"/>
        <w:gridCol w:w="6570"/>
      </w:tblGrid>
      <w:tr w:rsidR="004C2997">
        <w:tblPrEx>
          <w:tblCellMar>
            <w:top w:w="0" w:type="dxa"/>
            <w:bottom w:w="0" w:type="dxa"/>
          </w:tblCellMar>
        </w:tblPrEx>
        <w:trPr>
          <w:cantSplit/>
        </w:trPr>
        <w:tc>
          <w:tcPr>
            <w:tcW w:w="2502" w:type="dxa"/>
            <w:tcBorders>
              <w:top w:val="single" w:sz="4" w:space="0" w:color="auto"/>
              <w:left w:val="single" w:sz="4" w:space="0" w:color="auto"/>
              <w:bottom w:val="single" w:sz="4" w:space="0" w:color="auto"/>
              <w:right w:val="single" w:sz="4" w:space="0" w:color="auto"/>
            </w:tcBorders>
            <w:shd w:val="pct25" w:color="000000" w:fill="auto"/>
            <w:vAlign w:val="center"/>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6570" w:type="dxa"/>
            <w:tcBorders>
              <w:top w:val="single" w:sz="4" w:space="0" w:color="auto"/>
              <w:left w:val="single" w:sz="4" w:space="0" w:color="auto"/>
              <w:bottom w:val="single" w:sz="4" w:space="0" w:color="auto"/>
              <w:right w:val="single" w:sz="4" w:space="0" w:color="auto"/>
            </w:tcBorders>
            <w:shd w:val="pct25" w:color="000000" w:fill="auto"/>
            <w:vAlign w:val="center"/>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072" w:type="dxa"/>
            <w:gridSpan w:val="2"/>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Információs társadalom</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7" w:type="dxa"/>
            <w:bottom w:w="0" w:type="dxa"/>
            <w:right w:w="107" w:type="dxa"/>
          </w:tblCellMar>
        </w:tblPrEx>
        <w:trPr>
          <w:cantSplit/>
        </w:trPr>
        <w:tc>
          <w:tcPr>
            <w:tcW w:w="2502" w:type="dxa"/>
            <w:tcBorders>
              <w:top w:val="nil"/>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Információs rendszerek az iskolában és a gazdaságban</w:t>
            </w:r>
          </w:p>
        </w:tc>
        <w:tc>
          <w:tcPr>
            <w:tcW w:w="6570" w:type="dxa"/>
            <w:tcBorders>
              <w:top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alapfogalmak.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Információs rendszerek szakszerű leírása, elemeinek pontos meghatározása.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Dokumentumok választása informatikai eszközök segítségével.</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7" w:type="dxa"/>
            <w:bottom w:w="0" w:type="dxa"/>
            <w:right w:w="107" w:type="dxa"/>
          </w:tblCellMar>
        </w:tblPrEx>
        <w:trPr>
          <w:cantSplit/>
        </w:trPr>
        <w:tc>
          <w:tcPr>
            <w:tcW w:w="2502" w:type="dxa"/>
            <w:tcBorders>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Közhasznú magyar információs adatbázisok</w:t>
            </w:r>
          </w:p>
        </w:tc>
        <w:tc>
          <w:tcPr>
            <w:tcW w:w="6570" w:type="dxa"/>
            <w:tcBorders>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Annak ismerete, hogy az információ áru, hogy az információs rendszerekben, de akár csak egy címlistában is hatalmas érték lehet.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Keresés számítógépes katalógusokban és adatbázisokban.</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7" w:type="dxa"/>
            <w:bottom w:w="0" w:type="dxa"/>
            <w:right w:w="107" w:type="dxa"/>
          </w:tblCellMar>
        </w:tblPrEx>
        <w:trPr>
          <w:cantSplit/>
        </w:trPr>
        <w:tc>
          <w:tcPr>
            <w:tcW w:w="2502" w:type="dxa"/>
            <w:tcBorders>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Jogi és etikai ismeretek</w:t>
            </w:r>
          </w:p>
        </w:tc>
        <w:tc>
          <w:tcPr>
            <w:tcW w:w="6570" w:type="dxa"/>
            <w:tcBorders>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Adatbiztonság, szerzői jog, etikai vonatkozások alapjainak ismerete.</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7" w:type="dxa"/>
            <w:bottom w:w="0" w:type="dxa"/>
            <w:right w:w="107" w:type="dxa"/>
          </w:tblCellMar>
        </w:tblPrEx>
        <w:trPr>
          <w:cantSplit/>
        </w:trPr>
        <w:tc>
          <w:tcPr>
            <w:tcW w:w="2502" w:type="dxa"/>
            <w:tcBorders>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Információs és kommunikációs technológiák a társadalomban</w:t>
            </w:r>
          </w:p>
        </w:tc>
        <w:tc>
          <w:tcPr>
            <w:tcW w:w="6570" w:type="dxa"/>
            <w:tcBorders>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információs és kommunikációs technológiák alkalmazásait és hatását a mindennapi életben, munkában, szórakozásban stb.</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informatika fejlődéstörténetének főbb fázisait.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7" w:type="dxa"/>
            <w:bottom w:w="0" w:type="dxa"/>
            <w:right w:w="107" w:type="dxa"/>
          </w:tblCellMar>
        </w:tblPrEx>
        <w:trPr>
          <w:cantSplit/>
        </w:trPr>
        <w:tc>
          <w:tcPr>
            <w:tcW w:w="9072" w:type="dxa"/>
            <w:gridSpan w:val="2"/>
            <w:tcBorders>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Informatikai alapismeretek – hardver</w:t>
            </w:r>
          </w:p>
        </w:tc>
      </w:tr>
      <w:tr w:rsidR="004C2997">
        <w:tblPrEx>
          <w:tblCellMar>
            <w:top w:w="0" w:type="dxa"/>
            <w:bottom w:w="0" w:type="dxa"/>
          </w:tblCellMar>
        </w:tblPrEx>
        <w:trPr>
          <w:cantSplit/>
        </w:trPr>
        <w:tc>
          <w:tcPr>
            <w:tcW w:w="2502" w:type="dxa"/>
            <w:tcBorders>
              <w:top w:val="single" w:sz="4" w:space="0" w:color="auto"/>
              <w:left w:val="single" w:sz="4"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számítógépek felépítése, funkcionális egységei, azok főbb jellemzői</w:t>
            </w:r>
          </w:p>
        </w:tc>
        <w:tc>
          <w:tcPr>
            <w:tcW w:w="6570" w:type="dxa"/>
            <w:tcBorders>
              <w:top w:val="single" w:sz="4" w:space="0" w:color="auto"/>
              <w:left w:val="single" w:sz="6" w:space="0" w:color="auto"/>
              <w:bottom w:val="single" w:sz="6"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Neumann-elvű számítógépek.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számítógép, illetve a kapcsolódó perifériák. Perifériák típusai, főbb jellemzői és feladataik. </w:t>
            </w:r>
          </w:p>
        </w:tc>
      </w:tr>
      <w:tr w:rsidR="004C2997">
        <w:tblPrEx>
          <w:tblCellMar>
            <w:top w:w="0" w:type="dxa"/>
            <w:bottom w:w="0" w:type="dxa"/>
          </w:tblCellMar>
        </w:tblPrEx>
        <w:trPr>
          <w:cantSplit/>
        </w:trPr>
        <w:tc>
          <w:tcPr>
            <w:tcW w:w="2502" w:type="dxa"/>
            <w:tcBorders>
              <w:top w:val="single" w:sz="6" w:space="0" w:color="auto"/>
              <w:left w:val="single" w:sz="4"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számítógép üzembehelyezése</w:t>
            </w:r>
          </w:p>
        </w:tc>
        <w:tc>
          <w:tcPr>
            <w:tcW w:w="6570" w:type="dxa"/>
            <w:tcBorders>
              <w:top w:val="single" w:sz="6" w:space="0" w:color="auto"/>
              <w:left w:val="single" w:sz="6" w:space="0" w:color="auto"/>
              <w:bottom w:val="single" w:sz="6"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számítógép főbb egységeinek felismerése és funkciói. Legfontosabb részeinek összekapcsolása és üzembehelyezése.</w:t>
            </w:r>
          </w:p>
        </w:tc>
      </w:tr>
      <w:tr w:rsidR="004C2997">
        <w:tblPrEx>
          <w:tblCellMar>
            <w:top w:w="0" w:type="dxa"/>
            <w:bottom w:w="0" w:type="dxa"/>
          </w:tblCellMar>
        </w:tblPrEx>
        <w:trPr>
          <w:cantSplit/>
        </w:trPr>
        <w:tc>
          <w:tcPr>
            <w:tcW w:w="9072" w:type="dxa"/>
            <w:gridSpan w:val="2"/>
            <w:tcBorders>
              <w:top w:val="single" w:sz="6" w:space="0" w:color="auto"/>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Informatikai alapismeretek – szoftver</w:t>
            </w:r>
          </w:p>
        </w:tc>
      </w:tr>
      <w:tr w:rsidR="004C2997">
        <w:tblPrEx>
          <w:tblCellMar>
            <w:top w:w="0" w:type="dxa"/>
            <w:bottom w:w="0" w:type="dxa"/>
          </w:tblCellMar>
        </w:tblPrEx>
        <w:trPr>
          <w:cantSplit/>
        </w:trPr>
        <w:tc>
          <w:tcPr>
            <w:tcW w:w="2502" w:type="dxa"/>
            <w:tcBorders>
              <w:top w:val="single" w:sz="4" w:space="0" w:color="auto"/>
              <w:left w:val="single" w:sz="4"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operációs rendszer és főbb feladatai</w:t>
            </w:r>
          </w:p>
        </w:tc>
        <w:tc>
          <w:tcPr>
            <w:tcW w:w="6570" w:type="dxa"/>
            <w:tcBorders>
              <w:top w:val="single" w:sz="4" w:space="0" w:color="auto"/>
              <w:left w:val="single" w:sz="6" w:space="0" w:color="auto"/>
              <w:bottom w:val="single" w:sz="6"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operációs rendszer részei. Az operációs rendszer funkciói.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Könyvtárak (mappák) létrehozása, másolása, törlése, átnevezése.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Keresés a háttértárakon.</w:t>
            </w:r>
          </w:p>
        </w:tc>
      </w:tr>
      <w:tr w:rsidR="004C2997">
        <w:tblPrEx>
          <w:tblCellMar>
            <w:top w:w="0" w:type="dxa"/>
            <w:bottom w:w="0" w:type="dxa"/>
          </w:tblCellMar>
        </w:tblPrEx>
        <w:trPr>
          <w:cantSplit/>
        </w:trPr>
        <w:tc>
          <w:tcPr>
            <w:tcW w:w="2502" w:type="dxa"/>
            <w:tcBorders>
              <w:top w:val="single" w:sz="6" w:space="0" w:color="auto"/>
              <w:left w:val="single" w:sz="4"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adatkezelés szoftver és hardver eszközei</w:t>
            </w:r>
          </w:p>
        </w:tc>
        <w:tc>
          <w:tcPr>
            <w:tcW w:w="6570" w:type="dxa"/>
            <w:tcBorders>
              <w:top w:val="single" w:sz="6" w:space="0" w:color="auto"/>
              <w:left w:val="single" w:sz="6"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Tömörítés, víruskeresés, lemezkarbantartás, az operációs rendszer segédprogramjai.</w:t>
            </w:r>
          </w:p>
        </w:tc>
      </w:tr>
      <w:tr w:rsidR="004C2997">
        <w:tblPrEx>
          <w:tblCellMar>
            <w:top w:w="0" w:type="dxa"/>
            <w:bottom w:w="0" w:type="dxa"/>
          </w:tblCellMar>
        </w:tblPrEx>
        <w:trPr>
          <w:cantSplit/>
        </w:trPr>
        <w:tc>
          <w:tcPr>
            <w:tcW w:w="2502" w:type="dxa"/>
            <w:tcBorders>
              <w:top w:val="single" w:sz="4" w:space="0" w:color="auto"/>
              <w:left w:val="single" w:sz="4"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Állományok típusai</w:t>
            </w:r>
          </w:p>
        </w:tc>
        <w:tc>
          <w:tcPr>
            <w:tcW w:w="6570" w:type="dxa"/>
            <w:tcBorders>
              <w:top w:val="single" w:sz="4" w:space="0" w:color="auto"/>
              <w:left w:val="single" w:sz="6"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Állománykezelés (létrehozás, másolás, törlés, átnevezés, nyomtatás).</w:t>
            </w:r>
          </w:p>
        </w:tc>
      </w:tr>
      <w:tr w:rsidR="004C2997">
        <w:tblPrEx>
          <w:tblCellMar>
            <w:top w:w="0" w:type="dxa"/>
            <w:bottom w:w="0" w:type="dxa"/>
          </w:tblCellMar>
        </w:tblPrEx>
        <w:trPr>
          <w:cantSplit/>
        </w:trPr>
        <w:tc>
          <w:tcPr>
            <w:tcW w:w="2502" w:type="dxa"/>
            <w:tcBorders>
              <w:top w:val="single" w:sz="4" w:space="0" w:color="auto"/>
              <w:left w:val="single" w:sz="4"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Hálózatok működésének alapelvei, felhasználási területei</w:t>
            </w:r>
          </w:p>
        </w:tc>
        <w:tc>
          <w:tcPr>
            <w:tcW w:w="6570" w:type="dxa"/>
            <w:tcBorders>
              <w:top w:val="single" w:sz="4" w:space="0" w:color="auto"/>
              <w:left w:val="single" w:sz="6"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Hálózati be- és kijelentkezési programok indítása. Hozzáférési jogok, adatvédelem.</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072" w:type="dxa"/>
            <w:gridSpan w:val="2"/>
            <w:tcBorders>
              <w:top w:val="nil"/>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Szövegszerkesztés</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502" w:type="dxa"/>
            <w:tcBorders>
              <w:top w:val="single" w:sz="4" w:space="0" w:color="auto"/>
              <w:left w:val="single" w:sz="4" w:space="0" w:color="auto"/>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Szövegszerkesztő program kezelése</w:t>
            </w:r>
          </w:p>
        </w:tc>
        <w:tc>
          <w:tcPr>
            <w:tcW w:w="6570" w:type="dxa"/>
            <w:tcBorders>
              <w:top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Szövegszerkesztő program indítása. Szöveg beolvasása és kimentése. Nyomtatás.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munkakörnyezet és a nézet beállítása.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502" w:type="dxa"/>
            <w:tcBorders>
              <w:top w:val="nil"/>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Szövegszerkesztési alapfogalmak</w:t>
            </w:r>
          </w:p>
        </w:tc>
        <w:tc>
          <w:tcPr>
            <w:tcW w:w="6570" w:type="dxa"/>
            <w:tcBorders>
              <w:top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szövegszerkesztés menete. Szövegbevitel, -javítás.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Karakterformázás, bekezdésformázás, felsorolás, számozás, tabulátorok használata.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Oldalformázás.</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502" w:type="dxa"/>
            <w:tcBorders>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Szövegjavítási funkciók</w:t>
            </w:r>
          </w:p>
        </w:tc>
        <w:tc>
          <w:tcPr>
            <w:tcW w:w="6570" w:type="dxa"/>
            <w:tcBorders>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Keresés és csere funkciója.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Kijelölés, másolás, mozgatás és törlés.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Helyesírás-ellenőrzés, szinonimaszótár, elválasztás.</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502" w:type="dxa"/>
            <w:tcBorders>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Táblázatok, grafikák a szövegben</w:t>
            </w:r>
          </w:p>
        </w:tc>
        <w:tc>
          <w:tcPr>
            <w:tcW w:w="6570" w:type="dxa"/>
            <w:tcBorders>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Táblázatkészítés a szövegszerkesztővel, sorbarendezés. szegélyezés.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Táblázatok, grafikák, képek, szimbólumok és más objektumok beillesztése a szövegbe és formázása.</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9072" w:type="dxa"/>
            <w:gridSpan w:val="2"/>
            <w:tcBorders>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5. Táblázatkezelés</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502" w:type="dxa"/>
            <w:tcBorders>
              <w:top w:val="single" w:sz="4" w:space="0" w:color="auto"/>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táblázatkezelő használata.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Táblázatok felépítése</w:t>
            </w:r>
          </w:p>
        </w:tc>
        <w:tc>
          <w:tcPr>
            <w:tcW w:w="6570" w:type="dxa"/>
            <w:tcBorders>
              <w:top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program indítása, a munkakörnyezet beállítása.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Táblázatok felépítése (cella, oszlop, sor).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 megnyitása, mentése, nyomtatása.</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502" w:type="dxa"/>
            <w:tcBorders>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Adatok a táblázatokban</w:t>
            </w:r>
          </w:p>
        </w:tc>
        <w:tc>
          <w:tcPr>
            <w:tcW w:w="6570" w:type="dxa"/>
            <w:tcBorders>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Adattípusok.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Adatbevitel, javítás, másolás, mozgatás, formázás.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cellahivatkozások használata.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Képletek szerkesztése: konstans, hivatkozás, függvény.</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502" w:type="dxa"/>
            <w:tcBorders>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Táblázatformázás</w:t>
            </w:r>
          </w:p>
        </w:tc>
        <w:tc>
          <w:tcPr>
            <w:tcW w:w="6570" w:type="dxa"/>
            <w:tcBorders>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Karakter-, cella- és tartomány-formázások. Sorok, oszlopok, tartományok kijelölése.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Cellák és tartományok másolása.</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502" w:type="dxa"/>
            <w:tcBorders>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Táblázatok, szövegek, diagramok</w:t>
            </w:r>
          </w:p>
        </w:tc>
        <w:tc>
          <w:tcPr>
            <w:tcW w:w="6570" w:type="dxa"/>
            <w:tcBorders>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táblázat készítése.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Diagramtípus kiválasztása. Diagramok szerkesztése.</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502" w:type="dxa"/>
            <w:tcBorders>
              <w:left w:val="single" w:sz="4" w:space="0" w:color="auto"/>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Problémamegoldás táblázatkezelővel</w:t>
            </w:r>
          </w:p>
        </w:tc>
        <w:tc>
          <w:tcPr>
            <w:tcW w:w="6570" w:type="dxa"/>
            <w:tcBorders>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Tantárgyi feladatok megoldása. </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9072"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6. Adatbázis-kezelés</w:t>
            </w:r>
          </w:p>
        </w:tc>
      </w:tr>
      <w:tr w:rsidR="004C2997">
        <w:tblPrEx>
          <w:tblCellMar>
            <w:top w:w="0" w:type="dxa"/>
            <w:bottom w:w="0" w:type="dxa"/>
          </w:tblCellMar>
        </w:tblPrEx>
        <w:trPr>
          <w:cantSplit/>
        </w:trPr>
        <w:tc>
          <w:tcPr>
            <w:tcW w:w="2502" w:type="dxa"/>
            <w:tcBorders>
              <w:top w:val="nil"/>
              <w:left w:val="single" w:sz="4"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adatbázis-kezelés alapfogalmai</w:t>
            </w:r>
          </w:p>
        </w:tc>
        <w:tc>
          <w:tcPr>
            <w:tcW w:w="6570" w:type="dxa"/>
            <w:tcBorders>
              <w:top w:val="nil"/>
              <w:left w:val="single" w:sz="6"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adatbázis fogalma, típusai, adattábla, rekord, mező, kulcs.</w:t>
            </w:r>
          </w:p>
        </w:tc>
      </w:tr>
      <w:tr w:rsidR="004C2997">
        <w:tblPrEx>
          <w:tblCellMar>
            <w:top w:w="0" w:type="dxa"/>
            <w:bottom w:w="0" w:type="dxa"/>
          </w:tblCellMar>
        </w:tblPrEx>
        <w:trPr>
          <w:cantSplit/>
        </w:trPr>
        <w:tc>
          <w:tcPr>
            <w:tcW w:w="2502" w:type="dxa"/>
            <w:tcBorders>
              <w:top w:val="nil"/>
              <w:left w:val="single" w:sz="4"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Adatbázis-kezelő program interaktív használata</w:t>
            </w:r>
          </w:p>
        </w:tc>
        <w:tc>
          <w:tcPr>
            <w:tcW w:w="6570" w:type="dxa"/>
            <w:tcBorders>
              <w:top w:val="nil"/>
              <w:left w:val="single" w:sz="6" w:space="0" w:color="auto"/>
              <w:bottom w:val="single" w:sz="6"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Adattípusok.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Adatbevitel, adatok módosítása, törlése.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Adatbázisok létrehozása, karbantartása.</w:t>
            </w:r>
          </w:p>
        </w:tc>
      </w:tr>
      <w:tr w:rsidR="004C2997">
        <w:tblPrEx>
          <w:tblCellMar>
            <w:top w:w="0" w:type="dxa"/>
            <w:bottom w:w="0" w:type="dxa"/>
          </w:tblCellMar>
        </w:tblPrEx>
        <w:trPr>
          <w:cantSplit/>
        </w:trPr>
        <w:tc>
          <w:tcPr>
            <w:tcW w:w="2502" w:type="dxa"/>
            <w:tcBorders>
              <w:top w:val="single" w:sz="6" w:space="0" w:color="auto"/>
              <w:left w:val="single" w:sz="4"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Alapvető adatbázis-kezelő műveletek</w:t>
            </w:r>
          </w:p>
        </w:tc>
        <w:tc>
          <w:tcPr>
            <w:tcW w:w="6570" w:type="dxa"/>
            <w:tcBorders>
              <w:top w:val="single" w:sz="6" w:space="0" w:color="auto"/>
              <w:left w:val="single" w:sz="6" w:space="0" w:color="auto"/>
              <w:bottom w:val="single" w:sz="6"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Lekérdezések, függvények használata, keresés, válogatás, szűrés, rendezés, összesítés.</w:t>
            </w:r>
          </w:p>
        </w:tc>
      </w:tr>
      <w:tr w:rsidR="004C2997">
        <w:tblPrEx>
          <w:tblCellMar>
            <w:top w:w="0" w:type="dxa"/>
            <w:bottom w:w="0" w:type="dxa"/>
          </w:tblCellMar>
        </w:tblPrEx>
        <w:trPr>
          <w:cantSplit/>
        </w:trPr>
        <w:tc>
          <w:tcPr>
            <w:tcW w:w="2502" w:type="dxa"/>
            <w:tcBorders>
              <w:top w:val="single" w:sz="6" w:space="0" w:color="auto"/>
              <w:left w:val="single" w:sz="4"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Képernyő és nyomtatási formátumok</w:t>
            </w:r>
          </w:p>
        </w:tc>
        <w:tc>
          <w:tcPr>
            <w:tcW w:w="6570" w:type="dxa"/>
            <w:tcBorders>
              <w:top w:val="single" w:sz="6" w:space="0" w:color="auto"/>
              <w:left w:val="single" w:sz="6" w:space="0" w:color="auto"/>
              <w:bottom w:val="single" w:sz="6"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Képernyő és nyomtatási formátumok tervezése és készítése.</w:t>
            </w:r>
          </w:p>
        </w:tc>
      </w:tr>
      <w:tr w:rsidR="004C2997">
        <w:tblPrEx>
          <w:tblCellMar>
            <w:top w:w="0" w:type="dxa"/>
            <w:bottom w:w="0" w:type="dxa"/>
          </w:tblCellMar>
        </w:tblPrEx>
        <w:trPr>
          <w:cantSplit/>
        </w:trPr>
        <w:tc>
          <w:tcPr>
            <w:tcW w:w="9072" w:type="dxa"/>
            <w:gridSpan w:val="2"/>
            <w:tcBorders>
              <w:top w:val="single" w:sz="6" w:space="0" w:color="auto"/>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7. Információs hálózati szolgáltatások</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502" w:type="dxa"/>
            <w:tcBorders>
              <w:top w:val="single" w:sz="4" w:space="0" w:color="auto"/>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Kommunikáció az Interneten</w:t>
            </w:r>
          </w:p>
        </w:tc>
        <w:tc>
          <w:tcPr>
            <w:tcW w:w="6570" w:type="dxa"/>
            <w:tcBorders>
              <w:top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Levelezési rendszer használata.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Állományok átvitele, WWW, keresőrendszerek, távoli adatbázisok használata.</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502" w:type="dxa"/>
            <w:tcBorders>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Weblap készítés</w:t>
            </w:r>
          </w:p>
        </w:tc>
        <w:tc>
          <w:tcPr>
            <w:tcW w:w="6570" w:type="dxa"/>
            <w:tcBorders>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Hálózati dokumentumok szerkezete, Weblap készítése Webszerkesztővel: szöveg, kép, ugrópont bevitele.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Formázási lehetőségek.</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9072" w:type="dxa"/>
            <w:gridSpan w:val="2"/>
            <w:tcBorders>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8. Prezentáció és grafika</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502" w:type="dxa"/>
            <w:tcBorders>
              <w:top w:val="single" w:sz="4" w:space="0" w:color="auto"/>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Prezentáció</w:t>
            </w:r>
          </w:p>
        </w:tc>
        <w:tc>
          <w:tcPr>
            <w:tcW w:w="6570" w:type="dxa"/>
            <w:tcBorders>
              <w:top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Prezentációs anyag elkészítése (szöveg, rajz, fotó, hang …) és formázása.</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502" w:type="dxa"/>
            <w:tcBorders>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Grafika</w:t>
            </w:r>
          </w:p>
        </w:tc>
        <w:tc>
          <w:tcPr>
            <w:tcW w:w="6570" w:type="dxa"/>
            <w:tcBorders>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Grafikai eszközök használata. Elemi alakzatok megrajzolása, módosítása, képek beillesztése.</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9072" w:type="dxa"/>
            <w:gridSpan w:val="2"/>
            <w:tcBorders>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9. Könyvtárhasználat</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502" w:type="dxa"/>
            <w:tcBorders>
              <w:left w:val="single" w:sz="4" w:space="0" w:color="auto"/>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Könyvtárak</w:t>
            </w:r>
          </w:p>
        </w:tc>
        <w:tc>
          <w:tcPr>
            <w:tcW w:w="6570" w:type="dxa"/>
            <w:tcBorders>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könyvtárak, könyvtártípusok funkciói.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Dokumentumtípusok. Tájékoztató eszközök.</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502" w:type="dxa"/>
            <w:tcBorders>
              <w:left w:val="single" w:sz="4" w:space="0" w:color="auto"/>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Információkeresés</w:t>
            </w:r>
          </w:p>
        </w:tc>
        <w:tc>
          <w:tcPr>
            <w:tcW w:w="6570" w:type="dxa"/>
            <w:tcBorders>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Katalógusok, számítógépes információkeresés.</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1" w:type="dxa"/>
        <w:tblLayout w:type="fixed"/>
        <w:tblCellMar>
          <w:left w:w="71" w:type="dxa"/>
          <w:right w:w="71" w:type="dxa"/>
        </w:tblCellMar>
        <w:tblLook w:val="0000" w:firstRow="0" w:lastRow="0" w:firstColumn="0" w:lastColumn="0" w:noHBand="0" w:noVBand="0"/>
      </w:tblPr>
      <w:tblGrid>
        <w:gridCol w:w="2754"/>
        <w:gridCol w:w="5"/>
        <w:gridCol w:w="24"/>
        <w:gridCol w:w="6294"/>
      </w:tblGrid>
      <w:tr w:rsidR="004C2997">
        <w:tblPrEx>
          <w:tblCellMar>
            <w:top w:w="0" w:type="dxa"/>
            <w:bottom w:w="0" w:type="dxa"/>
          </w:tblCellMar>
        </w:tblPrEx>
        <w:trPr>
          <w:cantSplit/>
        </w:trPr>
        <w:tc>
          <w:tcPr>
            <w:tcW w:w="2750" w:type="dxa"/>
            <w:tcBorders>
              <w:top w:val="single" w:sz="4" w:space="0" w:color="auto"/>
              <w:left w:val="single" w:sz="4" w:space="0" w:color="auto"/>
              <w:bottom w:val="single" w:sz="4" w:space="0" w:color="auto"/>
              <w:right w:val="single" w:sz="4" w:space="0" w:color="auto"/>
            </w:tcBorders>
            <w:shd w:val="pct25" w:color="000000" w:fill="auto"/>
            <w:vAlign w:val="center"/>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6322" w:type="dxa"/>
            <w:gridSpan w:val="3"/>
            <w:tcBorders>
              <w:top w:val="single" w:sz="4" w:space="0" w:color="auto"/>
              <w:left w:val="single" w:sz="4" w:space="0" w:color="auto"/>
              <w:bottom w:val="single" w:sz="4" w:space="0" w:color="auto"/>
              <w:right w:val="single" w:sz="4" w:space="0" w:color="auto"/>
            </w:tcBorders>
            <w:shd w:val="pct25" w:color="000000" w:fill="auto"/>
            <w:vAlign w:val="center"/>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072" w:type="dxa"/>
            <w:gridSpan w:val="4"/>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Információs társadalom</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7" w:type="dxa"/>
            <w:bottom w:w="0" w:type="dxa"/>
            <w:right w:w="107" w:type="dxa"/>
          </w:tblCellMar>
        </w:tblPrEx>
        <w:trPr>
          <w:cantSplit/>
        </w:trPr>
        <w:tc>
          <w:tcPr>
            <w:tcW w:w="2750" w:type="dxa"/>
            <w:tcBorders>
              <w:top w:val="nil"/>
              <w:left w:val="single" w:sz="4" w:space="0" w:color="auto"/>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Információs rendszerek az iskolában és a gazdaságban</w:t>
            </w:r>
          </w:p>
        </w:tc>
        <w:tc>
          <w:tcPr>
            <w:tcW w:w="6322" w:type="dxa"/>
            <w:gridSpan w:val="3"/>
            <w:tcBorders>
              <w:top w:val="nil"/>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Informatikai alapfogalmak.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Információs rendszerek szakszerű leírása, elemeinek pontos meghatározása.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Dokumentumok választása informatikai eszközök segítségével.</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7" w:type="dxa"/>
            <w:bottom w:w="0" w:type="dxa"/>
            <w:right w:w="107" w:type="dxa"/>
          </w:tblCellMar>
        </w:tblPrEx>
        <w:trPr>
          <w:cantSplit/>
        </w:trPr>
        <w:tc>
          <w:tcPr>
            <w:tcW w:w="2750" w:type="dxa"/>
            <w:tcBorders>
              <w:top w:val="nil"/>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Közhasznú magyar információs adatbázisok </w:t>
            </w:r>
          </w:p>
        </w:tc>
        <w:tc>
          <w:tcPr>
            <w:tcW w:w="6322" w:type="dxa"/>
            <w:gridSpan w:val="3"/>
            <w:tcBorders>
              <w:top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Annak ismerete, hogy az információ áru, hogy az információs rendszerekben, de akár csak egy címlistában is hatalmas érték lehet.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Keresés számítógépes katalógusokban és adatbázisokban.</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7" w:type="dxa"/>
            <w:bottom w:w="0" w:type="dxa"/>
            <w:right w:w="107" w:type="dxa"/>
          </w:tblCellMar>
        </w:tblPrEx>
        <w:trPr>
          <w:cantSplit/>
        </w:trPr>
        <w:tc>
          <w:tcPr>
            <w:tcW w:w="2750" w:type="dxa"/>
            <w:tcBorders>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Jogi és etikai ismeretek</w:t>
            </w:r>
          </w:p>
        </w:tc>
        <w:tc>
          <w:tcPr>
            <w:tcW w:w="6322" w:type="dxa"/>
            <w:gridSpan w:val="3"/>
            <w:tcBorders>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Adatbiztonság, szerzői jog, etikai vonatkozások alapjainak ismerete.</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7" w:type="dxa"/>
            <w:bottom w:w="0" w:type="dxa"/>
            <w:right w:w="107" w:type="dxa"/>
          </w:tblCellMar>
        </w:tblPrEx>
        <w:trPr>
          <w:cantSplit/>
        </w:trPr>
        <w:tc>
          <w:tcPr>
            <w:tcW w:w="2750" w:type="dxa"/>
            <w:tcBorders>
              <w:left w:val="single" w:sz="4"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Információs és kommunikációs technológiák a társadalomban</w:t>
            </w:r>
          </w:p>
        </w:tc>
        <w:tc>
          <w:tcPr>
            <w:tcW w:w="6322" w:type="dxa"/>
            <w:gridSpan w:val="3"/>
            <w:tcBorders>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információs és kommunikációs technológiák alkalmazásait és hatását a mindennapi életben, munkában, szórakozásban.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informatika fejlődéstörténetének főbb fázisait.</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7" w:type="dxa"/>
            <w:bottom w:w="0" w:type="dxa"/>
            <w:right w:w="107" w:type="dxa"/>
          </w:tblCellMar>
        </w:tblPrEx>
        <w:trPr>
          <w:cantSplit/>
        </w:trPr>
        <w:tc>
          <w:tcPr>
            <w:tcW w:w="9072" w:type="dxa"/>
            <w:gridSpan w:val="4"/>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Informatikai alapismeretek – hardver</w:t>
            </w:r>
          </w:p>
        </w:tc>
      </w:tr>
      <w:tr w:rsidR="004C2997">
        <w:tblPrEx>
          <w:tblCellMar>
            <w:top w:w="0" w:type="dxa"/>
            <w:bottom w:w="0" w:type="dxa"/>
          </w:tblCellMar>
        </w:tblPrEx>
        <w:trPr>
          <w:cantSplit/>
        </w:trPr>
        <w:tc>
          <w:tcPr>
            <w:tcW w:w="2750" w:type="dxa"/>
            <w:tcBorders>
              <w:top w:val="nil"/>
              <w:left w:val="single" w:sz="4"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számítógépek felépítése, funkcionális egységei, azok főbb jellemzői,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jelátalakítás</w:t>
            </w:r>
          </w:p>
        </w:tc>
        <w:tc>
          <w:tcPr>
            <w:tcW w:w="6322" w:type="dxa"/>
            <w:gridSpan w:val="3"/>
            <w:tcBorders>
              <w:top w:val="nil"/>
              <w:left w:val="single" w:sz="6" w:space="0" w:color="auto"/>
              <w:bottom w:val="single" w:sz="6"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Neumann-elvű számítógépek.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számítógép, illetve a kapcsolódó perifériák. Perifériák típusai, főbb jellemzői és feladataik.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Analóg és digitális jelek. Logikai műveletek.</w:t>
            </w:r>
          </w:p>
        </w:tc>
      </w:tr>
      <w:tr w:rsidR="004C2997">
        <w:tblPrEx>
          <w:tblCellMar>
            <w:top w:w="0" w:type="dxa"/>
            <w:bottom w:w="0" w:type="dxa"/>
          </w:tblCellMar>
        </w:tblPrEx>
        <w:trPr>
          <w:cantSplit/>
        </w:trPr>
        <w:tc>
          <w:tcPr>
            <w:tcW w:w="2750" w:type="dxa"/>
            <w:tcBorders>
              <w:top w:val="single" w:sz="6" w:space="0" w:color="auto"/>
              <w:left w:val="single" w:sz="4"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számítógép üzembehelyezése</w:t>
            </w:r>
          </w:p>
        </w:tc>
        <w:tc>
          <w:tcPr>
            <w:tcW w:w="6322" w:type="dxa"/>
            <w:gridSpan w:val="3"/>
            <w:tcBorders>
              <w:top w:val="single" w:sz="6" w:space="0" w:color="auto"/>
              <w:left w:val="single" w:sz="6"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számítógép főbb egységeinek felismerése és funkciói. Legfontosabb részeinek összekapcsolása és üzembehelyezése.</w:t>
            </w:r>
          </w:p>
        </w:tc>
      </w:tr>
      <w:tr w:rsidR="004C2997">
        <w:tblPrEx>
          <w:tblCellMar>
            <w:top w:w="0" w:type="dxa"/>
            <w:bottom w:w="0" w:type="dxa"/>
          </w:tblCellMar>
        </w:tblPrEx>
        <w:trPr>
          <w:cantSplit/>
        </w:trPr>
        <w:tc>
          <w:tcPr>
            <w:tcW w:w="9072" w:type="dxa"/>
            <w:gridSpan w:val="4"/>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Informatikai alapismeretek – szoftver</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0" w:type="dxa"/>
            <w:tcBorders>
              <w:left w:val="single" w:sz="4"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operációs rendszer és főbb feladatai</w:t>
            </w:r>
          </w:p>
        </w:tc>
        <w:tc>
          <w:tcPr>
            <w:tcW w:w="6322" w:type="dxa"/>
            <w:gridSpan w:val="3"/>
            <w:tcBorders>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operációs rendszer részei. Az operációs rendszer funkciói.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Könyvtárak (mappák) létrehozása, másolása, törlése, átnevezése.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Keresés a háttértárakon.</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0" w:type="dxa"/>
            <w:tcBorders>
              <w:top w:val="single" w:sz="4" w:space="0" w:color="auto"/>
              <w:left w:val="single" w:sz="4" w:space="0" w:color="auto"/>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adatkezelés szoftver és hardver eszközei</w:t>
            </w:r>
          </w:p>
        </w:tc>
        <w:tc>
          <w:tcPr>
            <w:tcW w:w="6322" w:type="dxa"/>
            <w:gridSpan w:val="3"/>
            <w:tcBorders>
              <w:top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Tömörítés, víruskeresés, lemezkarbantartás, az operációs rendszer segédprogramjai.</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0" w:type="dxa"/>
            <w:tcBorders>
              <w:left w:val="single" w:sz="4" w:space="0" w:color="auto"/>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Állományok típusai</w:t>
            </w:r>
          </w:p>
        </w:tc>
        <w:tc>
          <w:tcPr>
            <w:tcW w:w="6322" w:type="dxa"/>
            <w:gridSpan w:val="3"/>
            <w:tcBorders>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Állománykezelés (létrehozás, másolás, törlés, átnevezés, nyomtatás).</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0" w:type="dxa"/>
            <w:tcBorders>
              <w:top w:val="single" w:sz="4" w:space="0" w:color="auto"/>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Hálózatok működésének alapelvei, felhasználási területei</w:t>
            </w:r>
          </w:p>
        </w:tc>
        <w:tc>
          <w:tcPr>
            <w:tcW w:w="6322" w:type="dxa"/>
            <w:gridSpan w:val="3"/>
            <w:tcBorders>
              <w:top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Hálózati be- és kijelentkezési programok indítása. Hozzáférési jogok, adatvédelem. </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9072" w:type="dxa"/>
            <w:gridSpan w:val="4"/>
            <w:tcBorders>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4. Szövegszerkesztés</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0" w:type="dxa"/>
            <w:tcBorders>
              <w:left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Szövegszerkesztő program kezelése</w:t>
            </w:r>
          </w:p>
        </w:tc>
        <w:tc>
          <w:tcPr>
            <w:tcW w:w="6322" w:type="dxa"/>
            <w:gridSpan w:val="3"/>
            <w:tcBorders>
              <w:left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Szövegszerkesztő program indítása. Szöveg beolvasása és kimentése. Nyomtatás.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munkakörnyezet és a nézet beállítása.</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0" w:type="dxa"/>
            <w:tcBorders>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Szövegszerkesztési alapfogalmak</w:t>
            </w:r>
          </w:p>
        </w:tc>
        <w:tc>
          <w:tcPr>
            <w:tcW w:w="6322" w:type="dxa"/>
            <w:gridSpan w:val="3"/>
            <w:tcBorders>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szövegszerkesztés menete. Szövegbevitel, -javítás.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Karakterformázás, bekezdésformázás, felsorolás, számozás, tabulátorok használata.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Oldalformázás.</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0" w:type="dxa"/>
            <w:tcBorders>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Szövegjavítási funkciók</w:t>
            </w:r>
          </w:p>
        </w:tc>
        <w:tc>
          <w:tcPr>
            <w:tcW w:w="6322" w:type="dxa"/>
            <w:gridSpan w:val="3"/>
            <w:tcBorders>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Keresés és csere funkciója.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Kijelölés, másolás, mozgatás és törlés.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Helyesírás-ellenőrzés, szinonimaszótár, elválasztás.</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0" w:type="dxa"/>
            <w:tcBorders>
              <w:left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Táblázatok, grafikák a szövegben</w:t>
            </w:r>
          </w:p>
        </w:tc>
        <w:tc>
          <w:tcPr>
            <w:tcW w:w="6322" w:type="dxa"/>
            <w:gridSpan w:val="3"/>
            <w:tcBorders>
              <w:left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Táblázatkészítés a szövegszerkesztővel, sorbarendezés, szegélyezés.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Táblázatok, grafikák, képek, szimbólumok és más objektumok beillesztése a szövegbe és formázása.</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9072" w:type="dxa"/>
            <w:gridSpan w:val="4"/>
            <w:tcBorders>
              <w:left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5. Táblázatkezelés</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0" w:type="dxa"/>
            <w:tcBorders>
              <w:left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táblázatkezelő használata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Táblázatok felépítése</w:t>
            </w:r>
          </w:p>
        </w:tc>
        <w:tc>
          <w:tcPr>
            <w:tcW w:w="6322" w:type="dxa"/>
            <w:gridSpan w:val="3"/>
            <w:tcBorders>
              <w:left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program indítása, a munkakörnyzet beállítása.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Táblázatok felépítése (cella, oszlop, sor).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 megnyitása, mentése, nyomtatása.</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0" w:type="dxa"/>
            <w:tcBorders>
              <w:left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Adatok a táblázatokban</w:t>
            </w:r>
          </w:p>
        </w:tc>
        <w:tc>
          <w:tcPr>
            <w:tcW w:w="6322" w:type="dxa"/>
            <w:gridSpan w:val="3"/>
            <w:tcBorders>
              <w:left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Adattípusok.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Adatbevitel, javítás, másolás, mozgatás, formázás.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cellahivatkozások használata.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Képletek szerkesztése: konstans, hivatkozás, függvény.</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0" w:type="dxa"/>
            <w:tcBorders>
              <w:left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Táblázatformázás</w:t>
            </w:r>
          </w:p>
        </w:tc>
        <w:tc>
          <w:tcPr>
            <w:tcW w:w="6322" w:type="dxa"/>
            <w:gridSpan w:val="3"/>
            <w:tcBorders>
              <w:left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Karakter-, cella- és tartományformázások. Sorok, oszlopok, tartományok kijelölése.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Cellák és tartományok másolása.</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0" w:type="dxa"/>
            <w:tcBorders>
              <w:left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Táblázatok, szövegek, diagramok</w:t>
            </w:r>
          </w:p>
        </w:tc>
        <w:tc>
          <w:tcPr>
            <w:tcW w:w="6322" w:type="dxa"/>
            <w:gridSpan w:val="3"/>
            <w:tcBorders>
              <w:left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táblázat készítése.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Diagramtípus kiválasztása. Diagramok szerkesztése.</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0" w:type="dxa"/>
            <w:tcBorders>
              <w:left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Problémamegoldás táblázatkezelővel</w:t>
            </w:r>
          </w:p>
        </w:tc>
        <w:tc>
          <w:tcPr>
            <w:tcW w:w="6322" w:type="dxa"/>
            <w:gridSpan w:val="3"/>
            <w:tcBorders>
              <w:left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Tantárgyi feladatok megoldása. Statisztikai függvények használata. Szimulációs táblák készítése.</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9072" w:type="dxa"/>
            <w:gridSpan w:val="4"/>
            <w:tcBorders>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6. Adatbázis-kezelés</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4" w:type="dxa"/>
            <w:tcBorders>
              <w:top w:val="single" w:sz="4" w:space="0" w:color="auto"/>
              <w:left w:val="single" w:sz="4"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adatbázis-kezelés alapfogalmai</w:t>
            </w:r>
          </w:p>
        </w:tc>
        <w:tc>
          <w:tcPr>
            <w:tcW w:w="6318" w:type="dxa"/>
            <w:gridSpan w:val="3"/>
            <w:tcBorders>
              <w:top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adatbázis fogalma, típusai, adattábla, rekord, mező, kulcs.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Adattípusok.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Saját adatbázisok tervezése, szerkezetének definiálása.</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4" w:type="dxa"/>
            <w:tcBorders>
              <w:left w:val="single" w:sz="4" w:space="0" w:color="auto"/>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Adatbázis-kezelő programozása</w:t>
            </w:r>
          </w:p>
        </w:tc>
        <w:tc>
          <w:tcPr>
            <w:tcW w:w="6318" w:type="dxa"/>
            <w:gridSpan w:val="3"/>
            <w:tcBorders>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Adatbevitel, adatmódosítás, lekérdezések, függvények használata, keresés, válogatás, szűrés, rendezés, összesítés.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Kimutatások készítése.</w:t>
            </w:r>
          </w:p>
        </w:tc>
      </w:tr>
      <w:tr w:rsidR="004C2997">
        <w:tblPrEx>
          <w:tblCellMar>
            <w:top w:w="0" w:type="dxa"/>
            <w:bottom w:w="0" w:type="dxa"/>
          </w:tblCellMar>
        </w:tblPrEx>
        <w:trPr>
          <w:cantSplit/>
        </w:trPr>
        <w:tc>
          <w:tcPr>
            <w:tcW w:w="9072" w:type="dxa"/>
            <w:gridSpan w:val="4"/>
            <w:tcBorders>
              <w:top w:val="nil"/>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7. Információs hálózati szolgáltatások</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8" w:type="dxa"/>
            <w:gridSpan w:val="2"/>
            <w:tcBorders>
              <w:top w:val="single" w:sz="4" w:space="0" w:color="auto"/>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Kommunikáció az Interneten</w:t>
            </w:r>
          </w:p>
        </w:tc>
        <w:tc>
          <w:tcPr>
            <w:tcW w:w="6314" w:type="dxa"/>
            <w:gridSpan w:val="2"/>
            <w:tcBorders>
              <w:top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Levelezési rendszer használata.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Állományok átvitele, WWW, keresőrendszerek, távoli adatbázisok használata.</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8" w:type="dxa"/>
            <w:gridSpan w:val="2"/>
            <w:tcBorders>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Weblap készítés</w:t>
            </w:r>
          </w:p>
        </w:tc>
        <w:tc>
          <w:tcPr>
            <w:tcW w:w="6314" w:type="dxa"/>
            <w:gridSpan w:val="2"/>
            <w:tcBorders>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Hálózati dokumentumok szerkezete, Weblap készítése Webszerkesztővel: szöveg, kép, ugrópont bevitele.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Formázási lehetőségek.</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9072" w:type="dxa"/>
            <w:gridSpan w:val="4"/>
            <w:tcBorders>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8. Prezentáció és grafika</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8" w:type="dxa"/>
            <w:gridSpan w:val="2"/>
            <w:tcBorders>
              <w:top w:val="single" w:sz="4" w:space="0" w:color="auto"/>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Prezentáció</w:t>
            </w:r>
          </w:p>
        </w:tc>
        <w:tc>
          <w:tcPr>
            <w:tcW w:w="6314" w:type="dxa"/>
            <w:gridSpan w:val="2"/>
            <w:tcBorders>
              <w:top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Prezentációs anyag elkészítése (szöveg, rajz, fotó, hang …) és formázása.</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8" w:type="dxa"/>
            <w:gridSpan w:val="2"/>
            <w:tcBorders>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Grafika</w:t>
            </w:r>
          </w:p>
        </w:tc>
        <w:tc>
          <w:tcPr>
            <w:tcW w:w="6314" w:type="dxa"/>
            <w:gridSpan w:val="2"/>
            <w:tcBorders>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Grafikai eszközök használata. Elemi alakzatok megrajzolása, módosítása, képek beillesztése.</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9072" w:type="dxa"/>
            <w:gridSpan w:val="4"/>
            <w:tcBorders>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9. Könyvtárhasználat</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4" w:type="dxa"/>
            <w:tcBorders>
              <w:left w:val="single" w:sz="4"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Könyvtárak</w:t>
            </w:r>
          </w:p>
        </w:tc>
        <w:tc>
          <w:tcPr>
            <w:tcW w:w="6318" w:type="dxa"/>
            <w:gridSpan w:val="3"/>
            <w:tcBorders>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könyvtárak, könyvtártípusok funkciói.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Dokumentumtípusok. Tájékoztató eszközök.</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4" w:type="dxa"/>
            <w:tcBorders>
              <w:left w:val="single" w:sz="4"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Információkeresés</w:t>
            </w:r>
          </w:p>
        </w:tc>
        <w:tc>
          <w:tcPr>
            <w:tcW w:w="6318" w:type="dxa"/>
            <w:gridSpan w:val="3"/>
            <w:tcBorders>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Katalógusok, számítógépes információkeresés.</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9072" w:type="dxa"/>
            <w:gridSpan w:val="4"/>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10. Algoritmizálás, adatmodellezés, programozási ismeretek</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4" w:type="dxa"/>
            <w:tcBorders>
              <w:left w:val="single" w:sz="4"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Elemi és összetett adatok, file-szervezés, adatstruktúrák</w:t>
            </w:r>
          </w:p>
        </w:tc>
        <w:tc>
          <w:tcPr>
            <w:tcW w:w="6318" w:type="dxa"/>
            <w:gridSpan w:val="3"/>
            <w:tcBorders>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Egész és valós számok, logikai értékek, karakterek.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Halmaz, tömb, rekord, file.</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4" w:type="dxa"/>
            <w:tcBorders>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Elemi algoritmusok típusfeladatokra</w:t>
            </w:r>
          </w:p>
        </w:tc>
        <w:tc>
          <w:tcPr>
            <w:tcW w:w="6318" w:type="dxa"/>
            <w:gridSpan w:val="3"/>
            <w:tcBorders>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Összegzés, eldöntés, kiválasztás, keresés, megszámlálás, maximum-kiválasztás, kiválogatás, rendezések.</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4" w:type="dxa"/>
            <w:tcBorders>
              <w:lef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Rekurzió</w:t>
            </w:r>
          </w:p>
        </w:tc>
        <w:tc>
          <w:tcPr>
            <w:tcW w:w="6318" w:type="dxa"/>
            <w:gridSpan w:val="3"/>
            <w:tcBorders>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Rekurzió a feladatok és az algoritmusok világában.</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4" w:type="dxa"/>
            <w:tcBorders>
              <w:left w:val="single" w:sz="4"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programkészítés, mint termékelőállítási folyamat</w:t>
            </w:r>
          </w:p>
        </w:tc>
        <w:tc>
          <w:tcPr>
            <w:tcW w:w="6318" w:type="dxa"/>
            <w:gridSpan w:val="3"/>
            <w:tcBorders>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programkészítés lépései: feladatmeghatározás, tervezés, kódolás, tesztelés, hibakeresés, hatékonyság- és minőségvizsgálat, dokumentálás.</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bottom w:w="0" w:type="dxa"/>
          </w:tblCellMar>
        </w:tblPrEx>
        <w:trPr>
          <w:cantSplit/>
        </w:trPr>
        <w:tc>
          <w:tcPr>
            <w:tcW w:w="2754" w:type="dxa"/>
            <w:tcBorders>
              <w:left w:val="single" w:sz="4"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Számítógép a matematikában,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természet- és társadalom-tudományi tantárgyakban</w:t>
            </w:r>
          </w:p>
        </w:tc>
        <w:tc>
          <w:tcPr>
            <w:tcW w:w="6318" w:type="dxa"/>
            <w:gridSpan w:val="3"/>
            <w:tcBorders>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Matematikai feladatok, egyszerű természettudományos szimulációs problémák, a középiskolai tantárgyakkal kapcsolatos egyszerű feladatok megoldása.</w:t>
            </w:r>
          </w:p>
        </w:tc>
      </w:tr>
      <w:tr w:rsidR="004C299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7" w:type="dxa"/>
            <w:bottom w:w="0" w:type="dxa"/>
            <w:right w:w="107" w:type="dxa"/>
          </w:tblCellMar>
        </w:tblPrEx>
        <w:trPr>
          <w:cantSplit/>
        </w:trPr>
        <w:tc>
          <w:tcPr>
            <w:tcW w:w="9072" w:type="dxa"/>
            <w:gridSpan w:val="4"/>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11. A programozás eszközei</w:t>
            </w:r>
          </w:p>
        </w:tc>
      </w:tr>
      <w:tr w:rsidR="004C2997">
        <w:tblPrEx>
          <w:tblCellMar>
            <w:top w:w="0" w:type="dxa"/>
            <w:left w:w="107" w:type="dxa"/>
            <w:bottom w:w="0" w:type="dxa"/>
            <w:right w:w="107" w:type="dxa"/>
          </w:tblCellMar>
        </w:tblPrEx>
        <w:trPr>
          <w:cantSplit/>
        </w:trPr>
        <w:tc>
          <w:tcPr>
            <w:tcW w:w="2782" w:type="dxa"/>
            <w:gridSpan w:val="3"/>
            <w:tcBorders>
              <w:top w:val="nil"/>
              <w:left w:val="single" w:sz="4"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Algoritmusleíró eszközök</w:t>
            </w:r>
          </w:p>
        </w:tc>
        <w:tc>
          <w:tcPr>
            <w:tcW w:w="6290" w:type="dxa"/>
            <w:tcBorders>
              <w:top w:val="nil"/>
              <w:left w:val="single" w:sz="6" w:space="0" w:color="auto"/>
              <w:bottom w:val="single" w:sz="6"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Feladatmegoldás egy algoritmusleíró eszköz segítségével.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algoritmusleíró eszközök fajtái.</w:t>
            </w:r>
          </w:p>
        </w:tc>
      </w:tr>
      <w:tr w:rsidR="004C2997">
        <w:tblPrEx>
          <w:tblCellMar>
            <w:top w:w="0" w:type="dxa"/>
            <w:left w:w="107" w:type="dxa"/>
            <w:bottom w:w="0" w:type="dxa"/>
            <w:right w:w="107" w:type="dxa"/>
          </w:tblCellMar>
        </w:tblPrEx>
        <w:trPr>
          <w:cantSplit/>
        </w:trPr>
        <w:tc>
          <w:tcPr>
            <w:tcW w:w="2782" w:type="dxa"/>
            <w:gridSpan w:val="3"/>
            <w:tcBorders>
              <w:top w:val="single" w:sz="6" w:space="0" w:color="auto"/>
              <w:left w:val="single" w:sz="4"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Programozási nyelv</w:t>
            </w:r>
          </w:p>
        </w:tc>
        <w:tc>
          <w:tcPr>
            <w:tcW w:w="6290" w:type="dxa"/>
            <w:tcBorders>
              <w:top w:val="single" w:sz="6" w:space="0" w:color="auto"/>
              <w:left w:val="single" w:sz="6" w:space="0" w:color="auto"/>
              <w:bottom w:val="single" w:sz="6"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programozási nyelv részbeni (specialitások nélküli)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Ettől jelentősen eltérő néhány nyelv alapgondolata.</w:t>
            </w:r>
          </w:p>
        </w:tc>
      </w:tr>
      <w:tr w:rsidR="004C2997">
        <w:tblPrEx>
          <w:tblCellMar>
            <w:top w:w="0" w:type="dxa"/>
            <w:left w:w="107" w:type="dxa"/>
            <w:bottom w:w="0" w:type="dxa"/>
            <w:right w:w="107" w:type="dxa"/>
          </w:tblCellMar>
        </w:tblPrEx>
        <w:trPr>
          <w:cantSplit/>
          <w:trHeight w:val="472"/>
        </w:trPr>
        <w:tc>
          <w:tcPr>
            <w:tcW w:w="2782" w:type="dxa"/>
            <w:gridSpan w:val="3"/>
            <w:tcBorders>
              <w:top w:val="single" w:sz="6" w:space="0" w:color="auto"/>
              <w:left w:val="single" w:sz="4"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Programnyelvi fejlesztői környezet</w:t>
            </w:r>
          </w:p>
        </w:tc>
        <w:tc>
          <w:tcPr>
            <w:tcW w:w="6290" w:type="dxa"/>
            <w:tcBorders>
              <w:top w:val="single" w:sz="6" w:space="0" w:color="auto"/>
              <w:left w:val="single" w:sz="6" w:space="0" w:color="auto"/>
              <w:bottom w:val="single" w:sz="6"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Kódolási, szerkesztési, kipróbálási eszközök valamilyen programnyelvi fejlesztői környezetben.</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TESTNEVELÉS</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szóbeli és gyakorlati.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szóbeli és gyakorlati.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testnevelés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tárgy jellegéből következik, hogy a testkultúra értékeinek felismerésével és elsajátításával, illetve a mozgások megjelenítésével és teljesítményszintjével kapcsolatos követelmények külön kompetenciaként jelennek meg a követelményekben. A tanult sportági csoportok és a testkultúra különböző területei külön témaköröket fednek le.</w:t>
      </w:r>
    </w:p>
    <w:p w:rsidR="004C2997" w:rsidRDefault="004C2997" w:rsidP="004C2997">
      <w:pPr>
        <w:autoSpaceDE w:val="0"/>
        <w:autoSpaceDN w:val="0"/>
        <w:adjustRightInd w:val="0"/>
        <w:spacing w:after="0" w:line="240" w:lineRule="auto"/>
        <w:jc w:val="both"/>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testnevelés érettségi vizsga célja annak megállapítása, hogy a vizsgázó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az iskolai testnevelésben tanult sportágak technikájának teljesítményhez kötött bemutatására;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testi képességekhez kapcsolódó ismeretek alkotó felhasználásával;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az egészséges életmódhoz kapcsolódó ismeretek felhasználására és átadására;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az egyéni és társasjátékok, sporttevékenységek szervezéséhez szükséges ismeretekkel, képes-e ezek átadására és bemutatására;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képes-e a mozgás – kommunikáció alkalmazására. </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Célja továbbá annak megállapítása, hogy a vizsgázó ismeri és tudja-e értelmezni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értelmezni tudja-e a kultúra és a testkultúra kapcsolatrendszerét és a biológiai fejlődéssel összhangban a mozgásigény és mozgásszükséglet alakulását;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önálló testedzés elméleti és gyakorlati alapjait,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testi képességek és a  mozgásműveltség sokoldalú fejlesztésének lehetőségeit,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tudja-e értelmezni a testi és lelki egészség megőrzésére vonatkozó lehetőségeket, a higiénés szokások jelentőségét;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magyar sportsikereket és tudja-e értelmezni az olimpiai eszmét.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2410"/>
        <w:gridCol w:w="6662"/>
      </w:tblGrid>
      <w:tr w:rsidR="004C2997">
        <w:tblPrEx>
          <w:tblCellMar>
            <w:top w:w="0" w:type="dxa"/>
            <w:bottom w:w="0" w:type="dxa"/>
          </w:tblCellMar>
        </w:tblPrEx>
        <w:tc>
          <w:tcPr>
            <w:tcW w:w="2410" w:type="dxa"/>
            <w:tcBorders>
              <w:top w:val="single" w:sz="4" w:space="0" w:color="auto"/>
              <w:left w:val="single" w:sz="4" w:space="0" w:color="auto"/>
              <w:bottom w:val="single" w:sz="4" w:space="0" w:color="auto"/>
              <w:right w:val="single" w:sz="6" w:space="0" w:color="auto"/>
            </w:tcBorders>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Kompetenciák/</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6662" w:type="dxa"/>
            <w:tcBorders>
              <w:top w:val="single" w:sz="4" w:space="0" w:color="auto"/>
              <w:left w:val="single" w:sz="6" w:space="0" w:color="auto"/>
              <w:bottom w:val="single" w:sz="4" w:space="0" w:color="auto"/>
              <w:right w:val="single" w:sz="4" w:space="0" w:color="auto"/>
            </w:tcBorders>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c>
          <w:tcPr>
            <w:tcW w:w="9072" w:type="dxa"/>
            <w:gridSpan w:val="2"/>
            <w:tcBorders>
              <w:top w:val="nil"/>
              <w:left w:val="single" w:sz="6" w:space="0" w:color="auto"/>
              <w:bottom w:val="single" w:sz="6" w:space="0" w:color="auto"/>
              <w:right w:val="single" w:sz="6" w:space="0" w:color="auto"/>
            </w:tcBorders>
            <w:vAlign w:val="center"/>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Elméleti ismeretek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magyar sportsikerek </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Tájékozottság a helyi tantervben szereplő sportágak jelentősebb hazai eredményeiről.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legnevesebb magyar olimpiai bajnokok sportágai és eredményei.</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harmonikus testi fejlődés</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testi fejlődés legfontosabb életkori mutatóinak alakulása. </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egészséges életmód</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Tájékozottság bizonyítása az egészséges életmód kialakításához szükséges alapvető ismeretekben.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egészséges életmód összetevőinek értelmezése. </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Testi képességek</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kondicionális alapképességek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erőfejlesztés szabályai.</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Gimnasztika</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bemelegítés szerepének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Gyakorlatok javaslata a képességek fejlesztésére és a testtartás javítására.</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Atlétika</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tanult atlétikai futó-, ugró- és dobóversenyszámok.</w:t>
            </w:r>
          </w:p>
        </w:tc>
      </w:tr>
      <w:tr w:rsidR="004C2997">
        <w:tblPrEx>
          <w:tblCellMar>
            <w:top w:w="0" w:type="dxa"/>
            <w:bottom w:w="0" w:type="dxa"/>
          </w:tblCellMar>
        </w:tblPrEx>
        <w:tc>
          <w:tcPr>
            <w:tcW w:w="2410"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Torna</w:t>
            </w:r>
          </w:p>
        </w:tc>
        <w:tc>
          <w:tcPr>
            <w:tcW w:w="6662"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női és férfi tornaszerek.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legfontosabb baleset megelőző eljárások.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Ritmikus gimnasztika </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RG versenyszámai.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Mozgás és zene kapcsolata.</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Küzdősportok, önvédelem</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Küzdőjátékok felsorolása különböző életkorú tanulók részére. </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Úszás</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úszás higiénéjének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úszás az emeber életében.</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Testnevelés és sportjátékok</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Labdajáték előkészítő játékok felsorolása.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Egy választott sportjáték játékszabályainak értelmezése. </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Természetben űzhető sportok</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választott sportág jellegzetességeinek és legfontosabb szabályainak ismertetése (sí, kerékpár, természetjárás, evezés).</w:t>
            </w: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Gyakorlati ismeretek</w:t>
            </w:r>
          </w:p>
        </w:tc>
      </w:tr>
      <w:tr w:rsidR="004C2997">
        <w:tblPrEx>
          <w:tblCellMar>
            <w:top w:w="0" w:type="dxa"/>
            <w:bottom w:w="0" w:type="dxa"/>
          </w:tblCellMar>
        </w:tblPrEx>
        <w:tc>
          <w:tcPr>
            <w:tcW w:w="2410"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Gimnasztika</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Leányok: kötélmászás állásból teljes magasságig mászókulcsolással.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Fiúk: függeszkedés állásból teljes magasságig.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48 ütemű szabadgyakorlat bemutatása.</w:t>
            </w:r>
          </w:p>
        </w:tc>
      </w:tr>
      <w:tr w:rsidR="004C2997">
        <w:tblPrEx>
          <w:tblCellMar>
            <w:top w:w="0" w:type="dxa"/>
            <w:bottom w:w="0" w:type="dxa"/>
          </w:tblCellMar>
        </w:tblPrEx>
        <w:tc>
          <w:tcPr>
            <w:tcW w:w="2410"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Atlétika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Futások</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választott futószám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60 méteres síkfutás térdelőrajttal.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Lányok minimum idő: 9,8 sec.</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Fiuk minimum idő: 8,8 sec.</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2000 m síkfutás.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Minimum idő: lányok: 10,30 perc, fiúk 9,00 perc.</w:t>
            </w:r>
          </w:p>
        </w:tc>
      </w:tr>
      <w:tr w:rsidR="004C2997">
        <w:tblPrEx>
          <w:tblCellMar>
            <w:top w:w="0" w:type="dxa"/>
            <w:bottom w:w="0" w:type="dxa"/>
          </w:tblCellMar>
        </w:tblPrEx>
        <w:tc>
          <w:tcPr>
            <w:tcW w:w="2410"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Ugrások</w:t>
            </w:r>
          </w:p>
        </w:tc>
        <w:tc>
          <w:tcPr>
            <w:tcW w:w="6662"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választott ugrószám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Magasugrás választott technikával.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Lányok minimum magasság: 110 cm.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Fiúk 125 cm.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Távolugrás választott technikával.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Lányok minimum 330 cm.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Fiúk 410 cm.</w:t>
            </w:r>
          </w:p>
        </w:tc>
      </w:tr>
      <w:tr w:rsidR="004C2997">
        <w:tblPrEx>
          <w:tblCellMar>
            <w:top w:w="0" w:type="dxa"/>
            <w:bottom w:w="0" w:type="dxa"/>
          </w:tblCellMar>
        </w:tblPrEx>
        <w:tc>
          <w:tcPr>
            <w:tcW w:w="2410"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Dobások</w:t>
            </w:r>
          </w:p>
        </w:tc>
        <w:tc>
          <w:tcPr>
            <w:tcW w:w="6662"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Kislabdahajítás vagy súlylökés választott technikával.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Minimum szintek: Lányok: Kislabda hajítás: 20 m,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súlylökés: 5,5 m.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Szerek súlya: normál kislabda, súlygolyó 4 kg.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Fiúk: Minimum szintek: Kislabda hajítás: 30 m, súlylökés 7,5 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Szerek súlya: normál kislabda, súlygolyó 6,00 kg.</w:t>
            </w:r>
          </w:p>
        </w:tc>
      </w:tr>
      <w:tr w:rsidR="004C2997">
        <w:tblPrEx>
          <w:tblCellMar>
            <w:top w:w="0" w:type="dxa"/>
            <w:bottom w:w="0" w:type="dxa"/>
          </w:tblCellMar>
        </w:tblPrEx>
        <w:tc>
          <w:tcPr>
            <w:tcW w:w="2410"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Torna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Talajtorna</w:t>
            </w:r>
          </w:p>
        </w:tc>
        <w:tc>
          <w:tcPr>
            <w:tcW w:w="6662"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talaj- és a szekrényugrás bemutatása kötelező, egy szer kötelezően választható.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Öt különböző gyakorlatelemből összefüggő gyakorlat összeállítása és bemutatása, kötelező elemek felhasználásával</w:t>
            </w:r>
          </w:p>
        </w:tc>
      </w:tr>
      <w:tr w:rsidR="004C2997">
        <w:tblPrEx>
          <w:tblCellMar>
            <w:top w:w="0" w:type="dxa"/>
            <w:bottom w:w="0" w:type="dxa"/>
          </w:tblCellMar>
        </w:tblPrEx>
        <w:tc>
          <w:tcPr>
            <w:tcW w:w="2410"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Szekrényugrás</w:t>
            </w:r>
          </w:p>
        </w:tc>
        <w:tc>
          <w:tcPr>
            <w:tcW w:w="6662"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tanult támaszugrás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Lányok 4 részes széltében állított, fiúk 5 részes hosszában felállított szekrényen.</w:t>
            </w:r>
          </w:p>
        </w:tc>
      </w:tr>
      <w:tr w:rsidR="004C2997">
        <w:tblPrEx>
          <w:tblCellMar>
            <w:top w:w="0" w:type="dxa"/>
            <w:bottom w:w="0" w:type="dxa"/>
          </w:tblCellMar>
        </w:tblPrEx>
        <w:tc>
          <w:tcPr>
            <w:tcW w:w="2410"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Felemáskorlát</w:t>
            </w:r>
          </w:p>
        </w:tc>
        <w:tc>
          <w:tcPr>
            <w:tcW w:w="6662"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Négy különböző elemből álló összefüggő gyakorlat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kötelező elemek felhasználásával.</w:t>
            </w:r>
          </w:p>
        </w:tc>
      </w:tr>
      <w:tr w:rsidR="004C2997">
        <w:tblPrEx>
          <w:tblCellMar>
            <w:top w:w="0" w:type="dxa"/>
            <w:bottom w:w="0" w:type="dxa"/>
          </w:tblCellMar>
        </w:tblPrEx>
        <w:tc>
          <w:tcPr>
            <w:tcW w:w="2410" w:type="dxa"/>
            <w:tcBorders>
              <w:top w:val="nil"/>
              <w:left w:val="single" w:sz="6"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Gerenda</w:t>
            </w:r>
          </w:p>
        </w:tc>
        <w:tc>
          <w:tcPr>
            <w:tcW w:w="6662" w:type="dxa"/>
            <w:tcBorders>
              <w:top w:val="nil"/>
              <w:left w:val="single" w:sz="6"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Öt különböző elemből álló összefüggő gyakorlat bemutatása, kötelező elemek felhasználásával .</w:t>
            </w:r>
          </w:p>
        </w:tc>
      </w:tr>
      <w:tr w:rsidR="004C2997">
        <w:tblPrEx>
          <w:tblCellMar>
            <w:top w:w="0" w:type="dxa"/>
            <w:bottom w:w="0" w:type="dxa"/>
          </w:tblCellMar>
        </w:tblPrEx>
        <w:trPr>
          <w:trHeight w:val="480"/>
        </w:trPr>
        <w:tc>
          <w:tcPr>
            <w:tcW w:w="2410"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Ritmikus gimnasztika</w:t>
            </w:r>
          </w:p>
        </w:tc>
        <w:tc>
          <w:tcPr>
            <w:tcW w:w="6662"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Különböző elemekből álló összefüggő szabad gyakorlat bemutatása (a gyakorlat ideje  35-45 sec), javasolt elemek felhasználásával.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választott kéziszerrel (labda, karika, kötél) 3 elem bemutatása.</w:t>
            </w:r>
          </w:p>
        </w:tc>
      </w:tr>
      <w:tr w:rsidR="004C2997">
        <w:tblPrEx>
          <w:tblCellMar>
            <w:top w:w="0" w:type="dxa"/>
            <w:bottom w:w="0" w:type="dxa"/>
          </w:tblCellMar>
        </w:tblPrEx>
        <w:trPr>
          <w:trHeight w:val="480"/>
        </w:trPr>
        <w:tc>
          <w:tcPr>
            <w:tcW w:w="2410"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Gyűrű</w:t>
            </w:r>
          </w:p>
        </w:tc>
        <w:tc>
          <w:tcPr>
            <w:tcW w:w="6662"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Négy különböző elemből álló összefüggő gyakorlat bemutatása, kötelező elemek felhasználásával.</w:t>
            </w:r>
          </w:p>
        </w:tc>
      </w:tr>
      <w:tr w:rsidR="004C2997">
        <w:tblPrEx>
          <w:tblCellMar>
            <w:top w:w="0" w:type="dxa"/>
            <w:bottom w:w="0" w:type="dxa"/>
          </w:tblCellMar>
        </w:tblPrEx>
        <w:trPr>
          <w:trHeight w:val="480"/>
        </w:trPr>
        <w:tc>
          <w:tcPr>
            <w:tcW w:w="2410"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Nyújtó</w:t>
            </w:r>
          </w:p>
        </w:tc>
        <w:tc>
          <w:tcPr>
            <w:tcW w:w="6662"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Négy különböző elemből álló összefüggő gyakorlat bemutatása, kötelező elemek felhasználásával.</w:t>
            </w:r>
          </w:p>
        </w:tc>
      </w:tr>
      <w:tr w:rsidR="004C2997">
        <w:tblPrEx>
          <w:tblCellMar>
            <w:top w:w="0" w:type="dxa"/>
            <w:bottom w:w="0" w:type="dxa"/>
          </w:tblCellMar>
        </w:tblPrEx>
        <w:trPr>
          <w:trHeight w:val="480"/>
        </w:trPr>
        <w:tc>
          <w:tcPr>
            <w:tcW w:w="2410" w:type="dxa"/>
            <w:tcBorders>
              <w:top w:val="nil"/>
              <w:left w:val="single" w:sz="6"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Korlát</w:t>
            </w:r>
          </w:p>
        </w:tc>
        <w:tc>
          <w:tcPr>
            <w:tcW w:w="6662" w:type="dxa"/>
            <w:tcBorders>
              <w:top w:val="nil"/>
              <w:left w:val="single" w:sz="6"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Négy különböző elemből álló összefüggő gyakorlat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kötelező elemek felhasználásával.</w:t>
            </w:r>
          </w:p>
        </w:tc>
      </w:tr>
      <w:tr w:rsidR="004C2997">
        <w:tblPrEx>
          <w:tblCellMar>
            <w:top w:w="0" w:type="dxa"/>
            <w:bottom w:w="0" w:type="dxa"/>
          </w:tblCellMar>
        </w:tblPrEx>
        <w:trPr>
          <w:trHeight w:val="480"/>
        </w:trPr>
        <w:tc>
          <w:tcPr>
            <w:tcW w:w="2410" w:type="dxa"/>
            <w:tcBorders>
              <w:top w:val="single" w:sz="4"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Küzdősportok, önvédelem</w:t>
            </w:r>
          </w:p>
        </w:tc>
        <w:tc>
          <w:tcPr>
            <w:tcW w:w="6662" w:type="dxa"/>
            <w:tcBorders>
              <w:top w:val="single" w:sz="4"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Grundbirkózás, értékelés a grundbirkózás szabályai szerint.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Judo gurulás előre. </w:t>
            </w:r>
          </w:p>
        </w:tc>
      </w:tr>
      <w:tr w:rsidR="004C2997">
        <w:tblPrEx>
          <w:tblCellMar>
            <w:top w:w="0" w:type="dxa"/>
            <w:bottom w:w="0" w:type="dxa"/>
          </w:tblCellMar>
        </w:tblPrEx>
        <w:trPr>
          <w:trHeight w:val="480"/>
        </w:trPr>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Úszás</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választott úszásnemben 50 m úszás.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Egy további úszásnemben 25 méter leúszása. </w:t>
            </w:r>
          </w:p>
        </w:tc>
      </w:tr>
      <w:tr w:rsidR="004C2997">
        <w:tblPrEx>
          <w:tblCellMar>
            <w:top w:w="0" w:type="dxa"/>
            <w:bottom w:w="0" w:type="dxa"/>
          </w:tblCellMar>
        </w:tblPrEx>
        <w:trPr>
          <w:trHeight w:val="480"/>
        </w:trPr>
        <w:tc>
          <w:tcPr>
            <w:tcW w:w="2410"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Testnevelés és sportjátékok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Kézilabda </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Egy sportjáték választása kötelező.</w:t>
            </w:r>
          </w:p>
          <w:p w:rsidR="004C2997" w:rsidRDefault="004C2997">
            <w:pPr>
              <w:autoSpaceDE w:val="0"/>
              <w:autoSpaceDN w:val="0"/>
              <w:adjustRightInd w:val="0"/>
              <w:spacing w:after="0" w:line="240" w:lineRule="auto"/>
              <w:rPr>
                <w:rFonts w:ascii="Times New Roman" w:hAnsi="Times New Roman" w:cs="Times New Roman"/>
                <w:i/>
                <w:iCs/>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Kapuralövés gyorsindítás után (társtól visszakapott labdával labdavezetés, passzív védő mellett beugrásos lövés).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Távolbadobás tetszőleges lendületszerzéssel kézilabdával.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Lányok: minimum 15 méter, fiúk 21 méter.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7 méteres büntető dobás.</w:t>
            </w:r>
          </w:p>
        </w:tc>
      </w:tr>
      <w:tr w:rsidR="004C2997">
        <w:tblPrEx>
          <w:tblCellMar>
            <w:top w:w="0" w:type="dxa"/>
            <w:bottom w:w="0" w:type="dxa"/>
          </w:tblCellMar>
        </w:tblPrEx>
        <w:trPr>
          <w:trHeight w:val="480"/>
        </w:trPr>
        <w:tc>
          <w:tcPr>
            <w:tcW w:w="2410"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 Kosárlabda </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Mindkét oldalra végrehajtott, félpályáról kétkezes mellső átadás a büntető vonal magasságában az oldalvonalnál álló társnak, cselezés után futás a kosár felé, a visszakapott labdával labda leütés nélkül fektetett dobás.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Büntetődobás egy vagy két kézzel.</w:t>
            </w:r>
          </w:p>
        </w:tc>
      </w:tr>
      <w:tr w:rsidR="004C2997">
        <w:tblPrEx>
          <w:tblCellMar>
            <w:top w:w="0" w:type="dxa"/>
            <w:bottom w:w="0" w:type="dxa"/>
          </w:tblCellMar>
        </w:tblPrEx>
        <w:trPr>
          <w:trHeight w:val="480"/>
        </w:trPr>
        <w:tc>
          <w:tcPr>
            <w:tcW w:w="2410"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Labdarúgás </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Labdaemelgetés váltogatott lábbal.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Minimum: Lányok: 4, fiúk 8 db.</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Slalom labdavezetésből kapuralövés. (Slalompálya hossza 10 méter, 5 kapu egyenlő távolságra, lövés 10 méterről kézilabda kapura.)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Összetett gyakorlat: falra rálőtt és visszapattanó labda kapura lövése</w:t>
            </w:r>
          </w:p>
        </w:tc>
      </w:tr>
      <w:tr w:rsidR="004C2997">
        <w:tblPrEx>
          <w:tblCellMar>
            <w:top w:w="0" w:type="dxa"/>
            <w:bottom w:w="0" w:type="dxa"/>
          </w:tblCellMar>
        </w:tblPrEx>
        <w:trPr>
          <w:trHeight w:val="480"/>
        </w:trPr>
        <w:tc>
          <w:tcPr>
            <w:tcW w:w="2410" w:type="dxa"/>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Röplabda </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Kosárérintés és alkarérintés fej fölé folyamatosan.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Minimum szint: kosárérintésnél 5, alkarérintésnél 4 db érintés.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Nyitás választott technikával.</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2268"/>
        <w:gridCol w:w="6946"/>
      </w:tblGrid>
      <w:tr w:rsidR="004C2997">
        <w:tblPrEx>
          <w:tblCellMar>
            <w:top w:w="0" w:type="dxa"/>
            <w:bottom w:w="0" w:type="dxa"/>
          </w:tblCellMar>
        </w:tblPrEx>
        <w:trPr>
          <w:cantSplit/>
        </w:trPr>
        <w:tc>
          <w:tcPr>
            <w:tcW w:w="2268" w:type="dxa"/>
            <w:tcBorders>
              <w:top w:val="single" w:sz="4" w:space="0" w:color="auto"/>
              <w:left w:val="single" w:sz="4" w:space="0" w:color="auto"/>
              <w:bottom w:val="single" w:sz="4" w:space="0" w:color="auto"/>
              <w:right w:val="single" w:sz="6" w:space="0" w:color="auto"/>
            </w:tcBorders>
            <w:shd w:val="pct25" w:color="auto" w:fill="auto"/>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Kompetenciák/ </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6946" w:type="dxa"/>
            <w:tcBorders>
              <w:top w:val="single" w:sz="4" w:space="0" w:color="auto"/>
              <w:left w:val="single" w:sz="6" w:space="0" w:color="auto"/>
              <w:bottom w:val="single" w:sz="4" w:space="0" w:color="auto"/>
              <w:right w:val="single" w:sz="4" w:space="0" w:color="auto"/>
            </w:tcBorders>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214" w:type="dxa"/>
            <w:gridSpan w:val="2"/>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Elméleti ismeretek</w:t>
            </w:r>
          </w:p>
        </w:tc>
      </w:tr>
      <w:tr w:rsidR="004C2997">
        <w:tblPrEx>
          <w:tblCellMar>
            <w:top w:w="0" w:type="dxa"/>
            <w:bottom w:w="0" w:type="dxa"/>
          </w:tblCellMar>
        </w:tblPrEx>
        <w:trPr>
          <w:cantSplit/>
        </w:trPr>
        <w:tc>
          <w:tcPr>
            <w:tcW w:w="2268"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magyar sportsikerek </w:t>
            </w:r>
          </w:p>
        </w:tc>
        <w:tc>
          <w:tcPr>
            <w:tcW w:w="6946"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Tájékozottság a helyi tantervben szereplő sportágak jelentősebb hazai és nemzetközi eredményeiről.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olimpiai bajnokok sportágainak és eredményeinek ismerete, tájékozottság a magyar érdekeltségű sporteredményekben.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olimpiai eszme fogalmának értelmezése.</w:t>
            </w:r>
          </w:p>
        </w:tc>
      </w:tr>
      <w:tr w:rsidR="004C2997">
        <w:tblPrEx>
          <w:tblCellMar>
            <w:top w:w="0" w:type="dxa"/>
            <w:bottom w:w="0" w:type="dxa"/>
          </w:tblCellMar>
        </w:tblPrEx>
        <w:trPr>
          <w:cantSplit/>
        </w:trPr>
        <w:tc>
          <w:tcPr>
            <w:tcW w:w="2268"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harmonikus testi fejlődés</w:t>
            </w:r>
          </w:p>
        </w:tc>
        <w:tc>
          <w:tcPr>
            <w:tcW w:w="6946"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testi fejlődés legfontosabb életkori mutatóinak alakulása.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serdülőkor jellemzése.</w:t>
            </w:r>
          </w:p>
        </w:tc>
      </w:tr>
      <w:tr w:rsidR="004C2997">
        <w:tblPrEx>
          <w:tblCellMar>
            <w:top w:w="0" w:type="dxa"/>
            <w:bottom w:w="0" w:type="dxa"/>
          </w:tblCellMar>
        </w:tblPrEx>
        <w:trPr>
          <w:cantSplit/>
        </w:trPr>
        <w:tc>
          <w:tcPr>
            <w:tcW w:w="2268"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Egészséges életmód</w:t>
            </w:r>
          </w:p>
        </w:tc>
        <w:tc>
          <w:tcPr>
            <w:tcW w:w="6946"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Tájékozottság bizonyítása az egészséges életmód kialakításához szükséges alapvető ismeretekben: Az egészségkárosító szokások hatásai, a lelki egyensúly.</w:t>
            </w:r>
          </w:p>
        </w:tc>
      </w:tr>
      <w:tr w:rsidR="004C2997">
        <w:tblPrEx>
          <w:tblCellMar>
            <w:top w:w="0" w:type="dxa"/>
            <w:bottom w:w="0" w:type="dxa"/>
          </w:tblCellMar>
        </w:tblPrEx>
        <w:trPr>
          <w:cantSplit/>
        </w:trPr>
        <w:tc>
          <w:tcPr>
            <w:tcW w:w="2268"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Testi képességek</w:t>
            </w:r>
          </w:p>
        </w:tc>
        <w:tc>
          <w:tcPr>
            <w:tcW w:w="6946"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kondicionális és koordinációs alapképességek értelmezése, fejlesztésük különböző módszerei.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képességek szerepe a teljesítményben.</w:t>
            </w:r>
          </w:p>
        </w:tc>
      </w:tr>
      <w:tr w:rsidR="004C2997">
        <w:tblPrEx>
          <w:tblCellMar>
            <w:top w:w="0" w:type="dxa"/>
            <w:bottom w:w="0" w:type="dxa"/>
          </w:tblCellMar>
        </w:tblPrEx>
        <w:trPr>
          <w:cantSplit/>
        </w:trPr>
        <w:tc>
          <w:tcPr>
            <w:tcW w:w="2268"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Gimnasztika</w:t>
            </w:r>
          </w:p>
        </w:tc>
        <w:tc>
          <w:tcPr>
            <w:tcW w:w="6946"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gimnasztika hatása és kapcsolata a sportágakkal.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Gyakorlatok javaslata a testtartás javítására és a különböző kondicionális képességek fejlesztésére.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Társas-, kéziszer- és szergyakorlatok.</w:t>
            </w:r>
          </w:p>
        </w:tc>
      </w:tr>
      <w:tr w:rsidR="004C2997">
        <w:tblPrEx>
          <w:tblCellMar>
            <w:top w:w="0" w:type="dxa"/>
            <w:bottom w:w="0" w:type="dxa"/>
          </w:tblCellMar>
        </w:tblPrEx>
        <w:trPr>
          <w:cantSplit/>
        </w:trPr>
        <w:tc>
          <w:tcPr>
            <w:tcW w:w="2268"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Atlétika</w:t>
            </w:r>
          </w:p>
        </w:tc>
        <w:tc>
          <w:tcPr>
            <w:tcW w:w="6946"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tanult atlétikai futó-, ugró- és dobóversenyszámok.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tanult futások, ugrások, dobások összehasonlítása technikájuk, sebességük és a kondicionális képességek szempontjából.</w:t>
            </w:r>
          </w:p>
        </w:tc>
      </w:tr>
      <w:tr w:rsidR="004C2997">
        <w:tblPrEx>
          <w:tblCellMar>
            <w:top w:w="0" w:type="dxa"/>
            <w:bottom w:w="0" w:type="dxa"/>
          </w:tblCellMar>
        </w:tblPrEx>
        <w:trPr>
          <w:cantSplit/>
        </w:trPr>
        <w:tc>
          <w:tcPr>
            <w:tcW w:w="2268"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Torna</w:t>
            </w:r>
          </w:p>
        </w:tc>
        <w:tc>
          <w:tcPr>
            <w:tcW w:w="6946"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női és férfi torna versenyszámai, a különböző szereken végrehajtható alapelemek és a legfontosabb baleset megelőző eljárások.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tanult talaj- és szertorna elemek technikai végrehajtásának és a segítségnyújtás módjainak ismerete.</w:t>
            </w:r>
          </w:p>
        </w:tc>
      </w:tr>
      <w:tr w:rsidR="004C2997">
        <w:tblPrEx>
          <w:tblCellMar>
            <w:top w:w="0" w:type="dxa"/>
            <w:bottom w:w="0" w:type="dxa"/>
          </w:tblCellMar>
        </w:tblPrEx>
        <w:trPr>
          <w:cantSplit/>
        </w:trPr>
        <w:tc>
          <w:tcPr>
            <w:tcW w:w="2268"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Ritmikus gimnasztika </w:t>
            </w:r>
          </w:p>
        </w:tc>
        <w:tc>
          <w:tcPr>
            <w:tcW w:w="6946"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Az RG versenyszámainak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esztétikum szerepe a ritmikus gimnasztika, és más zenés sportágakban.</w:t>
            </w:r>
          </w:p>
        </w:tc>
      </w:tr>
      <w:tr w:rsidR="004C2997">
        <w:tblPrEx>
          <w:tblCellMar>
            <w:top w:w="0" w:type="dxa"/>
            <w:bottom w:w="0" w:type="dxa"/>
          </w:tblCellMar>
        </w:tblPrEx>
        <w:trPr>
          <w:cantSplit/>
        </w:trPr>
        <w:tc>
          <w:tcPr>
            <w:tcW w:w="2268"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Küzdősportok, önvédelem</w:t>
            </w:r>
          </w:p>
        </w:tc>
        <w:tc>
          <w:tcPr>
            <w:tcW w:w="6946"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Küzdőjátékok felsorolása különböző életkorú tanulók részére.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grundbirkózás szabályai.</w:t>
            </w:r>
          </w:p>
        </w:tc>
      </w:tr>
      <w:tr w:rsidR="004C2997">
        <w:tblPrEx>
          <w:tblCellMar>
            <w:top w:w="0" w:type="dxa"/>
            <w:bottom w:w="0" w:type="dxa"/>
          </w:tblCellMar>
        </w:tblPrEx>
        <w:trPr>
          <w:cantSplit/>
        </w:trPr>
        <w:tc>
          <w:tcPr>
            <w:tcW w:w="2268"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Úszás</w:t>
            </w:r>
          </w:p>
        </w:tc>
        <w:tc>
          <w:tcPr>
            <w:tcW w:w="6946"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úszás higiénéjének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úszásnem technikai végrehajtásának leírása.</w:t>
            </w:r>
          </w:p>
        </w:tc>
      </w:tr>
      <w:tr w:rsidR="004C2997">
        <w:tblPrEx>
          <w:tblCellMar>
            <w:top w:w="0" w:type="dxa"/>
            <w:bottom w:w="0" w:type="dxa"/>
          </w:tblCellMar>
        </w:tblPrEx>
        <w:trPr>
          <w:cantSplit/>
        </w:trPr>
        <w:tc>
          <w:tcPr>
            <w:tcW w:w="2268" w:type="dxa"/>
            <w:tcBorders>
              <w:top w:val="single" w:sz="6" w:space="0" w:color="auto"/>
              <w:left w:val="single" w:sz="6"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Testnevelés és sportjátékok</w:t>
            </w:r>
          </w:p>
        </w:tc>
        <w:tc>
          <w:tcPr>
            <w:tcW w:w="6946" w:type="dxa"/>
            <w:tcBorders>
              <w:top w:val="single" w:sz="6" w:space="0" w:color="auto"/>
              <w:left w:val="single" w:sz="6"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Labdajáték előkészítő játékok felsorolása.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Két választott sportjáték játékszabályainak értelmezése.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Támadó és védőjáték lehetőségeinek bemutatása egy választott sportjátékban.</w:t>
            </w:r>
          </w:p>
        </w:tc>
      </w:tr>
      <w:tr w:rsidR="004C2997">
        <w:tblPrEx>
          <w:tblCellMar>
            <w:top w:w="0" w:type="dxa"/>
            <w:bottom w:w="0" w:type="dxa"/>
          </w:tblCellMar>
        </w:tblPrEx>
        <w:tc>
          <w:tcPr>
            <w:tcW w:w="2268"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Természetben űzhető sportok</w:t>
            </w:r>
          </w:p>
        </w:tc>
        <w:tc>
          <w:tcPr>
            <w:tcW w:w="6946"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választott sportág jellegzetességeinek és legfontosabb szabályainak ismertetése (sí, kerékpár, természetjárás, evezés).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természetben végzett mozgások hatása az emberi szervezetre.</w:t>
            </w:r>
          </w:p>
        </w:tc>
      </w:tr>
      <w:tr w:rsidR="004C2997">
        <w:tblPrEx>
          <w:tblCellMar>
            <w:top w:w="0" w:type="dxa"/>
            <w:bottom w:w="0" w:type="dxa"/>
          </w:tblCellMar>
        </w:tblPrEx>
        <w:tc>
          <w:tcPr>
            <w:tcW w:w="9214"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Gyakorlati ismeretek</w:t>
            </w:r>
          </w:p>
        </w:tc>
      </w:tr>
      <w:tr w:rsidR="004C2997">
        <w:tblPrEx>
          <w:tblCellMar>
            <w:top w:w="0" w:type="dxa"/>
            <w:bottom w:w="0" w:type="dxa"/>
          </w:tblCellMar>
        </w:tblPrEx>
        <w:tc>
          <w:tcPr>
            <w:tcW w:w="2268"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Gimnasztika</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946"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Leányok: kötélmászás állásból teljes magasságig mászókulcsolással, ereszkedés </w:t>
            </w:r>
            <w:r>
              <w:rPr>
                <w:rFonts w:ascii="Times New Roman" w:hAnsi="Times New Roman" w:cs="Times New Roman"/>
                <w:sz w:val="20"/>
                <w:szCs w:val="20"/>
              </w:rPr>
              <w:lastRenderedPageBreak/>
              <w:t>függeszkedéssel állásba.  A feljutás minimum ideje: 9,7 sec. Fiúk: függeszkedés ülésből teljes magasságig minimum idő: 6,9 sec.</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64 ütemű szabad- vagy kéziszergyakorlat  bemutatása.</w:t>
            </w:r>
          </w:p>
        </w:tc>
      </w:tr>
      <w:tr w:rsidR="004C2997">
        <w:tblPrEx>
          <w:tblCellMar>
            <w:top w:w="0" w:type="dxa"/>
            <w:bottom w:w="0" w:type="dxa"/>
          </w:tblCellMar>
        </w:tblPrEx>
        <w:tc>
          <w:tcPr>
            <w:tcW w:w="2268"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Atlétika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Futások</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946"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60 méteres síkfutás térdelőrajttal.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Lányok minimum idő: 9,5 sec.</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Fiúk minimum idő: 8,4 sec.</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2000 m síkfutás.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Minimum idő: Lányok: 9,20 perc, fiúk 8,30 perc.</w:t>
            </w:r>
          </w:p>
        </w:tc>
      </w:tr>
      <w:tr w:rsidR="004C2997">
        <w:tblPrEx>
          <w:tblCellMar>
            <w:top w:w="0" w:type="dxa"/>
            <w:bottom w:w="0" w:type="dxa"/>
          </w:tblCellMar>
        </w:tblPrEx>
        <w:tc>
          <w:tcPr>
            <w:tcW w:w="2268"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Ugrások</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946"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Magasugrás flop vagy hasmánt technikával.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Lányok minimum magasság: 115 cm, fiúk 145 cm.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Távolugrás választott technikával.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Lányok minimum 380 cm, fiúk 480 cm.</w:t>
            </w:r>
          </w:p>
        </w:tc>
      </w:tr>
      <w:tr w:rsidR="004C2997">
        <w:tblPrEx>
          <w:tblCellMar>
            <w:top w:w="0" w:type="dxa"/>
            <w:bottom w:w="0" w:type="dxa"/>
          </w:tblCellMar>
        </w:tblPrEx>
        <w:tc>
          <w:tcPr>
            <w:tcW w:w="2268" w:type="dxa"/>
            <w:tcBorders>
              <w:top w:val="nil"/>
              <w:left w:val="single" w:sz="6"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Dobások</w:t>
            </w:r>
          </w:p>
        </w:tc>
        <w:tc>
          <w:tcPr>
            <w:tcW w:w="6946" w:type="dxa"/>
            <w:tcBorders>
              <w:top w:val="nil"/>
              <w:left w:val="single" w:sz="6"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Egy választott atlétikai dobószám bemutatása választott technikával.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Minimum szintek: Lányok:  Kislabda hajítás: 30 m,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súlylökés: 7,0 m, diszkoszvetés: 20 m, gerelyhajítás 20 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Szerek súlya: normál kislabda, súlygolyó 4 kg,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Diszkosz 1 kg, gerely 600 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Fiúk: Minimum szintek: Kislabda hajítás: 42 m, súlylökés 9 m, diszkoszvetés 28 m, gerelyhajítás 32 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Szerek súlya: normál kislabda, súlygolyó 6,25 kg, diszkosz 1,5 kg, gerely 800 g.</w:t>
            </w:r>
          </w:p>
        </w:tc>
      </w:tr>
      <w:tr w:rsidR="004C2997">
        <w:tblPrEx>
          <w:tblCellMar>
            <w:top w:w="0" w:type="dxa"/>
            <w:bottom w:w="0" w:type="dxa"/>
          </w:tblCellMar>
        </w:tblPrEx>
        <w:tc>
          <w:tcPr>
            <w:tcW w:w="2268"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Torna</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Talajtorna</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946"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talaj és a szekrényugrás bemutatása kötelező, egy szer kötelezően választható.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Kötelezően előírt, gyakorlat bemutatása. A gyakorlat időtartama 45–60 sec.</w:t>
            </w:r>
          </w:p>
        </w:tc>
      </w:tr>
      <w:tr w:rsidR="004C2997">
        <w:tblPrEx>
          <w:tblCellMar>
            <w:top w:w="0" w:type="dxa"/>
            <w:bottom w:w="0" w:type="dxa"/>
          </w:tblCellMar>
        </w:tblPrEx>
        <w:tc>
          <w:tcPr>
            <w:tcW w:w="2268"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Szekrényugrás</w:t>
            </w:r>
          </w:p>
        </w:tc>
        <w:tc>
          <w:tcPr>
            <w:tcW w:w="6946"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Guggoló átugrás lebegőtámasszal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Lányok 4 részes széltében állított, fiúk 5 részes hosszában felállított szekrényen.</w:t>
            </w:r>
          </w:p>
        </w:tc>
      </w:tr>
      <w:tr w:rsidR="004C2997">
        <w:tblPrEx>
          <w:tblCellMar>
            <w:top w:w="0" w:type="dxa"/>
            <w:bottom w:w="0" w:type="dxa"/>
          </w:tblCellMar>
        </w:tblPrEx>
        <w:tc>
          <w:tcPr>
            <w:tcW w:w="2268"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Felemáskorlát </w:t>
            </w:r>
          </w:p>
        </w:tc>
        <w:tc>
          <w:tcPr>
            <w:tcW w:w="6946" w:type="dxa"/>
            <w:tcBorders>
              <w:top w:val="nil"/>
              <w:left w:val="single" w:sz="6" w:space="0" w:color="auto"/>
              <w:bottom w:val="nil"/>
              <w:right w:val="single" w:sz="6" w:space="0" w:color="auto"/>
            </w:tcBorders>
            <w:vAlign w:val="center"/>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Minimum 5 elemű kötelezően előírt gyakorlat bemutatása.</w:t>
            </w:r>
          </w:p>
        </w:tc>
      </w:tr>
      <w:tr w:rsidR="004C2997">
        <w:tblPrEx>
          <w:tblCellMar>
            <w:top w:w="0" w:type="dxa"/>
            <w:bottom w:w="0" w:type="dxa"/>
          </w:tblCellMar>
        </w:tblPrEx>
        <w:tc>
          <w:tcPr>
            <w:tcW w:w="2268" w:type="dxa"/>
            <w:tcBorders>
              <w:top w:val="nil"/>
              <w:left w:val="single" w:sz="6" w:space="0" w:color="auto"/>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Gerenda </w:t>
            </w:r>
          </w:p>
        </w:tc>
        <w:tc>
          <w:tcPr>
            <w:tcW w:w="6946" w:type="dxa"/>
            <w:tcBorders>
              <w:top w:val="nil"/>
              <w:left w:val="single" w:sz="6" w:space="0" w:color="auto"/>
              <w:bottom w:val="single" w:sz="4" w:space="0" w:color="auto"/>
              <w:right w:val="single" w:sz="6" w:space="0" w:color="auto"/>
            </w:tcBorders>
            <w:vAlign w:val="center"/>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Minimum 5 elemű kötelezően előírt gyakorlat bemutatása.</w:t>
            </w:r>
          </w:p>
        </w:tc>
      </w:tr>
      <w:tr w:rsidR="004C2997">
        <w:tblPrEx>
          <w:tblCellMar>
            <w:top w:w="0" w:type="dxa"/>
            <w:bottom w:w="0" w:type="dxa"/>
          </w:tblCellMar>
        </w:tblPrEx>
        <w:tc>
          <w:tcPr>
            <w:tcW w:w="2268"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Ritmikus gimnasztika</w:t>
            </w:r>
          </w:p>
        </w:tc>
        <w:tc>
          <w:tcPr>
            <w:tcW w:w="6946"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Különböző elemekből álló összefüggő kéziszergyakorlat bemutatása (a gyakorlat ideje kb. 60 sec).</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kéziszer lehet: labda, karika, kötél, szalag, buzogány.</w:t>
            </w:r>
          </w:p>
        </w:tc>
      </w:tr>
      <w:tr w:rsidR="004C2997">
        <w:tblPrEx>
          <w:tblCellMar>
            <w:top w:w="0" w:type="dxa"/>
            <w:bottom w:w="0" w:type="dxa"/>
          </w:tblCellMar>
        </w:tblPrEx>
        <w:tc>
          <w:tcPr>
            <w:tcW w:w="2268"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Gyűrű</w:t>
            </w:r>
          </w:p>
        </w:tc>
        <w:tc>
          <w:tcPr>
            <w:tcW w:w="6946" w:type="dxa"/>
            <w:tcBorders>
              <w:top w:val="nil"/>
              <w:left w:val="single" w:sz="6" w:space="0" w:color="auto"/>
              <w:bottom w:val="nil"/>
              <w:right w:val="single" w:sz="6" w:space="0" w:color="auto"/>
            </w:tcBorders>
            <w:vAlign w:val="center"/>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Minimum 5 elemű kötelezően előírt gyakorlat bemutatása.</w:t>
            </w:r>
          </w:p>
        </w:tc>
      </w:tr>
      <w:tr w:rsidR="004C2997">
        <w:tblPrEx>
          <w:tblCellMar>
            <w:top w:w="0" w:type="dxa"/>
            <w:bottom w:w="0" w:type="dxa"/>
          </w:tblCellMar>
        </w:tblPrEx>
        <w:tc>
          <w:tcPr>
            <w:tcW w:w="2268"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Nyújtó</w:t>
            </w:r>
          </w:p>
        </w:tc>
        <w:tc>
          <w:tcPr>
            <w:tcW w:w="6946" w:type="dxa"/>
            <w:tcBorders>
              <w:top w:val="nil"/>
              <w:left w:val="single" w:sz="6" w:space="0" w:color="auto"/>
              <w:bottom w:val="nil"/>
              <w:right w:val="single" w:sz="6" w:space="0" w:color="auto"/>
            </w:tcBorders>
            <w:vAlign w:val="center"/>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Minimum 5 elemű kötelezően előírt gyakorlat bemutatása.</w:t>
            </w:r>
          </w:p>
        </w:tc>
      </w:tr>
      <w:tr w:rsidR="004C2997">
        <w:tblPrEx>
          <w:tblCellMar>
            <w:top w:w="0" w:type="dxa"/>
            <w:bottom w:w="0" w:type="dxa"/>
          </w:tblCellMar>
        </w:tblPrEx>
        <w:tc>
          <w:tcPr>
            <w:tcW w:w="2268" w:type="dxa"/>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Korlát</w:t>
            </w:r>
          </w:p>
        </w:tc>
        <w:tc>
          <w:tcPr>
            <w:tcW w:w="6946" w:type="dxa"/>
            <w:tcBorders>
              <w:top w:val="nil"/>
              <w:left w:val="single" w:sz="6" w:space="0" w:color="auto"/>
              <w:bottom w:val="single" w:sz="6" w:space="0" w:color="auto"/>
              <w:right w:val="single" w:sz="6" w:space="0" w:color="auto"/>
            </w:tcBorders>
            <w:vAlign w:val="center"/>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Minimum 5 elemű kötelezően előírt gyakorlat bemutatása.</w:t>
            </w:r>
          </w:p>
        </w:tc>
      </w:tr>
      <w:tr w:rsidR="004C2997">
        <w:tblPrEx>
          <w:tblCellMar>
            <w:top w:w="0" w:type="dxa"/>
            <w:bottom w:w="0" w:type="dxa"/>
          </w:tblCellMar>
        </w:tblPrEx>
        <w:tc>
          <w:tcPr>
            <w:tcW w:w="2268"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Küzdősportok, önvédelem</w:t>
            </w:r>
          </w:p>
        </w:tc>
        <w:tc>
          <w:tcPr>
            <w:tcW w:w="6946" w:type="dxa"/>
            <w:tcBorders>
              <w:top w:val="single" w:sz="6" w:space="0" w:color="auto"/>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birkózás vagy a judó alapelemeinek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Judo gurulás előre.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Grundbirkózás.</w:t>
            </w:r>
          </w:p>
        </w:tc>
      </w:tr>
      <w:tr w:rsidR="004C2997">
        <w:tblPrEx>
          <w:tblCellMar>
            <w:top w:w="0" w:type="dxa"/>
            <w:bottom w:w="0" w:type="dxa"/>
          </w:tblCellMar>
        </w:tblPrEx>
        <w:tc>
          <w:tcPr>
            <w:tcW w:w="2268"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Úszás</w:t>
            </w:r>
          </w:p>
        </w:tc>
        <w:tc>
          <w:tcPr>
            <w:tcW w:w="6946"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választott úszásnemben 50 m úszás.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Két másik úszásnemben 25 méter leúszása, szabályos rajtolással és fordulóval.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Vízből mentés előgyakorlata.</w:t>
            </w:r>
          </w:p>
        </w:tc>
      </w:tr>
      <w:tr w:rsidR="004C2997">
        <w:tblPrEx>
          <w:tblCellMar>
            <w:top w:w="0" w:type="dxa"/>
            <w:bottom w:w="0" w:type="dxa"/>
          </w:tblCellMar>
        </w:tblPrEx>
        <w:tc>
          <w:tcPr>
            <w:tcW w:w="2268"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Testnevelés és sportjátékok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Kézilabda </w:t>
            </w:r>
          </w:p>
        </w:tc>
        <w:tc>
          <w:tcPr>
            <w:tcW w:w="6946"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Két sportjáték választása kötelező.</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Kapuralövés gyorsindítás után (társtól visszakapott labdával labdavezetés, passzív védő mellett beugrásos lövés).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Távolbadobás tetszőleges lendületszerzéssel kézilabdával.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Lányok: minimum 20 méter, fiúk 28 méter.</w:t>
            </w:r>
          </w:p>
        </w:tc>
      </w:tr>
      <w:tr w:rsidR="004C2997">
        <w:tblPrEx>
          <w:tblCellMar>
            <w:top w:w="0" w:type="dxa"/>
            <w:bottom w:w="0" w:type="dxa"/>
          </w:tblCellMar>
        </w:tblPrEx>
        <w:tc>
          <w:tcPr>
            <w:tcW w:w="2268"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Kosárlabda</w:t>
            </w:r>
          </w:p>
        </w:tc>
        <w:tc>
          <w:tcPr>
            <w:tcW w:w="6946"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Mindkét oldalra végrehajtott, félpályáról kétkezes mellső átadás a büntető vonal előtt álló társnak, rövidcsel után a visszakapott labdával megállás, majd megindulás labdavezetéssel az adogató előtt és fektetett dobás.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büntető vonal tetszőleges sarkáról indulva rövidindulás tempódobás.</w:t>
            </w:r>
          </w:p>
        </w:tc>
      </w:tr>
      <w:tr w:rsidR="004C2997">
        <w:tblPrEx>
          <w:tblCellMar>
            <w:top w:w="0" w:type="dxa"/>
            <w:bottom w:w="0" w:type="dxa"/>
          </w:tblCellMar>
        </w:tblPrEx>
        <w:tc>
          <w:tcPr>
            <w:tcW w:w="2268"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Labdarúgás</w:t>
            </w:r>
          </w:p>
        </w:tc>
        <w:tc>
          <w:tcPr>
            <w:tcW w:w="6946"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Labdaemelgetés váltogatott lábbal.  Minimum: Lányok: 4, Fiúk: 10 db.</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Slalom labdavezetésből kapuralövés. (Slalompálya hossza 10 m, 5 kapu egyenlő távolságra, lövés 10 méterről kézilabda kapura.)</w:t>
            </w:r>
          </w:p>
        </w:tc>
      </w:tr>
      <w:tr w:rsidR="004C2997">
        <w:tblPrEx>
          <w:tblCellMar>
            <w:top w:w="0" w:type="dxa"/>
            <w:bottom w:w="0" w:type="dxa"/>
          </w:tblCellMar>
        </w:tblPrEx>
        <w:tc>
          <w:tcPr>
            <w:tcW w:w="2268" w:type="dxa"/>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Röplabda</w:t>
            </w:r>
          </w:p>
        </w:tc>
        <w:tc>
          <w:tcPr>
            <w:tcW w:w="6946" w:type="dxa"/>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Kosárérintés és alkarérintés, 3 méter magasság fölé falra, folyamatosan.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Minimum szint: Kosárérintésnél 6, alkarérintésnél 4 db érintés.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Felső egyenes nyitás</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center"/>
        <w:rPr>
          <w:rFonts w:ascii="Times New Roman" w:hAnsi="Times New Roman" w:cs="Times New Roman"/>
          <w:b/>
          <w:bCs/>
          <w:sz w:val="24"/>
          <w:szCs w:val="24"/>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FILOZÓFIA</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írásbeli, szóbeli.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filozófia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középszintű vizsga célja annak megállapítása, hogy a vizsgázó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 tudja-e különböztetni a hétköznapi és a filozófiai gondolkodásmódot;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elsajátította-e a tartalmi követelményekben meghatározott alapismereteket (filozófiatörténeti vagy problémacentrikus kontextusban);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a tanult filozófiai alapfogalmakat, szakkifejezéseket alkalmazni;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logikusan érvelni, következtetéseit világos nyelvi formában előadni;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eredeti forrásból merített, rövid filozófiai szöveget értelmezni;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különböző filozófiai álláspontokat megkülönböztetni;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felismeri-e a kiemelt korszakok művészetének, tudományának és filozófiájának találkozási pontjait.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emelt szintű vizsga célja annak megállapítása, hogy</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hétköznapi problémát a filozófia szintjén megfogalmazni;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elsajátította a követelményekben meghatározott alapismereteket (filozófiatörténeti vagy problémacentrikus kontextusban);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alkalmazni a tanult filozófiai alapfogalmakat és képes-e azok többrétegű értelmezésére;</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logikusan érvelni, következtetéseit világos nyelvi formában előadni;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eredeti forrásból merített filozófiai szöveget értelmezni;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az önálló kérdésfeltevésre és véleményalkotásra;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meghatározott filozófiai problémára adott válaszok összehasonlítására;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rá tud-e mutatni egy korszak művészetének, tudományának és filozófiájának találkozási pontjaira;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a válaszok sokféleségében kronológiailag tájékozódni.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követelményrendszerben szereplő három nagy témakör egyike sem tartalmaz új ismereteket a többihez képest, hanem ezek más szempontú elrendezését jelenti. A felsorolt filozófusok a megjelölt filozófiai problémák reprezentánsai, a megadott korszakok és irányzatok kiemelkedő képviselői.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52"/>
        <w:gridCol w:w="6520"/>
      </w:tblGrid>
      <w:tr w:rsidR="004C2997">
        <w:tblPrEx>
          <w:tblCellMar>
            <w:top w:w="0" w:type="dxa"/>
            <w:bottom w:w="0" w:type="dxa"/>
          </w:tblCellMar>
        </w:tblPrEx>
        <w:tc>
          <w:tcPr>
            <w:tcW w:w="2552" w:type="dxa"/>
            <w:shd w:val="pct25" w:color="auto" w:fill="auto"/>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Témakörök</w:t>
            </w:r>
          </w:p>
        </w:tc>
        <w:tc>
          <w:tcPr>
            <w:tcW w:w="6520" w:type="dxa"/>
            <w:shd w:val="pct25" w:color="auto" w:fill="auto"/>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sz w:val="20"/>
                <w:szCs w:val="20"/>
              </w:rPr>
            </w:pPr>
            <w:r>
              <w:rPr>
                <w:rFonts w:ascii="Times New Roman" w:hAnsi="Times New Roman" w:cs="Times New Roman"/>
                <w:sz w:val="20"/>
                <w:szCs w:val="20"/>
              </w:rPr>
              <w:t>Filozófiai problémák</w:t>
            </w:r>
          </w:p>
        </w:tc>
      </w:tr>
      <w:tr w:rsidR="004C2997">
        <w:tblPrEx>
          <w:tblCellMar>
            <w:top w:w="0" w:type="dxa"/>
            <w:bottom w:w="0" w:type="dxa"/>
          </w:tblCellMar>
        </w:tblPrEx>
        <w:tc>
          <w:tcPr>
            <w:tcW w:w="255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5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probléma lényegének megértése és bemutatása egy-két konkrét filozófiai válasz tükrében: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 a filozófia?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létre vonatkozó kérdés.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Test-lélek probléma.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Megismerhetőség, igazság, bizonyosság.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én problémája.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Végesség emberi problémája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érték problémája: a jó és a szép.</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szabadság kérdése.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környezet-és bioetika problémái.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Globalizáció  és társadalom.</w:t>
            </w: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sz w:val="20"/>
                <w:szCs w:val="20"/>
              </w:rPr>
            </w:pPr>
            <w:r>
              <w:rPr>
                <w:rFonts w:ascii="Times New Roman" w:hAnsi="Times New Roman" w:cs="Times New Roman"/>
                <w:sz w:val="20"/>
                <w:szCs w:val="20"/>
              </w:rPr>
              <w:t>Filozófusok alapvető gondolatainak ismerete</w:t>
            </w:r>
          </w:p>
        </w:tc>
      </w:tr>
      <w:tr w:rsidR="004C2997">
        <w:tblPrEx>
          <w:tblCellMar>
            <w:top w:w="0" w:type="dxa"/>
            <w:bottom w:w="0" w:type="dxa"/>
          </w:tblCellMar>
        </w:tblPrEx>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5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Jellemző problémafelvetéseik, válaszaik ismerete, rövid szövegrészletük értelmezése.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Közülük 5 kötelező (Platón, Arisztotelész, Descartes, Kant, Nietzsche) és ezen kívül 4 kötelezően választható.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Szent Ágoston, Szent Tamás, Bacon, Locke, Hume, Hegel, Marx, Comte, Schopenhauer, Kierkegaard, Bergson, Heidegger, Wittgenstein, Sartre, Bécsi Kör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középkorból és a XX. századból egy-egy szerző kötelezően választandó.)</w:t>
            </w: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sz w:val="20"/>
                <w:szCs w:val="20"/>
              </w:rPr>
            </w:pPr>
            <w:r>
              <w:rPr>
                <w:rFonts w:ascii="Times New Roman" w:hAnsi="Times New Roman" w:cs="Times New Roman"/>
                <w:sz w:val="20"/>
                <w:szCs w:val="20"/>
              </w:rPr>
              <w:t>Korszakok, irányzatok</w:t>
            </w:r>
          </w:p>
        </w:tc>
      </w:tr>
      <w:tr w:rsidR="004C2997">
        <w:tblPrEx>
          <w:tblCellMar>
            <w:top w:w="0" w:type="dxa"/>
            <w:bottom w:w="0" w:type="dxa"/>
          </w:tblCellMar>
        </w:tblPrEx>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5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itt felsorolt korszakok és irányzatok a fentebb említett nevek és/vagy problémák összefüggésében: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Görög filozófia.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Felvilágosodás.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Életfilozófiák.</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52"/>
        <w:gridCol w:w="6520"/>
      </w:tblGrid>
      <w:tr w:rsidR="004C2997">
        <w:tblPrEx>
          <w:tblCellMar>
            <w:top w:w="0" w:type="dxa"/>
            <w:bottom w:w="0" w:type="dxa"/>
          </w:tblCellMar>
        </w:tblPrEx>
        <w:tc>
          <w:tcPr>
            <w:tcW w:w="2552" w:type="dxa"/>
            <w:shd w:val="pct25" w:color="auto" w:fill="auto"/>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Témakörök</w:t>
            </w:r>
          </w:p>
        </w:tc>
        <w:tc>
          <w:tcPr>
            <w:tcW w:w="6520" w:type="dxa"/>
            <w:shd w:val="pct25" w:color="auto" w:fill="auto"/>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sz w:val="20"/>
                <w:szCs w:val="20"/>
              </w:rPr>
            </w:pPr>
            <w:r>
              <w:rPr>
                <w:rFonts w:ascii="Times New Roman" w:hAnsi="Times New Roman" w:cs="Times New Roman"/>
                <w:sz w:val="20"/>
                <w:szCs w:val="20"/>
              </w:rPr>
              <w:t>Filozófiai problémák</w:t>
            </w:r>
          </w:p>
        </w:tc>
      </w:tr>
      <w:tr w:rsidR="004C2997">
        <w:tblPrEx>
          <w:tblCellMar>
            <w:top w:w="0" w:type="dxa"/>
            <w:bottom w:w="0" w:type="dxa"/>
          </w:tblCellMar>
        </w:tblPrEx>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5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probléma lényegének megértése és korszakban, irányzatban, illetve gondolati rendszerben való elhelyezése konkrét filozófiai válaszok tükrében: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 a filozófia?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létre vonatkozó kérdés.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Megismerhetőség, igazság, bizonyosság.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Test-lélek probléma.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én problémája.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idő filozófiai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végesség és a végtelenség.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érték problémája: a jó és a szép.</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szabadság kérdése.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Erkölcsi univerzalizmus és relativizmus.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környezet- és bioetika problémái.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Globalizáció és társadalom.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Hit és tudás.</w:t>
            </w: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sz w:val="20"/>
                <w:szCs w:val="20"/>
              </w:rPr>
            </w:pPr>
            <w:r>
              <w:rPr>
                <w:rFonts w:ascii="Times New Roman" w:hAnsi="Times New Roman" w:cs="Times New Roman"/>
                <w:sz w:val="20"/>
                <w:szCs w:val="20"/>
              </w:rPr>
              <w:t>Filozófusok alapvető gondolatainak ismerete</w:t>
            </w:r>
          </w:p>
        </w:tc>
      </w:tr>
      <w:tr w:rsidR="004C2997">
        <w:tblPrEx>
          <w:tblCellMar>
            <w:top w:w="0" w:type="dxa"/>
            <w:bottom w:w="0" w:type="dxa"/>
          </w:tblCellMar>
        </w:tblPrEx>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5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Jellemző problémáik és válaszaik ismerete; szövegrészletek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Kapcsolódásaik más filozófusokhoz, illetve filozófiákhoz. (Néhány reflexió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Közülük 9 kötelező (Platón, Arisztotelész, Szent Ágoston, Szent Tamás, Descartes, Kant, Nietzsche, Heidegger, Wittgenstein) és minimum 4 kötelezően választható: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preszókratikus gondolkodó, Bacon, Spinoza, Locke, Berkeley, Hume, Rousseau, Hegel, Marx, Comte, J. S. Mill, Schopenhauer, Kierkegaard, Bergson, Husserl, Bécsi Kör, K. Popper, Kuhn, egy posztmodern (Derrida, Rorty, Levinas stb.), egy magyar filozófus (Apáczai, Palágyi, Hamvas, Polányi, Lukács, Bibó stb.)</w:t>
            </w: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sz w:val="20"/>
                <w:szCs w:val="20"/>
              </w:rPr>
            </w:pPr>
            <w:r>
              <w:rPr>
                <w:rFonts w:ascii="Times New Roman" w:hAnsi="Times New Roman" w:cs="Times New Roman"/>
                <w:sz w:val="20"/>
                <w:szCs w:val="20"/>
              </w:rPr>
              <w:t>Korszakok, irányzatok</w:t>
            </w:r>
          </w:p>
        </w:tc>
      </w:tr>
      <w:tr w:rsidR="004C2997">
        <w:tblPrEx>
          <w:tblCellMar>
            <w:top w:w="0" w:type="dxa"/>
            <w:bottom w:w="0" w:type="dxa"/>
          </w:tblCellMar>
        </w:tblPrEx>
        <w:tc>
          <w:tcPr>
            <w:tcW w:w="2552"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5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itt felsorolt korszakok és irányzatok a fentebb említett nevek és/vagy problémák összefüggésében: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Antik görög filozófia.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Patrisztika.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Skolasztika.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Felvilágosodás (racionalizmus, empirizmus).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Német idealizmus.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Életfilozófiák.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Pozitivizmus; Logikai pozitivizmus.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Analitikus filozófia.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Posztmodern.</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HITTAN</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(Világnézetileg elkötelezett iskolák részére)</w:t>
      </w: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(Katolikus, református, evangélikus vallású tanulók számára)</w:t>
      </w:r>
    </w:p>
    <w:p w:rsidR="004C2997" w:rsidRDefault="004C2997" w:rsidP="004C2997">
      <w:pPr>
        <w:autoSpaceDE w:val="0"/>
        <w:autoSpaceDN w:val="0"/>
        <w:adjustRightInd w:val="0"/>
        <w:spacing w:after="0" w:line="240" w:lineRule="auto"/>
        <w:jc w:val="both"/>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szóbeli.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hittan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hittan oktatásnak kettős feladata van: egyrészt segít a tanulók hitének ébresztésében, elmélyítésében, az istenszeretet növekedésében, a fiatalok a keresztény/keresztyén életgyakorlatba történő bevezetésében, másrészt oda kell eljuttatnia a diákokat, hogy felfogják az isteni igazság teljességét.</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érettségi vizsgán mérhető és értékelhető a hitoktatás folyamán elsajátított ismeret a Szentháromság egy Istenről, az ő egyházáról, egyházának tanításáról és küldetéséről a világban.</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Nem lehet az érettségi vizsga célja a személyes hit számonkérése.</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követelményekben</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hangsúlyosan szerepelnek a képesség jellegű követelmények, valamint azok az elemzési szempontok és vallási ismeretek, amelyek segítségével a vizsgázó aktualizálni tudja felekezete tanításait, el tud igazodni korunk erkölcsi kérdéseiben,</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nagy figyelmet kapnak a korszerű biblia és teológiai ismeretek, illetőleg azok a készségek és ismeretek, amelyek egyháza tanításának komplex és időszerű bemutatásához szükségesek,</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fontos szerepet kapnak azok az ismeretek, amelyek egyháza jelenkori társadalmi, szociális és kulturális tevékenységét és azokat az erőfeszítéseket mutatják be, amelyeket egyháza az emberiség üdvösségének érdekében fejt ki.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vizsga célja annak megállapítása, hogy a vizsgázó</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rendelkezik-e a keresztény/keresztyén élet és gondolkodásmód kialakításához szükséges alapfogalmakkal;</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tudja-e használni az alapvető vallási terminológiákat, a vallási fogalmakat, a szakkifejezéseket, a szaknyelvet;</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ki tudja-e fejezni ismereteit szóban és írásban;</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elsajátította-e azokat a képességeket és ismereteket, amelyekkel felekezetének tanításait korszerűen be tudja mutatni;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jártas-e a bibliai szövegek olvasásában és értelmezésében;</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látja-e a kapcsolatot a Biblia tanítása és mai életünk között: látja-e azokat az erkölcsi értékeket, amelyek pozitívan alakíthatják életünket és világunkat, valamint ismeri-e a kereszténység/keresztyénség alapvető válaszait a személyes és végső kérdésekre;</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képes-e vallási ismereteit a dialógus és az ökumené szellemében mások számára közvetíteni;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birtokában van-e felekezetének, egyházának történetében az alapvető tényeknek (időpontok, személyek, események).</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középszintű vizsga a jelöltektől az alapvető hittani ismereteket, kifejezőképességet, az ismeretek rendszerezési képességét, a hittani tudás alkalmazását, valamint az erkölcsi ítéletalkotás képességét várja el.</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emelt szintű vizsga elsősorban az egyházi felsőoktatásban tovább tanulni szándékozó vizsgázó képességeit és ismereteit vizsgálja. A középszintű követelményeket meghaladó komplex ismereteket, összetettebb teológiai kérdések világos előadását, korszerű bibliai és egzegetikai ismereteket, magasabb fokú gondolkodási műveleteket, önállóbb vélemény- és ítéletalkotási készségeket vár el.</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érettségi vizsga témaköreit és részletes követelményeit az egyes felekezetek tanterveik alapján fogalmazzák meg.</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both"/>
        <w:rPr>
          <w:rFonts w:ascii="Times New Roman" w:hAnsi="Times New Roman" w:cs="Times New Roman"/>
          <w:i/>
          <w:iCs/>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2410"/>
        <w:gridCol w:w="6804"/>
      </w:tblGrid>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shd w:val="pct25" w:color="000000" w:fill="auto"/>
            <w:vAlign w:val="center"/>
          </w:tcPr>
          <w:p w:rsidR="004C2997" w:rsidRDefault="004C2997">
            <w:pPr>
              <w:autoSpaceDE w:val="0"/>
              <w:autoSpaceDN w:val="0"/>
              <w:adjustRightInd w:val="0"/>
              <w:spacing w:before="120" w:after="120" w:line="240" w:lineRule="auto"/>
              <w:ind w:left="142"/>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6804" w:type="dxa"/>
            <w:tcBorders>
              <w:top w:val="single" w:sz="4" w:space="0" w:color="auto"/>
              <w:left w:val="single" w:sz="4" w:space="0" w:color="auto"/>
              <w:bottom w:val="nil"/>
              <w:right w:val="single" w:sz="4" w:space="0" w:color="auto"/>
            </w:tcBorders>
            <w:shd w:val="pct25" w:color="000000" w:fill="auto"/>
            <w:vAlign w:val="center"/>
          </w:tcPr>
          <w:p w:rsidR="004C2997" w:rsidRDefault="004C2997">
            <w:pPr>
              <w:autoSpaceDE w:val="0"/>
              <w:autoSpaceDN w:val="0"/>
              <w:adjustRightInd w:val="0"/>
              <w:spacing w:before="120" w:after="120" w:line="240" w:lineRule="auto"/>
              <w:ind w:left="142"/>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single" w:sz="4" w:space="0" w:color="auto"/>
              <w:right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1. Biblia</w:t>
            </w:r>
          </w:p>
        </w:tc>
        <w:tc>
          <w:tcPr>
            <w:tcW w:w="6804" w:type="dxa"/>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Ószövetség</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Őstörténet, ősatyák, a választott nép történetének főbb szakaszai, fontos eseményei.</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Jézusra vonatkozó próféciák, azok keletkezési körülményei, messiási várakozás.</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Alapvető ószövetségi bevezetéstudományi ismeretek</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ószövetségi kánon kialakulása, könyveinek keletkezése és felosztása.</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Újszövetség</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Jézus Krisztus földi életének eseményei, tanítása, megváltó áldozata és feltámadása.</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apostoli kor.</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Alapvető újszövetségi bevezetéstudományi ismeretek</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evangéliumok keletkezésének története és célja, párhuzamok és eltérések, ezek okai.</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újszövetségi levelek.</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Kortörténeti ismeretek</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Jézus és az apostolok korának történeti háttere.</w:t>
            </w:r>
          </w:p>
        </w:tc>
      </w:tr>
      <w:tr w:rsidR="004C2997">
        <w:tblPrEx>
          <w:tblCellMar>
            <w:top w:w="0" w:type="dxa"/>
            <w:left w:w="0" w:type="dxa"/>
            <w:bottom w:w="0" w:type="dxa"/>
            <w:right w:w="0" w:type="dxa"/>
          </w:tblCellMar>
        </w:tblPrEx>
        <w:trPr>
          <w:cantSplit/>
        </w:trPr>
        <w:tc>
          <w:tcPr>
            <w:tcW w:w="9214" w:type="dxa"/>
            <w:gridSpan w:val="2"/>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Egyháztörténet</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Krisztus egyházának története</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Szentlélek munkájáról szóló bibliai tanítás.</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egyház történelmének kezdetei, fontos fordulópontjai.</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Kiemelkedő egyháztörténeti személyiségek – példák Krisztus elkötelezett követésére.</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saját felekezet története</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saját felekezet kialakulása, annak okai, történetének fontos pontjai, kiemelkedő személyiségei.</w:t>
            </w:r>
          </w:p>
        </w:tc>
      </w:tr>
      <w:tr w:rsidR="004C2997">
        <w:tblPrEx>
          <w:tblCellMar>
            <w:top w:w="0" w:type="dxa"/>
            <w:left w:w="0" w:type="dxa"/>
            <w:bottom w:w="0" w:type="dxa"/>
            <w:right w:w="0" w:type="dxa"/>
          </w:tblCellMar>
        </w:tblPrEx>
        <w:tc>
          <w:tcPr>
            <w:tcW w:w="9214" w:type="dxa"/>
            <w:gridSpan w:val="2"/>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Dogmatika</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egyház tanítása</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keresztény/keresztyén egyház tanításának alapvető tételei.</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saját felekezet dogmatikai tanítása.</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üdvtörténet alapigazságainak vizsgálata; ökumenikus törekvések; Isten mindnyájunkat eggyé tesz Krisztusban.</w:t>
            </w:r>
          </w:p>
        </w:tc>
      </w:tr>
      <w:tr w:rsidR="004C2997">
        <w:tblPrEx>
          <w:tblCellMar>
            <w:top w:w="0" w:type="dxa"/>
            <w:left w:w="0" w:type="dxa"/>
            <w:bottom w:w="0" w:type="dxa"/>
            <w:right w:w="0" w:type="dxa"/>
          </w:tblCellMar>
        </w:tblPrEx>
        <w:tc>
          <w:tcPr>
            <w:tcW w:w="9214" w:type="dxa"/>
            <w:gridSpan w:val="2"/>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Az egyházi esztendő</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Ünnepek, ünnepi időszakok</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egyházi esztendő ünnepei, ünnepi időszakai, a saját felekezet ünnepei, az ünnepek gyökerei, jelentősége.</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ünnepek liturgiája.</w:t>
            </w:r>
          </w:p>
        </w:tc>
      </w:tr>
      <w:tr w:rsidR="004C2997">
        <w:tblPrEx>
          <w:tblCellMar>
            <w:top w:w="0" w:type="dxa"/>
            <w:left w:w="0" w:type="dxa"/>
            <w:bottom w:w="0" w:type="dxa"/>
            <w:right w:w="0" w:type="dxa"/>
          </w:tblCellMar>
        </w:tblPrEx>
        <w:tc>
          <w:tcPr>
            <w:tcW w:w="9214" w:type="dxa"/>
            <w:gridSpan w:val="2"/>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5. A keresztény/keresztyén erkölcsi élet – etika</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A kereszténység/ </w:t>
            </w:r>
          </w:p>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keresztyénség erkölcsi tanítása</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Az ószövetségi és a jézusi etika. </w:t>
            </w:r>
          </w:p>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ember feladata a világban, felelősségünk a teremtett világ, az élet védelme és embertársaink iránt.</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keresztény/keresztyén etika normái a családi élet, munka és társadalmi élet területén.</w:t>
            </w:r>
          </w:p>
        </w:tc>
      </w:tr>
      <w:tr w:rsidR="004C2997">
        <w:tblPrEx>
          <w:tblCellMar>
            <w:top w:w="0" w:type="dxa"/>
            <w:left w:w="0" w:type="dxa"/>
            <w:bottom w:w="0" w:type="dxa"/>
            <w:right w:w="0" w:type="dxa"/>
          </w:tblCellMar>
        </w:tblPrEx>
        <w:tc>
          <w:tcPr>
            <w:tcW w:w="9214" w:type="dxa"/>
            <w:gridSpan w:val="2"/>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6. Világvallások</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nagy világvallások alapvető gondolatai</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történelmi Isten-kinyilatkoztatás vallásai: a zsidó vallás, az iszlám, a kereszténység.</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örök világtörvény vallásai: hinduizmus, buddhizmus stb. Mai vallási áramlatok.</w:t>
            </w:r>
          </w:p>
        </w:tc>
      </w:tr>
      <w:tr w:rsidR="004C2997">
        <w:tblPrEx>
          <w:tblCellMar>
            <w:top w:w="0" w:type="dxa"/>
            <w:left w:w="0" w:type="dxa"/>
            <w:bottom w:w="0" w:type="dxa"/>
            <w:right w:w="0" w:type="dxa"/>
          </w:tblCellMar>
        </w:tblPrEx>
        <w:tc>
          <w:tcPr>
            <w:tcW w:w="9214" w:type="dxa"/>
            <w:gridSpan w:val="2"/>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7. Kompetenciák</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Szövegértelmezés</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Bibliai szöveg alapvető mondanivalójának, üzenetének kifejtése.</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Egyháztörténeti forrás és egyházi dokumentum elemzése.</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Hitvallási irat részletének értelmezése a dogmatikai ismeretek birtokában.</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Esetelemzés</w:t>
            </w:r>
          </w:p>
        </w:tc>
        <w:tc>
          <w:tcPr>
            <w:tcW w:w="6804" w:type="dxa"/>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Etikai kérdések, mai problémák elemzése, állásfoglalás, a vélemény indoklása.</w:t>
            </w:r>
          </w:p>
        </w:tc>
      </w:tr>
    </w:tbl>
    <w:p w:rsidR="004C2997" w:rsidRDefault="004C2997" w:rsidP="004C2997">
      <w:pPr>
        <w:autoSpaceDE w:val="0"/>
        <w:autoSpaceDN w:val="0"/>
        <w:adjustRightInd w:val="0"/>
        <w:spacing w:after="0" w:line="240" w:lineRule="auto"/>
        <w:jc w:val="both"/>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both"/>
        <w:rPr>
          <w:rFonts w:ascii="Times New Roman" w:hAnsi="Times New Roman" w:cs="Times New Roman"/>
          <w:i/>
          <w:iCs/>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2410"/>
        <w:gridCol w:w="6804"/>
      </w:tblGrid>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shd w:val="pct25" w:color="000000" w:fill="auto"/>
          </w:tcPr>
          <w:p w:rsidR="004C2997" w:rsidRDefault="004C2997">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Témakörök</w:t>
            </w:r>
          </w:p>
        </w:tc>
        <w:tc>
          <w:tcPr>
            <w:tcW w:w="6804" w:type="dxa"/>
            <w:tcBorders>
              <w:top w:val="single" w:sz="4" w:space="0" w:color="auto"/>
              <w:left w:val="single" w:sz="4" w:space="0" w:color="auto"/>
              <w:bottom w:val="nil"/>
              <w:right w:val="single" w:sz="4" w:space="0" w:color="auto"/>
            </w:tcBorders>
            <w:shd w:val="pct25" w:color="000000" w:fill="auto"/>
          </w:tcPr>
          <w:p w:rsidR="004C2997" w:rsidRDefault="004C2997">
            <w:pPr>
              <w:autoSpaceDE w:val="0"/>
              <w:autoSpaceDN w:val="0"/>
              <w:adjustRightInd w:val="0"/>
              <w:spacing w:after="0" w:line="240" w:lineRule="auto"/>
              <w:ind w:left="142"/>
              <w:jc w:val="center"/>
              <w:rPr>
                <w:rFonts w:ascii="Times New Roman" w:hAnsi="Times New Roman" w:cs="Times New Roman"/>
                <w:sz w:val="20"/>
                <w:szCs w:val="20"/>
              </w:rPr>
            </w:pPr>
            <w:r>
              <w:rPr>
                <w:rFonts w:ascii="Times New Roman" w:hAnsi="Times New Roman" w:cs="Times New Roman"/>
                <w:sz w:val="20"/>
                <w:szCs w:val="20"/>
              </w:rPr>
              <w:t>Követelmények</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single" w:sz="4" w:space="0" w:color="auto"/>
              <w:right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1. Biblia</w:t>
            </w:r>
          </w:p>
        </w:tc>
        <w:tc>
          <w:tcPr>
            <w:tcW w:w="6804" w:type="dxa"/>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 </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Ószövetség</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Őstörténet, ősatyák.</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választott nép történetének főbb szakaszai, fontos eseményei.</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Jézusra vonatkozó próféciák, azok keletkezési körülményei, messiási várakozás.</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Alapvető ószövetségi bevezetéstudományi ismeretek</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Az ószövetségi kánon kialakulása, könyveinek keletkezése és felosztása. </w:t>
            </w:r>
          </w:p>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Tóra.</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Újszövetség</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Jézus Krisztus földi életének eseményei, tanítása, megváltó áldozata és feltámadása.</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apostoli kor – Az apokaliptika.</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Alapvető újszövetségi bevezetéstudományi ismeretek</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Az evangéliumok keletkezésének története és célja, párhuzamok és eltérések, ezek okai, műfaji sajátosságai. </w:t>
            </w:r>
          </w:p>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apostolok cselekedetei.</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újszövetségi levelek.</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jelenések könyve.</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Kortörténeti ismeretek</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Jézus és az apostolok korának történeti háttere, a palesztinai zsidóság vallási élete.</w:t>
            </w:r>
          </w:p>
        </w:tc>
      </w:tr>
      <w:tr w:rsidR="004C2997">
        <w:tblPrEx>
          <w:tblCellMar>
            <w:top w:w="0" w:type="dxa"/>
            <w:left w:w="0" w:type="dxa"/>
            <w:bottom w:w="0" w:type="dxa"/>
            <w:right w:w="0" w:type="dxa"/>
          </w:tblCellMar>
        </w:tblPrEx>
        <w:tc>
          <w:tcPr>
            <w:tcW w:w="9214" w:type="dxa"/>
            <w:gridSpan w:val="2"/>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Egyháztörténet</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Krisztus egyházának története</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A Szentlélek munkájáról szóló bibliai tanítás. </w:t>
            </w:r>
          </w:p>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egyház történelmének kezdetei, fontos fordulópontjai. Kiemelkedő egyháztörténeti személyiségek.</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Példák Krisztus elkötelezett követésére.</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saját felekezet története</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saját felekezet kialakulása, annak okai, történetének fontos pontjai, kiemelkedő személyiségei.</w:t>
            </w:r>
          </w:p>
        </w:tc>
      </w:tr>
      <w:tr w:rsidR="004C2997">
        <w:tblPrEx>
          <w:tblCellMar>
            <w:top w:w="0" w:type="dxa"/>
            <w:left w:w="0" w:type="dxa"/>
            <w:bottom w:w="0" w:type="dxa"/>
            <w:right w:w="0" w:type="dxa"/>
          </w:tblCellMar>
        </w:tblPrEx>
        <w:tc>
          <w:tcPr>
            <w:tcW w:w="9214" w:type="dxa"/>
            <w:gridSpan w:val="2"/>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Dogmatika</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egyház tanítása</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keresztény/keresztyén egyház tanításának alapvető tételei.</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saját felekezet dogmatikai tanítása.</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üdvtörténet alapigazságainak vizsgálata.</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Ökumenikus törekvések.</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Isten mindnyájunkat eggyé tesz Krisztusban.</w:t>
            </w:r>
          </w:p>
        </w:tc>
      </w:tr>
      <w:tr w:rsidR="004C2997">
        <w:tblPrEx>
          <w:tblCellMar>
            <w:top w:w="0" w:type="dxa"/>
            <w:left w:w="0" w:type="dxa"/>
            <w:bottom w:w="0" w:type="dxa"/>
            <w:right w:w="0" w:type="dxa"/>
          </w:tblCellMar>
        </w:tblPrEx>
        <w:tc>
          <w:tcPr>
            <w:tcW w:w="9214" w:type="dxa"/>
            <w:gridSpan w:val="2"/>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Az egyházi esztendő</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Ünnepek, ünnepi időszakok</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egyházi esztendő ünnepei, ünnepi időszakai.</w:t>
            </w:r>
          </w:p>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saját felekezet ünnepei; az ünnepek gyökerei, jelentősége.</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vasárnap és az egyéb ünnepek liturgiája, liturgikus szövegek.</w:t>
            </w:r>
          </w:p>
        </w:tc>
      </w:tr>
      <w:tr w:rsidR="004C2997">
        <w:tblPrEx>
          <w:tblCellMar>
            <w:top w:w="0" w:type="dxa"/>
            <w:left w:w="0" w:type="dxa"/>
            <w:bottom w:w="0" w:type="dxa"/>
            <w:right w:w="0" w:type="dxa"/>
          </w:tblCellMar>
        </w:tblPrEx>
        <w:tc>
          <w:tcPr>
            <w:tcW w:w="9214" w:type="dxa"/>
            <w:gridSpan w:val="2"/>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5. A keresztény/keresztyén erkölcsi élet – etika</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A kereszténység/ </w:t>
            </w:r>
          </w:p>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keresztyénség erkölcsi tanítása</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Az ószövetségi és a jézusi etika. </w:t>
            </w:r>
          </w:p>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ember feladata a világban, felelősségünk a teremtett világ, az élet védelme és embertársaink iránt.</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keresztény/keresztyén etika normái a családi élet, munka és társadalmi élet területén.</w:t>
            </w:r>
          </w:p>
        </w:tc>
      </w:tr>
      <w:tr w:rsidR="004C2997">
        <w:tblPrEx>
          <w:tblCellMar>
            <w:top w:w="0" w:type="dxa"/>
            <w:left w:w="0" w:type="dxa"/>
            <w:bottom w:w="0" w:type="dxa"/>
            <w:right w:w="0" w:type="dxa"/>
          </w:tblCellMar>
        </w:tblPrEx>
        <w:tc>
          <w:tcPr>
            <w:tcW w:w="9214" w:type="dxa"/>
            <w:gridSpan w:val="2"/>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6. Világvallások, vallási irányzatok</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nagy világvallások alapvető gondolatai</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A történelmi Isten-kinyilatkoztatás vallásai: a zsidó vallás, az iszlám, </w:t>
            </w:r>
          </w:p>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kereszténység.</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örök világtörvény vallásai: hinduizmus, buddhizmus, konfucianizmus és taoizmus, sintoizmus.</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Mai vallási áramlatok</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Alternatív vallási mozgalmak, ezek kialakulásának lehetséges okai.</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Különbségtétel ökumené és szinkretizmus között.</w:t>
            </w:r>
          </w:p>
        </w:tc>
      </w:tr>
      <w:tr w:rsidR="004C2997">
        <w:tblPrEx>
          <w:tblCellMar>
            <w:top w:w="0" w:type="dxa"/>
            <w:left w:w="0" w:type="dxa"/>
            <w:bottom w:w="0" w:type="dxa"/>
            <w:right w:w="0" w:type="dxa"/>
          </w:tblCellMar>
        </w:tblPrEx>
        <w:tc>
          <w:tcPr>
            <w:tcW w:w="9214" w:type="dxa"/>
            <w:gridSpan w:val="2"/>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7. Egyházismeret</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saját egyház mai élete</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saját egyház jelképei, hitvallásai.</w:t>
            </w:r>
          </w:p>
        </w:tc>
      </w:tr>
      <w:tr w:rsidR="004C2997">
        <w:tblPrEx>
          <w:tblCellMar>
            <w:top w:w="0" w:type="dxa"/>
            <w:left w:w="0" w:type="dxa"/>
            <w:bottom w:w="0" w:type="dxa"/>
            <w:right w:w="0" w:type="dxa"/>
          </w:tblCellMar>
        </w:tblPrEx>
        <w:tc>
          <w:tcPr>
            <w:tcW w:w="2410"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p>
        </w:tc>
        <w:tc>
          <w:tcPr>
            <w:tcW w:w="6804" w:type="dxa"/>
            <w:tcBorders>
              <w:top w:val="nil"/>
              <w:left w:val="nil"/>
              <w:bottom w:val="single" w:sz="4" w:space="0" w:color="auto"/>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egyház felépítése, főbb szolgálati területei.</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Egyházzene</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Az egyház énekkincsének jellemző, kiemelkedő darabjai.</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szűkebb közösség</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A gyülekezet, a plébániai közösség, az egyházi iskola története, mai élete.</w:t>
            </w:r>
          </w:p>
        </w:tc>
      </w:tr>
      <w:tr w:rsidR="004C2997">
        <w:tblPrEx>
          <w:tblCellMar>
            <w:top w:w="0" w:type="dxa"/>
            <w:left w:w="0" w:type="dxa"/>
            <w:bottom w:w="0" w:type="dxa"/>
            <w:right w:w="0" w:type="dxa"/>
          </w:tblCellMar>
        </w:tblPrEx>
        <w:tc>
          <w:tcPr>
            <w:tcW w:w="9214" w:type="dxa"/>
            <w:gridSpan w:val="2"/>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8. Kompetenciák</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lastRenderedPageBreak/>
              <w:t>Szövegértelmezés</w:t>
            </w:r>
          </w:p>
        </w:tc>
        <w:tc>
          <w:tcPr>
            <w:tcW w:w="6804" w:type="dxa"/>
            <w:tcBorders>
              <w:top w:val="single" w:sz="4" w:space="0" w:color="auto"/>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Bibliai szöveg alapvető mondanivalójának, üzenetének kifejtése.</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Egyháztörténeti forrás és egyházi dokumentumok elemzése.</w:t>
            </w:r>
          </w:p>
        </w:tc>
      </w:tr>
      <w:tr w:rsidR="004C2997">
        <w:tblPrEx>
          <w:tblCellMar>
            <w:top w:w="0" w:type="dxa"/>
            <w:left w:w="0" w:type="dxa"/>
            <w:bottom w:w="0" w:type="dxa"/>
            <w:right w:w="0" w:type="dxa"/>
          </w:tblCellMar>
        </w:tblPrEx>
        <w:tc>
          <w:tcPr>
            <w:tcW w:w="2410"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 xml:space="preserve"> </w:t>
            </w:r>
          </w:p>
        </w:tc>
        <w:tc>
          <w:tcPr>
            <w:tcW w:w="6804" w:type="dxa"/>
            <w:tcBorders>
              <w:top w:val="nil"/>
              <w:left w:val="nil"/>
              <w:bottom w:val="nil"/>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Hitvallási irat részletének értelmezése a dogmatikai ismeretek birtokában.</w:t>
            </w:r>
          </w:p>
        </w:tc>
      </w:tr>
      <w:tr w:rsidR="004C2997">
        <w:tblPrEx>
          <w:tblCellMar>
            <w:top w:w="0" w:type="dxa"/>
            <w:left w:w="0" w:type="dxa"/>
            <w:bottom w:w="0" w:type="dxa"/>
            <w:right w:w="0" w:type="dxa"/>
          </w:tblCellMar>
        </w:tblPrEx>
        <w:tc>
          <w:tcPr>
            <w:tcW w:w="241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Esetelemzés</w:t>
            </w:r>
          </w:p>
        </w:tc>
        <w:tc>
          <w:tcPr>
            <w:tcW w:w="6804" w:type="dxa"/>
            <w:tcBorders>
              <w:top w:val="single" w:sz="4" w:space="0" w:color="auto"/>
              <w:left w:val="nil"/>
              <w:bottom w:val="single" w:sz="4" w:space="0" w:color="auto"/>
              <w:right w:val="single" w:sz="4" w:space="0" w:color="auto"/>
            </w:tcBorders>
          </w:tcPr>
          <w:p w:rsidR="004C2997" w:rsidRDefault="004C2997">
            <w:pPr>
              <w:autoSpaceDE w:val="0"/>
              <w:autoSpaceDN w:val="0"/>
              <w:adjustRightInd w:val="0"/>
              <w:spacing w:after="0" w:line="240" w:lineRule="auto"/>
              <w:ind w:left="142"/>
              <w:rPr>
                <w:rFonts w:ascii="Times New Roman" w:hAnsi="Times New Roman" w:cs="Times New Roman"/>
                <w:sz w:val="20"/>
                <w:szCs w:val="20"/>
              </w:rPr>
            </w:pPr>
            <w:r>
              <w:rPr>
                <w:rFonts w:ascii="Times New Roman" w:hAnsi="Times New Roman" w:cs="Times New Roman"/>
                <w:sz w:val="20"/>
                <w:szCs w:val="20"/>
              </w:rPr>
              <w:t>Etikai kérdések, mai problémák elemzése, állásfoglalás, a vélemény indokolása.</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BIBLIAISMERET – HIT GYÜLEKEZETE </w:t>
      </w:r>
      <w:r>
        <w:rPr>
          <w:rFonts w:ascii="Times New Roman" w:hAnsi="Times New Roman" w:cs="Times New Roman"/>
          <w:b/>
          <w:bCs/>
          <w:sz w:val="24"/>
          <w:szCs w:val="24"/>
        </w:rPr>
        <w:br/>
        <w:t>ÉRETTSÉGI VIZSGATÁRGY ÁLTALÁNOS KÖVETELMÉNYEI</w:t>
      </w:r>
    </w:p>
    <w:p w:rsidR="004C2997" w:rsidRDefault="004C2997" w:rsidP="004C2997">
      <w:pPr>
        <w:widowControl w:val="0"/>
        <w:autoSpaceDE w:val="0"/>
        <w:autoSpaceDN w:val="0"/>
        <w:adjustRightInd w:val="0"/>
        <w:spacing w:after="0" w:line="240" w:lineRule="auto"/>
        <w:jc w:val="center"/>
        <w:rPr>
          <w:rFonts w:ascii="Times New Roman" w:hAnsi="Times New Roman" w:cs="Times New Roman"/>
          <w:sz w:val="20"/>
          <w:szCs w:val="20"/>
        </w:rPr>
      </w:pPr>
    </w:p>
    <w:p w:rsidR="004C2997" w:rsidRDefault="004C2997" w:rsidP="004C2997">
      <w:pPr>
        <w:autoSpaceDE w:val="0"/>
        <w:autoSpaceDN w:val="0"/>
        <w:adjustRightInd w:val="0"/>
        <w:spacing w:after="240" w:line="240" w:lineRule="auto"/>
        <w:ind w:firstLine="284"/>
        <w:jc w:val="center"/>
        <w:rPr>
          <w:rFonts w:ascii="Times New Roman" w:hAnsi="Times New Roman" w:cs="Times New Roman"/>
          <w:i/>
          <w:iCs/>
          <w:sz w:val="20"/>
          <w:szCs w:val="20"/>
        </w:rPr>
      </w:pPr>
      <w:r>
        <w:rPr>
          <w:rFonts w:ascii="Times New Roman" w:hAnsi="Times New Roman" w:cs="Times New Roman"/>
          <w:i/>
          <w:iCs/>
          <w:sz w:val="20"/>
          <w:szCs w:val="20"/>
        </w:rPr>
        <w:t>(Világnézetileg elkötelezett iskolák részére)</w:t>
      </w:r>
    </w:p>
    <w:p w:rsidR="004C2997" w:rsidRDefault="004C2997" w:rsidP="004C2997">
      <w:pPr>
        <w:widowControl w:val="0"/>
        <w:autoSpaceDE w:val="0"/>
        <w:autoSpaceDN w:val="0"/>
        <w:adjustRightInd w:val="0"/>
        <w:spacing w:after="0" w:line="240" w:lineRule="auto"/>
        <w:ind w:firstLine="284"/>
        <w:rPr>
          <w:rFonts w:ascii="Times New Roman" w:hAnsi="Times New Roman" w:cs="Times New Roman"/>
          <w:sz w:val="20"/>
          <w:szCs w:val="20"/>
        </w:rPr>
      </w:pPr>
    </w:p>
    <w:p w:rsidR="004C2997" w:rsidRDefault="004C2997" w:rsidP="004C2997">
      <w:pPr>
        <w:widowControl w:val="0"/>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i/>
          <w:iCs/>
          <w:sz w:val="20"/>
          <w:szCs w:val="20"/>
        </w:rPr>
        <w:t>A vizsga formája</w:t>
      </w:r>
    </w:p>
    <w:p w:rsidR="004C2997" w:rsidRDefault="004C2997" w:rsidP="004C2997">
      <w:pPr>
        <w:widowControl w:val="0"/>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Középszinten: szóbeli.</w:t>
      </w:r>
    </w:p>
    <w:p w:rsidR="004C2997" w:rsidRDefault="004C2997" w:rsidP="004C2997">
      <w:pPr>
        <w:widowControl w:val="0"/>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widowControl w:val="0"/>
        <w:autoSpaceDE w:val="0"/>
        <w:autoSpaceDN w:val="0"/>
        <w:adjustRightInd w:val="0"/>
        <w:spacing w:after="0" w:line="240" w:lineRule="auto"/>
        <w:ind w:firstLine="284"/>
        <w:rPr>
          <w:rFonts w:ascii="Times New Roman" w:hAnsi="Times New Roman" w:cs="Times New Roman"/>
          <w:sz w:val="20"/>
          <w:szCs w:val="20"/>
        </w:rPr>
      </w:pPr>
    </w:p>
    <w:p w:rsidR="004C2997" w:rsidRDefault="004C2997" w:rsidP="004C2997">
      <w:pPr>
        <w:widowControl w:val="0"/>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i/>
          <w:iCs/>
          <w:sz w:val="20"/>
          <w:szCs w:val="20"/>
        </w:rPr>
        <w:t>A biblia érettségi vizsga célja</w:t>
      </w:r>
    </w:p>
    <w:p w:rsidR="004C2997" w:rsidRDefault="004C2997" w:rsidP="004C2997">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bibliaismeret oktatásának feladata, hogy a tanuló megismerje az ó- és újszövetségi Szentírást, és így segítse a tanulót hitének erősödésében, elmélyítésében, keresztény világnézet és életvitel kialakításában. Nem lehet ugyanakkor az érettségi vizsga célja a személyes hit számonkérése.</w:t>
      </w:r>
    </w:p>
    <w:p w:rsidR="004C2997" w:rsidRDefault="004C2997" w:rsidP="004C2997">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bibliaismeret tantárgyi érettségi célja meggyőződni arról, hogy a tanuló:</w:t>
      </w:r>
    </w:p>
    <w:p w:rsidR="004C2997" w:rsidRDefault="004C2997" w:rsidP="004C2997">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ismeri a teljes ó- és újszövetségi Szentírás tartalmát, valamint az egyén, a család és a társadalom más csoportjai, a nemzet és az egész emberiség számára szóló üzenetét;</w:t>
      </w:r>
    </w:p>
    <w:p w:rsidR="004C2997" w:rsidRDefault="004C2997" w:rsidP="004C2997">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tisztában van a Szentírásban lefektetett erkölcsi normákkal, képes azokat a mindennapi élet helyzeteire vonatkoztatni;</w:t>
      </w:r>
    </w:p>
    <w:p w:rsidR="004C2997" w:rsidRDefault="004C2997" w:rsidP="004C2997">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ismeri az egyes témákhoz tartozó legfontosabb szentirati szakaszokat;</w:t>
      </w:r>
    </w:p>
    <w:p w:rsidR="004C2997" w:rsidRDefault="004C2997" w:rsidP="004C2997">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képes a bibliai eseményeket történelmi összefüggéseikben megragadni;</w:t>
      </w:r>
    </w:p>
    <w:p w:rsidR="004C2997" w:rsidRDefault="004C2997" w:rsidP="004C2997">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képes rövidebb bibliai részletek önálló értelmezésére, ismeri a legfontosabb értelmezési szempontokat, módszereket;</w:t>
      </w:r>
    </w:p>
    <w:p w:rsidR="004C2997" w:rsidRDefault="004C2997" w:rsidP="004C2997">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képes a bibliai könyvek értelmezése során lexikonok, kézikönyvek, térképek önálló használatára;</w:t>
      </w:r>
    </w:p>
    <w:p w:rsidR="004C2997" w:rsidRDefault="004C2997" w:rsidP="004C2997">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képes az olvasottakról önállóan véleményt kialakítani;</w:t>
      </w:r>
    </w:p>
    <w:p w:rsidR="004C2997" w:rsidRDefault="004C2997" w:rsidP="004C2997">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képes ismereteit szóban és írásban világosan kifejezni.</w:t>
      </w:r>
    </w:p>
    <w:p w:rsidR="004C2997" w:rsidRDefault="004C2997" w:rsidP="004C2997">
      <w:pPr>
        <w:widowControl w:val="0"/>
        <w:autoSpaceDE w:val="0"/>
        <w:autoSpaceDN w:val="0"/>
        <w:adjustRightInd w:val="0"/>
        <w:spacing w:after="0" w:line="240" w:lineRule="auto"/>
        <w:ind w:firstLine="284"/>
        <w:rPr>
          <w:rFonts w:ascii="Times New Roman" w:hAnsi="Times New Roman" w:cs="Times New Roman"/>
          <w:sz w:val="20"/>
          <w:szCs w:val="20"/>
        </w:rPr>
      </w:pPr>
    </w:p>
    <w:p w:rsidR="004C2997" w:rsidRDefault="004C2997" w:rsidP="004C2997">
      <w:pPr>
        <w:widowControl w:val="0"/>
        <w:autoSpaceDE w:val="0"/>
        <w:autoSpaceDN w:val="0"/>
        <w:adjustRightInd w:val="0"/>
        <w:spacing w:after="0" w:line="240" w:lineRule="auto"/>
        <w:ind w:firstLine="284"/>
        <w:rPr>
          <w:rFonts w:ascii="Times New Roman" w:hAnsi="Times New Roman" w:cs="Times New Roman"/>
          <w:sz w:val="20"/>
          <w:szCs w:val="20"/>
        </w:rPr>
      </w:pPr>
    </w:p>
    <w:p w:rsidR="004C2997" w:rsidRDefault="004C2997" w:rsidP="004C2997">
      <w:pPr>
        <w:widowControl w:val="0"/>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i/>
          <w:iCs/>
          <w:sz w:val="20"/>
          <w:szCs w:val="20"/>
        </w:rPr>
        <w:t>Tartalmi követelmények</w:t>
      </w:r>
    </w:p>
    <w:p w:rsidR="004C2997" w:rsidRDefault="004C2997" w:rsidP="004C2997">
      <w:pPr>
        <w:widowControl w:val="0"/>
        <w:autoSpaceDE w:val="0"/>
        <w:autoSpaceDN w:val="0"/>
        <w:adjustRightInd w:val="0"/>
        <w:spacing w:after="0" w:line="240" w:lineRule="auto"/>
        <w:ind w:firstLine="284"/>
        <w:rPr>
          <w:rFonts w:ascii="Times New Roman" w:hAnsi="Times New Roman" w:cs="Times New Roman"/>
          <w:sz w:val="20"/>
          <w:szCs w:val="20"/>
        </w:rPr>
      </w:pPr>
    </w:p>
    <w:p w:rsidR="004C2997" w:rsidRDefault="004C2997" w:rsidP="004C2997">
      <w:pPr>
        <w:autoSpaceDE w:val="0"/>
        <w:autoSpaceDN w:val="0"/>
        <w:adjustRightInd w:val="0"/>
        <w:spacing w:after="240" w:line="240" w:lineRule="auto"/>
        <w:ind w:firstLine="284"/>
        <w:jc w:val="center"/>
        <w:rPr>
          <w:rFonts w:ascii="Times New Roman" w:hAnsi="Times New Roman" w:cs="Times New Roman"/>
          <w:b/>
          <w:bCs/>
          <w:sz w:val="20"/>
          <w:szCs w:val="20"/>
        </w:rPr>
      </w:pPr>
      <w:r>
        <w:rPr>
          <w:rFonts w:ascii="Times New Roman" w:hAnsi="Times New Roman" w:cs="Times New Roman"/>
          <w:b/>
          <w:bCs/>
          <w:sz w:val="20"/>
          <w:szCs w:val="20"/>
        </w:rPr>
        <w:t>KÖZÉPSZINT</w:t>
      </w:r>
    </w:p>
    <w:tbl>
      <w:tblPr>
        <w:tblW w:w="0" w:type="auto"/>
        <w:tblInd w:w="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3147"/>
        <w:gridCol w:w="6213"/>
      </w:tblGrid>
      <w:tr w:rsidR="004C2997">
        <w:tblPrEx>
          <w:tblCellMar>
            <w:top w:w="0" w:type="dxa"/>
            <w:bottom w:w="0" w:type="dxa"/>
          </w:tblCellMar>
        </w:tblPrEx>
        <w:tc>
          <w:tcPr>
            <w:tcW w:w="3147" w:type="dxa"/>
          </w:tcPr>
          <w:p w:rsidR="004C2997" w:rsidRDefault="004C2997">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Témakörök</w:t>
            </w:r>
          </w:p>
        </w:tc>
        <w:tc>
          <w:tcPr>
            <w:tcW w:w="6213" w:type="dxa"/>
          </w:tcPr>
          <w:p w:rsidR="004C2997" w:rsidRDefault="004C2997">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Követelmények</w:t>
            </w:r>
          </w:p>
        </w:tc>
      </w:tr>
      <w:tr w:rsidR="004C2997" w:rsidTr="004C2997">
        <w:tblPrEx>
          <w:tblCellMar>
            <w:top w:w="0" w:type="dxa"/>
            <w:bottom w:w="0" w:type="dxa"/>
          </w:tblCellMar>
        </w:tblPrEx>
        <w:tc>
          <w:tcPr>
            <w:tcW w:w="9360" w:type="dxa"/>
            <w:gridSpan w:val="2"/>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i/>
                <w:iCs/>
                <w:sz w:val="20"/>
                <w:szCs w:val="20"/>
              </w:rPr>
              <w:t>1.</w:t>
            </w:r>
            <w:r>
              <w:rPr>
                <w:rFonts w:ascii="Times New Roman" w:hAnsi="Times New Roman" w:cs="Times New Roman"/>
                <w:sz w:val="20"/>
                <w:szCs w:val="20"/>
              </w:rPr>
              <w:t xml:space="preserve"> </w:t>
            </w:r>
            <w:r>
              <w:rPr>
                <w:rFonts w:ascii="Times New Roman" w:hAnsi="Times New Roman" w:cs="Times New Roman"/>
                <w:i/>
                <w:iCs/>
                <w:sz w:val="20"/>
                <w:szCs w:val="20"/>
              </w:rPr>
              <w:t>Bibliaismeret</w:t>
            </w:r>
          </w:p>
        </w:tc>
      </w:tr>
      <w:tr w:rsidR="004C2997">
        <w:tblPrEx>
          <w:tblCellMar>
            <w:top w:w="0" w:type="dxa"/>
            <w:bottom w:w="0" w:type="dxa"/>
          </w:tblCellMar>
        </w:tblPrEx>
        <w:trPr>
          <w:cantSplit/>
        </w:trPr>
        <w:tc>
          <w:tcPr>
            <w:tcW w:w="3147" w:type="dxa"/>
            <w:vMerge w:val="restart"/>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Ószövetség</w:t>
            </w: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világ és az ember teremtése, a bűnbeesés, a pátriárkák. Izrael történetének főbb szakaszai, fontosabb eseményei és jelentős vezetői.</w:t>
            </w:r>
          </w:p>
        </w:tc>
      </w:tr>
      <w:tr w:rsidR="004C2997">
        <w:tblPrEx>
          <w:tblCellMar>
            <w:top w:w="0" w:type="dxa"/>
            <w:bottom w:w="0" w:type="dxa"/>
          </w:tblCellMar>
        </w:tblPrEx>
        <w:trPr>
          <w:cantSplit/>
        </w:trPr>
        <w:tc>
          <w:tcPr>
            <w:tcW w:w="3147" w:type="dxa"/>
            <w:vMerge/>
          </w:tcPr>
          <w:p w:rsidR="004C2997" w:rsidRDefault="004C2997">
            <w:pPr>
              <w:autoSpaceDE w:val="0"/>
              <w:autoSpaceDN w:val="0"/>
              <w:adjustRightInd w:val="0"/>
              <w:spacing w:before="40" w:after="20" w:line="240" w:lineRule="auto"/>
              <w:rPr>
                <w:rFonts w:ascii="Times New Roman" w:hAnsi="Times New Roman" w:cs="Times New Roman"/>
                <w:sz w:val="21"/>
                <w:szCs w:val="21"/>
              </w:rPr>
            </w:pP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Messiási próféciák, és azok beteljesedése, valamint a nemzetekre és Izraelre vonatkozó utolsó időkről szóló próféciák.</w:t>
            </w:r>
          </w:p>
        </w:tc>
      </w:tr>
      <w:tr w:rsidR="004C2997">
        <w:tblPrEx>
          <w:tblCellMar>
            <w:top w:w="0" w:type="dxa"/>
            <w:bottom w:w="0" w:type="dxa"/>
          </w:tblCellMar>
        </w:tblPrEx>
        <w:tc>
          <w:tcPr>
            <w:tcW w:w="3147" w:type="dxa"/>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Alapvető ószövetségi bevezetés-tudományi ismeretek</w:t>
            </w: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Biblia keletkezése, az ószövetség könyveinek keletkezése és felosztása.</w:t>
            </w:r>
          </w:p>
        </w:tc>
      </w:tr>
      <w:tr w:rsidR="004C2997">
        <w:tblPrEx>
          <w:tblCellMar>
            <w:top w:w="0" w:type="dxa"/>
            <w:bottom w:w="0" w:type="dxa"/>
          </w:tblCellMar>
        </w:tblPrEx>
        <w:trPr>
          <w:cantSplit/>
        </w:trPr>
        <w:tc>
          <w:tcPr>
            <w:tcW w:w="3147" w:type="dxa"/>
            <w:vMerge w:val="restart"/>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Újszövetség</w:t>
            </w: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Jézus Krisztus földi életének eseményei, tanítása, engesztelő áldozata és feltámadása.</w:t>
            </w:r>
          </w:p>
        </w:tc>
      </w:tr>
      <w:tr w:rsidR="004C2997">
        <w:tblPrEx>
          <w:tblCellMar>
            <w:top w:w="0" w:type="dxa"/>
            <w:bottom w:w="0" w:type="dxa"/>
          </w:tblCellMar>
        </w:tblPrEx>
        <w:trPr>
          <w:cantSplit/>
        </w:trPr>
        <w:tc>
          <w:tcPr>
            <w:tcW w:w="3147" w:type="dxa"/>
            <w:vMerge/>
          </w:tcPr>
          <w:p w:rsidR="004C2997" w:rsidRDefault="004C2997">
            <w:pPr>
              <w:autoSpaceDE w:val="0"/>
              <w:autoSpaceDN w:val="0"/>
              <w:adjustRightInd w:val="0"/>
              <w:spacing w:before="40" w:after="20" w:line="240" w:lineRule="auto"/>
              <w:rPr>
                <w:rFonts w:ascii="Times New Roman" w:hAnsi="Times New Roman" w:cs="Times New Roman"/>
                <w:sz w:val="21"/>
                <w:szCs w:val="21"/>
              </w:rPr>
            </w:pP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apostoli kor.</w:t>
            </w:r>
          </w:p>
        </w:tc>
      </w:tr>
      <w:tr w:rsidR="004C2997">
        <w:tblPrEx>
          <w:tblCellMar>
            <w:top w:w="0" w:type="dxa"/>
            <w:bottom w:w="0" w:type="dxa"/>
          </w:tblCellMar>
        </w:tblPrEx>
        <w:tc>
          <w:tcPr>
            <w:tcW w:w="3147" w:type="dxa"/>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Alapvető újszövetségi bevezetés-</w:t>
            </w:r>
            <w:r>
              <w:rPr>
                <w:rFonts w:ascii="Times New Roman" w:hAnsi="Times New Roman" w:cs="Times New Roman"/>
                <w:sz w:val="20"/>
                <w:szCs w:val="20"/>
              </w:rPr>
              <w:br/>
              <w:t>tudományi ismeretek</w:t>
            </w: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evangéliumok és az apostolok cselekedetei keletkezésének története és célja.</w:t>
            </w:r>
          </w:p>
        </w:tc>
      </w:tr>
      <w:tr w:rsidR="004C2997" w:rsidTr="004C2997">
        <w:tblPrEx>
          <w:tblCellMar>
            <w:top w:w="0" w:type="dxa"/>
            <w:bottom w:w="0" w:type="dxa"/>
          </w:tblCellMar>
        </w:tblPrEx>
        <w:tc>
          <w:tcPr>
            <w:tcW w:w="9360" w:type="dxa"/>
            <w:gridSpan w:val="2"/>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i/>
                <w:iCs/>
                <w:sz w:val="20"/>
                <w:szCs w:val="20"/>
              </w:rPr>
              <w:t>2.</w:t>
            </w:r>
            <w:r>
              <w:rPr>
                <w:rFonts w:ascii="Times New Roman" w:hAnsi="Times New Roman" w:cs="Times New Roman"/>
                <w:sz w:val="20"/>
                <w:szCs w:val="20"/>
              </w:rPr>
              <w:t xml:space="preserve"> </w:t>
            </w:r>
            <w:r>
              <w:rPr>
                <w:rFonts w:ascii="Times New Roman" w:hAnsi="Times New Roman" w:cs="Times New Roman"/>
                <w:i/>
                <w:iCs/>
                <w:sz w:val="20"/>
                <w:szCs w:val="20"/>
              </w:rPr>
              <w:t>Kortörténeti háttér</w:t>
            </w:r>
          </w:p>
        </w:tc>
      </w:tr>
      <w:tr w:rsidR="004C2997">
        <w:tblPrEx>
          <w:tblCellMar>
            <w:top w:w="0" w:type="dxa"/>
            <w:bottom w:w="0" w:type="dxa"/>
          </w:tblCellMar>
        </w:tblPrEx>
        <w:tc>
          <w:tcPr>
            <w:tcW w:w="3147" w:type="dxa"/>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Az ószövetségi zsidóság és a nemzetek története</w:t>
            </w: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zsidó nép eredete, pátriárkák, egyiptomi fogság és honfoglalás.</w:t>
            </w:r>
            <w:r>
              <w:rPr>
                <w:rFonts w:ascii="Times New Roman" w:hAnsi="Times New Roman" w:cs="Times New Roman"/>
                <w:sz w:val="20"/>
                <w:szCs w:val="20"/>
              </w:rPr>
              <w:br/>
              <w:t>Királyság kora, Izrael és Júda.</w:t>
            </w:r>
            <w:r>
              <w:rPr>
                <w:rFonts w:ascii="Times New Roman" w:hAnsi="Times New Roman" w:cs="Times New Roman"/>
                <w:sz w:val="20"/>
                <w:szCs w:val="20"/>
              </w:rPr>
              <w:br/>
              <w:t>Az asszír és a babiloni fogság, a helyreállítás és a diaszpóra.</w:t>
            </w:r>
          </w:p>
        </w:tc>
      </w:tr>
      <w:tr w:rsidR="004C2997">
        <w:tblPrEx>
          <w:tblCellMar>
            <w:top w:w="0" w:type="dxa"/>
            <w:bottom w:w="0" w:type="dxa"/>
          </w:tblCellMar>
        </w:tblPrEx>
        <w:tc>
          <w:tcPr>
            <w:tcW w:w="3147" w:type="dxa"/>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A korai egyház története</w:t>
            </w: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Jézus és az apostolok korának történeti háttere.</w:t>
            </w:r>
            <w:r>
              <w:rPr>
                <w:rFonts w:ascii="Times New Roman" w:hAnsi="Times New Roman" w:cs="Times New Roman"/>
                <w:sz w:val="20"/>
                <w:szCs w:val="20"/>
              </w:rPr>
              <w:br/>
              <w:t>A jeruzsálemi gyülekezet története. A kereszténység elterjedésének főbb állomásai és jelentősebb gyülekezetei.</w:t>
            </w:r>
          </w:p>
        </w:tc>
      </w:tr>
      <w:tr w:rsidR="004C2997" w:rsidTr="004C2997">
        <w:tblPrEx>
          <w:tblCellMar>
            <w:top w:w="0" w:type="dxa"/>
            <w:bottom w:w="0" w:type="dxa"/>
          </w:tblCellMar>
        </w:tblPrEx>
        <w:tc>
          <w:tcPr>
            <w:tcW w:w="9360" w:type="dxa"/>
            <w:gridSpan w:val="2"/>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i/>
                <w:iCs/>
                <w:sz w:val="20"/>
                <w:szCs w:val="20"/>
              </w:rPr>
              <w:t>3.</w:t>
            </w:r>
            <w:r>
              <w:rPr>
                <w:rFonts w:ascii="Times New Roman" w:hAnsi="Times New Roman" w:cs="Times New Roman"/>
                <w:sz w:val="20"/>
                <w:szCs w:val="20"/>
              </w:rPr>
              <w:t xml:space="preserve"> </w:t>
            </w:r>
            <w:r>
              <w:rPr>
                <w:rFonts w:ascii="Times New Roman" w:hAnsi="Times New Roman" w:cs="Times New Roman"/>
                <w:i/>
                <w:iCs/>
                <w:sz w:val="20"/>
                <w:szCs w:val="20"/>
              </w:rPr>
              <w:t>Fundamentális teológia</w:t>
            </w:r>
          </w:p>
        </w:tc>
      </w:tr>
      <w:tr w:rsidR="004C2997">
        <w:tblPrEx>
          <w:tblCellMar>
            <w:top w:w="0" w:type="dxa"/>
            <w:bottom w:w="0" w:type="dxa"/>
          </w:tblCellMar>
        </w:tblPrEx>
        <w:tc>
          <w:tcPr>
            <w:tcW w:w="3147" w:type="dxa"/>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A kereszténység alaptanításai</w:t>
            </w: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megtérés, a bibliai hit, a keresztségek, a kézrátevés, a halottak feltámadása, az örök ítélet.</w:t>
            </w:r>
          </w:p>
        </w:tc>
      </w:tr>
      <w:tr w:rsidR="004C2997" w:rsidTr="004C2997">
        <w:tblPrEx>
          <w:tblCellMar>
            <w:top w:w="0" w:type="dxa"/>
            <w:bottom w:w="0" w:type="dxa"/>
          </w:tblCellMar>
        </w:tblPrEx>
        <w:tc>
          <w:tcPr>
            <w:tcW w:w="9360" w:type="dxa"/>
            <w:gridSpan w:val="2"/>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i/>
                <w:iCs/>
                <w:sz w:val="20"/>
                <w:szCs w:val="20"/>
              </w:rPr>
              <w:t>4.</w:t>
            </w:r>
            <w:r>
              <w:rPr>
                <w:rFonts w:ascii="Times New Roman" w:hAnsi="Times New Roman" w:cs="Times New Roman"/>
                <w:sz w:val="20"/>
                <w:szCs w:val="20"/>
              </w:rPr>
              <w:t xml:space="preserve"> </w:t>
            </w:r>
            <w:r>
              <w:rPr>
                <w:rFonts w:ascii="Times New Roman" w:hAnsi="Times New Roman" w:cs="Times New Roman"/>
                <w:i/>
                <w:iCs/>
                <w:sz w:val="20"/>
                <w:szCs w:val="20"/>
              </w:rPr>
              <w:t>Bibliai ünnepek</w:t>
            </w:r>
          </w:p>
        </w:tc>
      </w:tr>
      <w:tr w:rsidR="004C2997">
        <w:tblPrEx>
          <w:tblCellMar>
            <w:top w:w="0" w:type="dxa"/>
            <w:bottom w:w="0" w:type="dxa"/>
          </w:tblCellMar>
        </w:tblPrEx>
        <w:tc>
          <w:tcPr>
            <w:tcW w:w="3147" w:type="dxa"/>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lastRenderedPageBreak/>
              <w:t>Az Úr ünnepei</w:t>
            </w: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Mózes könyvében leírt ünnepek ismerete.</w:t>
            </w:r>
          </w:p>
        </w:tc>
      </w:tr>
      <w:tr w:rsidR="004C2997" w:rsidTr="004C2997">
        <w:tblPrEx>
          <w:tblCellMar>
            <w:top w:w="0" w:type="dxa"/>
            <w:bottom w:w="0" w:type="dxa"/>
          </w:tblCellMar>
        </w:tblPrEx>
        <w:tc>
          <w:tcPr>
            <w:tcW w:w="9360" w:type="dxa"/>
            <w:gridSpan w:val="2"/>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i/>
                <w:iCs/>
                <w:sz w:val="20"/>
                <w:szCs w:val="20"/>
              </w:rPr>
              <w:t>5.</w:t>
            </w:r>
            <w:r>
              <w:rPr>
                <w:rFonts w:ascii="Times New Roman" w:hAnsi="Times New Roman" w:cs="Times New Roman"/>
                <w:sz w:val="20"/>
                <w:szCs w:val="20"/>
              </w:rPr>
              <w:t xml:space="preserve"> </w:t>
            </w:r>
            <w:r>
              <w:rPr>
                <w:rFonts w:ascii="Times New Roman" w:hAnsi="Times New Roman" w:cs="Times New Roman"/>
                <w:i/>
                <w:iCs/>
                <w:sz w:val="20"/>
                <w:szCs w:val="20"/>
              </w:rPr>
              <w:t>A keresztény erkölcsi élet – etika</w:t>
            </w:r>
          </w:p>
        </w:tc>
      </w:tr>
      <w:tr w:rsidR="004C2997">
        <w:tblPrEx>
          <w:tblCellMar>
            <w:top w:w="0" w:type="dxa"/>
            <w:bottom w:w="0" w:type="dxa"/>
          </w:tblCellMar>
        </w:tblPrEx>
        <w:tc>
          <w:tcPr>
            <w:tcW w:w="3147" w:type="dxa"/>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A kereszténység erkölcsi tanítása</w:t>
            </w:r>
          </w:p>
        </w:tc>
        <w:tc>
          <w:tcPr>
            <w:tcW w:w="6213" w:type="dxa"/>
          </w:tcPr>
          <w:p w:rsidR="004C2997" w:rsidRDefault="004C2997">
            <w:pPr>
              <w:autoSpaceDE w:val="0"/>
              <w:autoSpaceDN w:val="0"/>
              <w:adjustRightInd w:val="0"/>
              <w:spacing w:before="40" w:after="20" w:line="240" w:lineRule="atLeast"/>
              <w:ind w:left="11" w:right="11"/>
              <w:rPr>
                <w:rFonts w:ascii="Times New Roman" w:hAnsi="Times New Roman" w:cs="Times New Roman"/>
                <w:color w:val="000000"/>
                <w:sz w:val="20"/>
                <w:szCs w:val="20"/>
              </w:rPr>
            </w:pPr>
            <w:r>
              <w:rPr>
                <w:rFonts w:ascii="Times New Roman" w:hAnsi="Times New Roman" w:cs="Times New Roman"/>
                <w:color w:val="000000"/>
                <w:sz w:val="20"/>
                <w:szCs w:val="20"/>
              </w:rPr>
              <w:t>Az ó- és újszövetségi etika. A keresztény etika normái a családi élet, a munka és a társadalmi élet területén.</w:t>
            </w:r>
          </w:p>
        </w:tc>
      </w:tr>
      <w:tr w:rsidR="004C2997" w:rsidTr="004C2997">
        <w:tblPrEx>
          <w:tblCellMar>
            <w:top w:w="0" w:type="dxa"/>
            <w:bottom w:w="0" w:type="dxa"/>
          </w:tblCellMar>
        </w:tblPrEx>
        <w:tc>
          <w:tcPr>
            <w:tcW w:w="9360" w:type="dxa"/>
            <w:gridSpan w:val="2"/>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i/>
                <w:iCs/>
                <w:sz w:val="20"/>
                <w:szCs w:val="20"/>
              </w:rPr>
              <w:t>6.</w:t>
            </w:r>
            <w:r>
              <w:rPr>
                <w:rFonts w:ascii="Times New Roman" w:hAnsi="Times New Roman" w:cs="Times New Roman"/>
                <w:sz w:val="20"/>
                <w:szCs w:val="20"/>
              </w:rPr>
              <w:t xml:space="preserve"> </w:t>
            </w:r>
            <w:r>
              <w:rPr>
                <w:rFonts w:ascii="Times New Roman" w:hAnsi="Times New Roman" w:cs="Times New Roman"/>
                <w:i/>
                <w:iCs/>
                <w:sz w:val="20"/>
                <w:szCs w:val="20"/>
              </w:rPr>
              <w:t>Kompetenciák</w:t>
            </w:r>
          </w:p>
        </w:tc>
      </w:tr>
      <w:tr w:rsidR="004C2997">
        <w:tblPrEx>
          <w:tblCellMar>
            <w:top w:w="0" w:type="dxa"/>
            <w:bottom w:w="0" w:type="dxa"/>
          </w:tblCellMar>
        </w:tblPrEx>
        <w:trPr>
          <w:cantSplit/>
        </w:trPr>
        <w:tc>
          <w:tcPr>
            <w:tcW w:w="3147" w:type="dxa"/>
            <w:vMerge w:val="restart"/>
          </w:tcPr>
          <w:p w:rsidR="004C2997" w:rsidRDefault="004C2997">
            <w:pPr>
              <w:autoSpaceDE w:val="0"/>
              <w:autoSpaceDN w:val="0"/>
              <w:adjustRightInd w:val="0"/>
              <w:spacing w:before="40" w:after="20" w:line="240" w:lineRule="auto"/>
              <w:rPr>
                <w:rFonts w:ascii="Times New Roman" w:hAnsi="Times New Roman" w:cs="Times New Roman"/>
                <w:sz w:val="21"/>
                <w:szCs w:val="21"/>
              </w:rPr>
            </w:pP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Képesnek kell lennie arra, hogy a Bibliát ne csak olvassa, hanem megadott témák szerint tanulmányozza.</w:t>
            </w:r>
          </w:p>
        </w:tc>
      </w:tr>
      <w:tr w:rsidR="004C2997">
        <w:tblPrEx>
          <w:tblCellMar>
            <w:top w:w="0" w:type="dxa"/>
            <w:bottom w:w="0" w:type="dxa"/>
          </w:tblCellMar>
        </w:tblPrEx>
        <w:trPr>
          <w:cantSplit/>
        </w:trPr>
        <w:tc>
          <w:tcPr>
            <w:tcW w:w="3147" w:type="dxa"/>
            <w:vMerge/>
          </w:tcPr>
          <w:p w:rsidR="004C2997" w:rsidRDefault="004C2997">
            <w:pPr>
              <w:autoSpaceDE w:val="0"/>
              <w:autoSpaceDN w:val="0"/>
              <w:adjustRightInd w:val="0"/>
              <w:spacing w:before="40" w:after="20" w:line="240" w:lineRule="auto"/>
              <w:rPr>
                <w:rFonts w:ascii="Times New Roman" w:hAnsi="Times New Roman" w:cs="Times New Roman"/>
                <w:sz w:val="21"/>
                <w:szCs w:val="21"/>
              </w:rPr>
            </w:pP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Bibliai eseményeket értelmezzen, azaz azoknak jelentést tulajdonítson.</w:t>
            </w:r>
          </w:p>
        </w:tc>
      </w:tr>
      <w:tr w:rsidR="004C2997">
        <w:tblPrEx>
          <w:tblCellMar>
            <w:top w:w="0" w:type="dxa"/>
            <w:bottom w:w="0" w:type="dxa"/>
          </w:tblCellMar>
        </w:tblPrEx>
        <w:trPr>
          <w:cantSplit/>
        </w:trPr>
        <w:tc>
          <w:tcPr>
            <w:tcW w:w="3147" w:type="dxa"/>
            <w:vMerge/>
          </w:tcPr>
          <w:p w:rsidR="004C2997" w:rsidRDefault="004C2997">
            <w:pPr>
              <w:autoSpaceDE w:val="0"/>
              <w:autoSpaceDN w:val="0"/>
              <w:adjustRightInd w:val="0"/>
              <w:spacing w:before="40" w:after="20" w:line="240" w:lineRule="auto"/>
              <w:rPr>
                <w:rFonts w:ascii="Times New Roman" w:hAnsi="Times New Roman" w:cs="Times New Roman"/>
                <w:sz w:val="21"/>
                <w:szCs w:val="21"/>
              </w:rPr>
            </w:pP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Etikai kérdéseket, mai problémákat elemezzen.</w:t>
            </w:r>
          </w:p>
        </w:tc>
      </w:tr>
    </w:tbl>
    <w:p w:rsidR="004C2997" w:rsidRDefault="004C2997" w:rsidP="004C2997">
      <w:pPr>
        <w:widowControl w:val="0"/>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EMELT SZINT</w:t>
      </w:r>
    </w:p>
    <w:tbl>
      <w:tblPr>
        <w:tblW w:w="0" w:type="auto"/>
        <w:tblInd w:w="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40" w:type="dxa"/>
          <w:right w:w="40" w:type="dxa"/>
        </w:tblCellMar>
        <w:tblLook w:val="0000" w:firstRow="0" w:lastRow="0" w:firstColumn="0" w:lastColumn="0" w:noHBand="0" w:noVBand="0"/>
      </w:tblPr>
      <w:tblGrid>
        <w:gridCol w:w="3147"/>
        <w:gridCol w:w="6213"/>
      </w:tblGrid>
      <w:tr w:rsidR="004C2997">
        <w:tblPrEx>
          <w:tblCellMar>
            <w:top w:w="0" w:type="dxa"/>
            <w:bottom w:w="0" w:type="dxa"/>
          </w:tblCellMar>
        </w:tblPrEx>
        <w:tc>
          <w:tcPr>
            <w:tcW w:w="3147" w:type="dxa"/>
          </w:tcPr>
          <w:p w:rsidR="004C2997" w:rsidRDefault="004C2997">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Témakörök</w:t>
            </w:r>
          </w:p>
        </w:tc>
        <w:tc>
          <w:tcPr>
            <w:tcW w:w="6213" w:type="dxa"/>
          </w:tcPr>
          <w:p w:rsidR="004C2997" w:rsidRDefault="004C2997">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Követelmények</w:t>
            </w:r>
          </w:p>
        </w:tc>
      </w:tr>
      <w:tr w:rsidR="004C2997" w:rsidTr="004C2997">
        <w:tblPrEx>
          <w:tblCellMar>
            <w:top w:w="0" w:type="dxa"/>
            <w:bottom w:w="0" w:type="dxa"/>
          </w:tblCellMar>
        </w:tblPrEx>
        <w:tc>
          <w:tcPr>
            <w:tcW w:w="9360" w:type="dxa"/>
            <w:gridSpan w:val="2"/>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i/>
                <w:iCs/>
                <w:sz w:val="20"/>
                <w:szCs w:val="20"/>
              </w:rPr>
              <w:t>1.</w:t>
            </w:r>
            <w:r>
              <w:rPr>
                <w:rFonts w:ascii="Times New Roman" w:hAnsi="Times New Roman" w:cs="Times New Roman"/>
                <w:sz w:val="20"/>
                <w:szCs w:val="20"/>
              </w:rPr>
              <w:t xml:space="preserve"> </w:t>
            </w:r>
            <w:r>
              <w:rPr>
                <w:rFonts w:ascii="Times New Roman" w:hAnsi="Times New Roman" w:cs="Times New Roman"/>
                <w:i/>
                <w:iCs/>
                <w:sz w:val="20"/>
                <w:szCs w:val="20"/>
              </w:rPr>
              <w:t>Bibliaismeret</w:t>
            </w:r>
          </w:p>
        </w:tc>
      </w:tr>
      <w:tr w:rsidR="004C2997">
        <w:tblPrEx>
          <w:tblCellMar>
            <w:top w:w="0" w:type="dxa"/>
            <w:bottom w:w="0" w:type="dxa"/>
          </w:tblCellMar>
        </w:tblPrEx>
        <w:trPr>
          <w:cantSplit/>
        </w:trPr>
        <w:tc>
          <w:tcPr>
            <w:tcW w:w="3147" w:type="dxa"/>
            <w:vMerge w:val="restart"/>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Ószövetség</w:t>
            </w: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világ és az ember teremtése, a bűnbeesés, a pátriárkák. Izrael történetének főbb szakaszai, fontosabb eseményei és jelentős vezetői.</w:t>
            </w:r>
          </w:p>
        </w:tc>
      </w:tr>
      <w:tr w:rsidR="004C2997">
        <w:tblPrEx>
          <w:tblCellMar>
            <w:top w:w="0" w:type="dxa"/>
            <w:bottom w:w="0" w:type="dxa"/>
          </w:tblCellMar>
        </w:tblPrEx>
        <w:trPr>
          <w:cantSplit/>
        </w:trPr>
        <w:tc>
          <w:tcPr>
            <w:tcW w:w="3147" w:type="dxa"/>
            <w:vMerge/>
          </w:tcPr>
          <w:p w:rsidR="004C2997" w:rsidRDefault="004C2997">
            <w:pPr>
              <w:autoSpaceDE w:val="0"/>
              <w:autoSpaceDN w:val="0"/>
              <w:adjustRightInd w:val="0"/>
              <w:spacing w:before="40" w:after="20" w:line="240" w:lineRule="auto"/>
              <w:rPr>
                <w:rFonts w:ascii="Times New Roman" w:hAnsi="Times New Roman" w:cs="Times New Roman"/>
                <w:sz w:val="21"/>
                <w:szCs w:val="21"/>
              </w:rPr>
            </w:pP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Messiási próféciák, és azok beteljesedése, valamint a nemzetekre és Izraelre vonatkozó utolsó időkről szóló próféciák.</w:t>
            </w:r>
          </w:p>
        </w:tc>
      </w:tr>
      <w:tr w:rsidR="004C2997">
        <w:tblPrEx>
          <w:tblCellMar>
            <w:top w:w="0" w:type="dxa"/>
            <w:bottom w:w="0" w:type="dxa"/>
          </w:tblCellMar>
        </w:tblPrEx>
        <w:tc>
          <w:tcPr>
            <w:tcW w:w="3147" w:type="dxa"/>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Alapvető ószövetségi bevezetés-tudományi ismeretek</w:t>
            </w: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Biblia keletkezése, az ószövetség könyveinek keletkezése és felosztása.</w:t>
            </w:r>
          </w:p>
        </w:tc>
      </w:tr>
      <w:tr w:rsidR="004C2997">
        <w:tblPrEx>
          <w:tblCellMar>
            <w:top w:w="0" w:type="dxa"/>
            <w:bottom w:w="0" w:type="dxa"/>
          </w:tblCellMar>
        </w:tblPrEx>
        <w:trPr>
          <w:cantSplit/>
        </w:trPr>
        <w:tc>
          <w:tcPr>
            <w:tcW w:w="3147" w:type="dxa"/>
            <w:vMerge w:val="restart"/>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Újszövetség</w:t>
            </w: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Jézus Krisztus földi életének eseményei, tanítása, engesztelő áldozata és feltámadása.</w:t>
            </w:r>
          </w:p>
        </w:tc>
      </w:tr>
      <w:tr w:rsidR="004C2997">
        <w:tblPrEx>
          <w:tblCellMar>
            <w:top w:w="0" w:type="dxa"/>
            <w:bottom w:w="0" w:type="dxa"/>
          </w:tblCellMar>
        </w:tblPrEx>
        <w:trPr>
          <w:cantSplit/>
        </w:trPr>
        <w:tc>
          <w:tcPr>
            <w:tcW w:w="3147" w:type="dxa"/>
            <w:vMerge/>
          </w:tcPr>
          <w:p w:rsidR="004C2997" w:rsidRDefault="004C2997">
            <w:pPr>
              <w:autoSpaceDE w:val="0"/>
              <w:autoSpaceDN w:val="0"/>
              <w:adjustRightInd w:val="0"/>
              <w:spacing w:before="40" w:after="20" w:line="240" w:lineRule="auto"/>
              <w:rPr>
                <w:rFonts w:ascii="Times New Roman" w:hAnsi="Times New Roman" w:cs="Times New Roman"/>
                <w:sz w:val="21"/>
                <w:szCs w:val="21"/>
              </w:rPr>
            </w:pP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apostoli kor.</w:t>
            </w:r>
          </w:p>
        </w:tc>
      </w:tr>
      <w:tr w:rsidR="004C2997">
        <w:tblPrEx>
          <w:tblCellMar>
            <w:top w:w="0" w:type="dxa"/>
            <w:bottom w:w="0" w:type="dxa"/>
          </w:tblCellMar>
        </w:tblPrEx>
        <w:tc>
          <w:tcPr>
            <w:tcW w:w="3147" w:type="dxa"/>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Alapvető újszövetségi bevezetés-</w:t>
            </w:r>
            <w:r>
              <w:rPr>
                <w:rFonts w:ascii="Times New Roman" w:hAnsi="Times New Roman" w:cs="Times New Roman"/>
                <w:sz w:val="20"/>
                <w:szCs w:val="20"/>
              </w:rPr>
              <w:br/>
              <w:t>tudományi ismeretek</w:t>
            </w: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újszövetségi könyvek keletkezésének története és célja.</w:t>
            </w:r>
          </w:p>
        </w:tc>
      </w:tr>
      <w:tr w:rsidR="004C2997" w:rsidTr="004C2997">
        <w:tblPrEx>
          <w:tblCellMar>
            <w:top w:w="0" w:type="dxa"/>
            <w:bottom w:w="0" w:type="dxa"/>
          </w:tblCellMar>
        </w:tblPrEx>
        <w:tc>
          <w:tcPr>
            <w:tcW w:w="9360" w:type="dxa"/>
            <w:gridSpan w:val="2"/>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i/>
                <w:iCs/>
                <w:sz w:val="20"/>
                <w:szCs w:val="20"/>
              </w:rPr>
              <w:t>2.</w:t>
            </w:r>
            <w:r>
              <w:rPr>
                <w:rFonts w:ascii="Times New Roman" w:hAnsi="Times New Roman" w:cs="Times New Roman"/>
                <w:sz w:val="20"/>
                <w:szCs w:val="20"/>
              </w:rPr>
              <w:t xml:space="preserve"> </w:t>
            </w:r>
            <w:r>
              <w:rPr>
                <w:rFonts w:ascii="Times New Roman" w:hAnsi="Times New Roman" w:cs="Times New Roman"/>
                <w:i/>
                <w:iCs/>
                <w:sz w:val="20"/>
                <w:szCs w:val="20"/>
              </w:rPr>
              <w:t>Kortörténeti háttér</w:t>
            </w:r>
          </w:p>
        </w:tc>
      </w:tr>
      <w:tr w:rsidR="004C2997">
        <w:tblPrEx>
          <w:tblCellMar>
            <w:top w:w="0" w:type="dxa"/>
            <w:bottom w:w="0" w:type="dxa"/>
          </w:tblCellMar>
        </w:tblPrEx>
        <w:tc>
          <w:tcPr>
            <w:tcW w:w="3147" w:type="dxa"/>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Az ószövetségi zsidóság és a nemzetek története</w:t>
            </w:r>
          </w:p>
        </w:tc>
        <w:tc>
          <w:tcPr>
            <w:tcW w:w="6213" w:type="dxa"/>
          </w:tcPr>
          <w:p w:rsidR="004C2997" w:rsidRDefault="004C2997">
            <w:pPr>
              <w:autoSpaceDE w:val="0"/>
              <w:autoSpaceDN w:val="0"/>
              <w:adjustRightInd w:val="0"/>
              <w:spacing w:before="40" w:after="20" w:line="240" w:lineRule="atLeast"/>
              <w:ind w:left="11" w:right="11"/>
              <w:rPr>
                <w:rFonts w:ascii="Times New Roman" w:hAnsi="Times New Roman" w:cs="Times New Roman"/>
                <w:color w:val="000000"/>
                <w:sz w:val="20"/>
                <w:szCs w:val="20"/>
              </w:rPr>
            </w:pPr>
            <w:r>
              <w:rPr>
                <w:rFonts w:ascii="Times New Roman" w:hAnsi="Times New Roman" w:cs="Times New Roman"/>
                <w:color w:val="000000"/>
                <w:sz w:val="20"/>
                <w:szCs w:val="20"/>
              </w:rPr>
              <w:t>A zsidó nép eredete, pátriárkák, egyiptomi fogság és honfoglalás.</w:t>
            </w:r>
            <w:r>
              <w:rPr>
                <w:rFonts w:ascii="Times New Roman" w:hAnsi="Times New Roman" w:cs="Times New Roman"/>
                <w:color w:val="000000"/>
                <w:sz w:val="20"/>
                <w:szCs w:val="20"/>
              </w:rPr>
              <w:br/>
              <w:t>Királyság kora, Izrael és Júda. A királyság, a prófétaság és a papság intézménye.</w:t>
            </w:r>
            <w:r>
              <w:rPr>
                <w:rFonts w:ascii="Times New Roman" w:hAnsi="Times New Roman" w:cs="Times New Roman"/>
                <w:color w:val="000000"/>
                <w:sz w:val="20"/>
                <w:szCs w:val="20"/>
              </w:rPr>
              <w:br/>
              <w:t>Izrael és a környező népek kapcsolata.</w:t>
            </w:r>
            <w:r>
              <w:rPr>
                <w:rFonts w:ascii="Times New Roman" w:hAnsi="Times New Roman" w:cs="Times New Roman"/>
                <w:color w:val="000000"/>
                <w:sz w:val="20"/>
                <w:szCs w:val="20"/>
              </w:rPr>
              <w:br/>
              <w:t>A birodalmak és a zsidó nemzeti szuverenitás.</w:t>
            </w:r>
            <w:r>
              <w:rPr>
                <w:rFonts w:ascii="Times New Roman" w:hAnsi="Times New Roman" w:cs="Times New Roman"/>
                <w:color w:val="000000"/>
                <w:sz w:val="20"/>
                <w:szCs w:val="20"/>
              </w:rPr>
              <w:br/>
              <w:t>Az asszír és a babiloni fogság, a helyreállítás és a diaszpóra.</w:t>
            </w:r>
          </w:p>
        </w:tc>
      </w:tr>
      <w:tr w:rsidR="004C2997">
        <w:tblPrEx>
          <w:tblCellMar>
            <w:top w:w="0" w:type="dxa"/>
            <w:bottom w:w="0" w:type="dxa"/>
          </w:tblCellMar>
        </w:tblPrEx>
        <w:tc>
          <w:tcPr>
            <w:tcW w:w="3147" w:type="dxa"/>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A korai egyház története</w:t>
            </w: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Zsidóság a római uralom alatt. A zsidóság vallási élete, vallási mozgalmak, irányzatok.</w:t>
            </w:r>
            <w:r>
              <w:rPr>
                <w:rFonts w:ascii="Times New Roman" w:hAnsi="Times New Roman" w:cs="Times New Roman"/>
                <w:sz w:val="20"/>
                <w:szCs w:val="20"/>
              </w:rPr>
              <w:br/>
              <w:t>Jézus és az apostolok korának történeti háttere.</w:t>
            </w:r>
            <w:r>
              <w:rPr>
                <w:rFonts w:ascii="Times New Roman" w:hAnsi="Times New Roman" w:cs="Times New Roman"/>
                <w:sz w:val="20"/>
                <w:szCs w:val="20"/>
              </w:rPr>
              <w:br/>
              <w:t>A jeruzsálemi gyülekezet története. A kereszténység elterjedésének főbb állomásai és jelentősebb gyülekezetei.</w:t>
            </w:r>
          </w:p>
        </w:tc>
      </w:tr>
      <w:tr w:rsidR="004C2997" w:rsidTr="004C2997">
        <w:tblPrEx>
          <w:tblCellMar>
            <w:top w:w="0" w:type="dxa"/>
            <w:bottom w:w="0" w:type="dxa"/>
          </w:tblCellMar>
        </w:tblPrEx>
        <w:tc>
          <w:tcPr>
            <w:tcW w:w="9360" w:type="dxa"/>
            <w:gridSpan w:val="2"/>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i/>
                <w:iCs/>
                <w:sz w:val="20"/>
                <w:szCs w:val="20"/>
              </w:rPr>
              <w:t>3.</w:t>
            </w:r>
            <w:r>
              <w:rPr>
                <w:rFonts w:ascii="Times New Roman" w:hAnsi="Times New Roman" w:cs="Times New Roman"/>
                <w:sz w:val="20"/>
                <w:szCs w:val="20"/>
              </w:rPr>
              <w:t xml:space="preserve"> </w:t>
            </w:r>
            <w:r>
              <w:rPr>
                <w:rFonts w:ascii="Times New Roman" w:hAnsi="Times New Roman" w:cs="Times New Roman"/>
                <w:i/>
                <w:iCs/>
                <w:sz w:val="20"/>
                <w:szCs w:val="20"/>
              </w:rPr>
              <w:t>Fundamentális teológia</w:t>
            </w:r>
          </w:p>
        </w:tc>
      </w:tr>
      <w:tr w:rsidR="004C2997">
        <w:tblPrEx>
          <w:tblCellMar>
            <w:top w:w="0" w:type="dxa"/>
            <w:bottom w:w="0" w:type="dxa"/>
          </w:tblCellMar>
        </w:tblPrEx>
        <w:tc>
          <w:tcPr>
            <w:tcW w:w="3147" w:type="dxa"/>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A kereszténység alaptanításai</w:t>
            </w: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megtérés, a bibliai hit, a keresztségek, a kézrátevés, a halottak feltámadása, az örök ítélet.</w:t>
            </w:r>
          </w:p>
        </w:tc>
      </w:tr>
      <w:tr w:rsidR="004C2997" w:rsidTr="004C2997">
        <w:tblPrEx>
          <w:tblCellMar>
            <w:top w:w="0" w:type="dxa"/>
            <w:bottom w:w="0" w:type="dxa"/>
          </w:tblCellMar>
        </w:tblPrEx>
        <w:tc>
          <w:tcPr>
            <w:tcW w:w="9360" w:type="dxa"/>
            <w:gridSpan w:val="2"/>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i/>
                <w:iCs/>
                <w:sz w:val="20"/>
                <w:szCs w:val="20"/>
              </w:rPr>
              <w:t>4.</w:t>
            </w:r>
            <w:r>
              <w:rPr>
                <w:rFonts w:ascii="Times New Roman" w:hAnsi="Times New Roman" w:cs="Times New Roman"/>
                <w:sz w:val="20"/>
                <w:szCs w:val="20"/>
              </w:rPr>
              <w:t xml:space="preserve"> </w:t>
            </w:r>
            <w:r>
              <w:rPr>
                <w:rFonts w:ascii="Times New Roman" w:hAnsi="Times New Roman" w:cs="Times New Roman"/>
                <w:i/>
                <w:iCs/>
                <w:sz w:val="20"/>
                <w:szCs w:val="20"/>
              </w:rPr>
              <w:t>Bibliai ünnepek</w:t>
            </w:r>
          </w:p>
        </w:tc>
      </w:tr>
      <w:tr w:rsidR="004C2997">
        <w:tblPrEx>
          <w:tblCellMar>
            <w:top w:w="0" w:type="dxa"/>
            <w:bottom w:w="0" w:type="dxa"/>
          </w:tblCellMar>
        </w:tblPrEx>
        <w:tc>
          <w:tcPr>
            <w:tcW w:w="3147" w:type="dxa"/>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Az Úr ünnepei</w:t>
            </w: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Mózes könyvében leírt ünnepek ismerete. Hanuka, Purim, Jubileumi év.</w:t>
            </w:r>
          </w:p>
        </w:tc>
      </w:tr>
      <w:tr w:rsidR="004C2997" w:rsidTr="004C2997">
        <w:tblPrEx>
          <w:tblCellMar>
            <w:top w:w="0" w:type="dxa"/>
            <w:bottom w:w="0" w:type="dxa"/>
          </w:tblCellMar>
        </w:tblPrEx>
        <w:tc>
          <w:tcPr>
            <w:tcW w:w="9360" w:type="dxa"/>
            <w:gridSpan w:val="2"/>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i/>
                <w:iCs/>
                <w:sz w:val="20"/>
                <w:szCs w:val="20"/>
              </w:rPr>
              <w:t>5.</w:t>
            </w:r>
            <w:r>
              <w:rPr>
                <w:rFonts w:ascii="Times New Roman" w:hAnsi="Times New Roman" w:cs="Times New Roman"/>
                <w:sz w:val="20"/>
                <w:szCs w:val="20"/>
              </w:rPr>
              <w:t xml:space="preserve"> </w:t>
            </w:r>
            <w:r>
              <w:rPr>
                <w:rFonts w:ascii="Times New Roman" w:hAnsi="Times New Roman" w:cs="Times New Roman"/>
                <w:i/>
                <w:iCs/>
                <w:sz w:val="20"/>
                <w:szCs w:val="20"/>
              </w:rPr>
              <w:t>A keresztény erkölcsi élet – etika</w:t>
            </w:r>
          </w:p>
        </w:tc>
      </w:tr>
      <w:tr w:rsidR="004C2997">
        <w:tblPrEx>
          <w:tblCellMar>
            <w:top w:w="0" w:type="dxa"/>
            <w:bottom w:w="0" w:type="dxa"/>
          </w:tblCellMar>
        </w:tblPrEx>
        <w:tc>
          <w:tcPr>
            <w:tcW w:w="3147" w:type="dxa"/>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A kereszténység erkölcsi tanítása</w:t>
            </w:r>
          </w:p>
        </w:tc>
        <w:tc>
          <w:tcPr>
            <w:tcW w:w="6213" w:type="dxa"/>
          </w:tcPr>
          <w:p w:rsidR="004C2997" w:rsidRDefault="004C2997">
            <w:pPr>
              <w:autoSpaceDE w:val="0"/>
              <w:autoSpaceDN w:val="0"/>
              <w:adjustRightInd w:val="0"/>
              <w:spacing w:before="40" w:after="20" w:line="240" w:lineRule="atLeast"/>
              <w:ind w:left="11" w:right="11"/>
              <w:rPr>
                <w:rFonts w:ascii="Times New Roman" w:hAnsi="Times New Roman" w:cs="Times New Roman"/>
                <w:color w:val="000000"/>
                <w:sz w:val="20"/>
                <w:szCs w:val="20"/>
              </w:rPr>
            </w:pPr>
            <w:r>
              <w:rPr>
                <w:rFonts w:ascii="Times New Roman" w:hAnsi="Times New Roman" w:cs="Times New Roman"/>
                <w:color w:val="000000"/>
                <w:sz w:val="20"/>
                <w:szCs w:val="20"/>
              </w:rPr>
              <w:t>Az ó- és újszövetségi etika.</w:t>
            </w:r>
            <w:r>
              <w:rPr>
                <w:rFonts w:ascii="Times New Roman" w:hAnsi="Times New Roman" w:cs="Times New Roman"/>
                <w:color w:val="000000"/>
                <w:sz w:val="20"/>
                <w:szCs w:val="20"/>
              </w:rPr>
              <w:br/>
              <w:t>A keresztény etika normái a családi élet, a munka és a társadalmi élet területén.</w:t>
            </w:r>
          </w:p>
        </w:tc>
      </w:tr>
      <w:tr w:rsidR="004C2997" w:rsidTr="004C2997">
        <w:tblPrEx>
          <w:tblCellMar>
            <w:top w:w="0" w:type="dxa"/>
            <w:bottom w:w="0" w:type="dxa"/>
          </w:tblCellMar>
        </w:tblPrEx>
        <w:tc>
          <w:tcPr>
            <w:tcW w:w="9360" w:type="dxa"/>
            <w:gridSpan w:val="2"/>
          </w:tcPr>
          <w:p w:rsidR="004C2997" w:rsidRDefault="004C2997">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i/>
                <w:iCs/>
                <w:sz w:val="20"/>
                <w:szCs w:val="20"/>
              </w:rPr>
              <w:t>6.</w:t>
            </w:r>
            <w:r>
              <w:rPr>
                <w:rFonts w:ascii="Times New Roman" w:hAnsi="Times New Roman" w:cs="Times New Roman"/>
                <w:sz w:val="20"/>
                <w:szCs w:val="20"/>
              </w:rPr>
              <w:t xml:space="preserve"> </w:t>
            </w:r>
            <w:r>
              <w:rPr>
                <w:rFonts w:ascii="Times New Roman" w:hAnsi="Times New Roman" w:cs="Times New Roman"/>
                <w:i/>
                <w:iCs/>
                <w:sz w:val="20"/>
                <w:szCs w:val="20"/>
              </w:rPr>
              <w:t>Kompetenciák</w:t>
            </w:r>
          </w:p>
        </w:tc>
      </w:tr>
      <w:tr w:rsidR="004C2997">
        <w:tblPrEx>
          <w:tblCellMar>
            <w:top w:w="0" w:type="dxa"/>
            <w:bottom w:w="0" w:type="dxa"/>
          </w:tblCellMar>
        </w:tblPrEx>
        <w:trPr>
          <w:cantSplit/>
        </w:trPr>
        <w:tc>
          <w:tcPr>
            <w:tcW w:w="3147" w:type="dxa"/>
            <w:vMerge w:val="restart"/>
          </w:tcPr>
          <w:p w:rsidR="004C2997" w:rsidRDefault="004C2997">
            <w:pPr>
              <w:autoSpaceDE w:val="0"/>
              <w:autoSpaceDN w:val="0"/>
              <w:adjustRightInd w:val="0"/>
              <w:spacing w:before="40" w:after="20" w:line="240" w:lineRule="auto"/>
              <w:rPr>
                <w:rFonts w:ascii="Times New Roman" w:hAnsi="Times New Roman" w:cs="Times New Roman"/>
                <w:sz w:val="21"/>
                <w:szCs w:val="21"/>
              </w:rPr>
            </w:pP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Képesnek kell lennie arra, hogy a Bibliát ne csak olvassa, hanem megadott témák szerint tanulmányozza.</w:t>
            </w:r>
          </w:p>
        </w:tc>
      </w:tr>
      <w:tr w:rsidR="004C2997">
        <w:tblPrEx>
          <w:tblCellMar>
            <w:top w:w="0" w:type="dxa"/>
            <w:bottom w:w="0" w:type="dxa"/>
          </w:tblCellMar>
        </w:tblPrEx>
        <w:trPr>
          <w:cantSplit/>
        </w:trPr>
        <w:tc>
          <w:tcPr>
            <w:tcW w:w="3147" w:type="dxa"/>
            <w:vMerge/>
          </w:tcPr>
          <w:p w:rsidR="004C2997" w:rsidRDefault="004C2997">
            <w:pPr>
              <w:autoSpaceDE w:val="0"/>
              <w:autoSpaceDN w:val="0"/>
              <w:adjustRightInd w:val="0"/>
              <w:spacing w:before="40" w:after="20" w:line="240" w:lineRule="auto"/>
              <w:rPr>
                <w:rFonts w:ascii="Times New Roman" w:hAnsi="Times New Roman" w:cs="Times New Roman"/>
                <w:sz w:val="21"/>
                <w:szCs w:val="21"/>
              </w:rPr>
            </w:pP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Bibliai eseményeket értelmezzen, azaz azoknak jelentést tulajdonítson.</w:t>
            </w:r>
          </w:p>
        </w:tc>
      </w:tr>
      <w:tr w:rsidR="004C2997">
        <w:tblPrEx>
          <w:tblCellMar>
            <w:top w:w="0" w:type="dxa"/>
            <w:bottom w:w="0" w:type="dxa"/>
          </w:tblCellMar>
        </w:tblPrEx>
        <w:trPr>
          <w:cantSplit/>
        </w:trPr>
        <w:tc>
          <w:tcPr>
            <w:tcW w:w="3147" w:type="dxa"/>
            <w:vMerge/>
          </w:tcPr>
          <w:p w:rsidR="004C2997" w:rsidRDefault="004C2997">
            <w:pPr>
              <w:autoSpaceDE w:val="0"/>
              <w:autoSpaceDN w:val="0"/>
              <w:adjustRightInd w:val="0"/>
              <w:spacing w:before="40" w:after="20" w:line="240" w:lineRule="auto"/>
              <w:rPr>
                <w:rFonts w:ascii="Times New Roman" w:hAnsi="Times New Roman" w:cs="Times New Roman"/>
                <w:sz w:val="21"/>
                <w:szCs w:val="21"/>
              </w:rPr>
            </w:pPr>
          </w:p>
        </w:tc>
        <w:tc>
          <w:tcPr>
            <w:tcW w:w="6213" w:type="dxa"/>
          </w:tcPr>
          <w:p w:rsidR="004C2997" w:rsidRDefault="004C299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Etikai kérdéseket, mai problémákat elemezzen.</w:t>
            </w:r>
          </w:p>
        </w:tc>
      </w:tr>
    </w:tbl>
    <w:p w:rsidR="004C2997" w:rsidRDefault="004C2997" w:rsidP="004C2997">
      <w:pPr>
        <w:widowControl w:val="0"/>
        <w:autoSpaceDE w:val="0"/>
        <w:autoSpaceDN w:val="0"/>
        <w:adjustRightInd w:val="0"/>
        <w:spacing w:after="0" w:line="240" w:lineRule="auto"/>
        <w:ind w:right="283"/>
        <w:rPr>
          <w:rFonts w:ascii="Times New Roman" w:hAnsi="Times New Roman" w:cs="Times New Roman"/>
          <w:sz w:val="20"/>
          <w:szCs w:val="20"/>
        </w:rPr>
      </w:pPr>
    </w:p>
    <w:p w:rsidR="004C2997" w:rsidRDefault="004C2997" w:rsidP="004C2997">
      <w:pPr>
        <w:widowControl w:val="0"/>
        <w:autoSpaceDE w:val="0"/>
        <w:autoSpaceDN w:val="0"/>
        <w:adjustRightInd w:val="0"/>
        <w:spacing w:after="0" w:line="240" w:lineRule="auto"/>
        <w:ind w:right="283"/>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TERMÉSZETTUDOMÁNY</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Természettudomány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 Magyarországon hagyományos természettudományos érettségi vizsgák középszinten egy-egy szakterületben való alapos elmélyedést és tekintélyes lexikális ismeretet követelnek meg. Korunk mennyiségében és összetettségében is rohamosan növekvő ismeretei azonban egyre nehezebbé teszik egy-egy szakterületnek akár csak hozzávetőleges áttekintését is. Emellett pedig fokozódik az igény arra, hogy több diszciplína eredményeit összevessük, s ennek ismeretében döntsünk (például környezetvédelmi vagy egészségügyi kérdésekben). A várakozásnak olyan természettudományokban járatos fiatalok felelhetnek meg, akik képesek a több szempontú elemzésre, a problémák módszeres megközelítésére akkor is, ha lexikális ismereteik egy-egy területen csekélyebbek, mint azt a szaktárgyi érettségik megkívánnák. </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 „Természettudomány” érettségi fő célja ennek megfelelően az, hogy egy egységes természetszemléleten alapuló, hatékony </w:t>
      </w:r>
      <w:r>
        <w:rPr>
          <w:rFonts w:ascii="Times New Roman" w:hAnsi="Times New Roman" w:cs="Times New Roman"/>
          <w:i/>
          <w:iCs/>
          <w:sz w:val="20"/>
          <w:szCs w:val="20"/>
        </w:rPr>
        <w:t>gondolati eszköz</w:t>
      </w:r>
      <w:r>
        <w:rPr>
          <w:rFonts w:ascii="Times New Roman" w:hAnsi="Times New Roman" w:cs="Times New Roman"/>
          <w:sz w:val="20"/>
          <w:szCs w:val="20"/>
        </w:rPr>
        <w:t xml:space="preserve"> meglétét igazolja, s egyben elő is mozdítsa. A szaktárgyi érettségikkel szemben nem annyira az adatok, képletek, megoldási sémák ismeretét követeli meg, hanem inkább a tájékozódóképességet, a megoldandó kérdések meglátását és helyes megfogalmazását, a rendelkezésre álló adatok mérlegelését, ábrázolását, az összefüggések fölismerését. </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Az érettségi vizsgakövetelmények a biológia, kémia, fizika, valamint a földünk és környezetünk tárgyak szakközépiskolai kerettantervének megfelelően csoportosított részletei – tehát nincs bennük olyan tartalom, mely e tárgyak valamelyikében ne szerepelne. Elmaradtak az inkább lexikális ismereteket tartalmazó részek, de a megjelölt témakörökből sem „kikérdező” (reproduktív tudást váró) jellegű feladatok várhatók, hanem többségében olyanok, melyek a fogalmak ismeretét és az összefüggések átlátását igénylik, a megoldáshoz szükséges konkrét adatokat, szövegeket ugyanakkor magában a feladatban kapja meg a vizsgázó. </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Ezért a vizsga célja annak megállapítása, hogy a vizsgázó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összetett probléma elemzésére, a probléma összetevőinek felismerésére;</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felismeri-e, hogy az egész „több részeinél”;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egy állítást igazolni vagy cáfolni adatok, grafikonok elemzésével;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adatokból, grafikonokból stb. következtetéseket levonni, összefüggéseket felismerni;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adott információkról el tudja-e dönteni, hogy felhasználhatók-e adott probléma megoldásához;</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kísérletet vagy megfigyelést tervezni (vagy végezni) a probléma és a rendelkezésre álló eszközök ismeretében;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felismeri-e az analógiákat és különbségeket egyes jelenségek, rendszerek stb. között;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felismeri-e a döntési lehetőséget két, egyaránt lehetséges megoldás között; képes-e a következmények értékelésére kívánatosságuk alapján;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valamely rész szerepének megítélésére a szintek hierarchiájában;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képes-e térbeli és időbeli minták elemzésére;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alkalmazni a szükséges logikai műveleteket (pl. halmazba rendezés, helyes ítéletalkotás, hibás következtetések fölismerése).</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6732"/>
      </w:tblGrid>
      <w:tr w:rsidR="004C2997">
        <w:tblPrEx>
          <w:tblCellMar>
            <w:top w:w="0" w:type="dxa"/>
            <w:bottom w:w="0" w:type="dxa"/>
          </w:tblCellMar>
        </w:tblPrEx>
        <w:tc>
          <w:tcPr>
            <w:tcW w:w="2480" w:type="dxa"/>
            <w:shd w:val="pct25" w:color="000000" w:fill="auto"/>
          </w:tcPr>
          <w:p w:rsidR="004C2997" w:rsidRDefault="004C2997">
            <w:pPr>
              <w:pageBreakBefore/>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Témakörök</w:t>
            </w:r>
          </w:p>
        </w:tc>
        <w:tc>
          <w:tcPr>
            <w:tcW w:w="6732" w:type="dxa"/>
            <w:shd w:val="pct25" w:color="000000"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Tartalmak</w:t>
            </w:r>
          </w:p>
        </w:tc>
      </w:tr>
      <w:tr w:rsidR="004C2997">
        <w:tblPrEx>
          <w:tblCellMar>
            <w:top w:w="0" w:type="dxa"/>
            <w:bottom w:w="0" w:type="dxa"/>
          </w:tblCellMar>
        </w:tblPrEx>
        <w:trPr>
          <w:cantSplit/>
        </w:trPr>
        <w:tc>
          <w:tcPr>
            <w:tcW w:w="921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Az Univerzum</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Idő </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csillagászat tudománytörténeti fejlődésének jelentős állomásai, a Világegyetem kialakulásának főbb elméletei.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Föld mozgásai és azok földi következményei. Az időmérés eszközei és a naptár. Időszámítással kapcsolatos gyakorlati feladatok megoldása.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Alapvető mozgástípusok. Periodikus mozgások, hullámok.</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Tér</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Tájékozódás a térben: távolságmérés a Földön és tágabb környezetünkben.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térkép és használata.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Helyzetmeghatározás, koordináta-rendszer.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Naprendszer felépítése és annak földi következményei. A Föld kozmikus környezetének sajátosságai.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bolygók mozgása, az általános tömegvonzás szerepe.</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Fizikai kölcsönhatások, energia</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energia mérésének módja, formái (mechanikai, elektromágneses, hő) és ezek egymásba alakulása. Az energiamegmaradás és az energia szétszóródása. Gázok állapotváltozásai, halmazállapot-változások közben tapasztalható energiacserék.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elektromágneses hullámok spektruma, az egyes tartományok jellemzői. Felhasználásuk, biológiai hatásuk. Lencsék, optika.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nukleáris kölcsönhatás jellemzői.</w:t>
            </w:r>
          </w:p>
        </w:tc>
      </w:tr>
      <w:tr w:rsidR="004C2997">
        <w:tblPrEx>
          <w:tblCellMar>
            <w:top w:w="0" w:type="dxa"/>
            <w:bottom w:w="0" w:type="dxa"/>
          </w:tblCellMar>
        </w:tblPrEx>
        <w:trPr>
          <w:cantSplit/>
        </w:trPr>
        <w:tc>
          <w:tcPr>
            <w:tcW w:w="921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A Föld</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Föld múltjának megismerése</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Módszerek a múlt eseményeinek felderítésére. </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Kőzetburok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Föld gömbhéjas szerkezete és nagyszerkezeti egységei.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kőzetlemezek mozgása és annak következményei.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ásványok és kőzetek fogalma. A kőzetek csoportosítása.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belső és a külső erők felszínformáló szerepe.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szárazföldek felszínfejlődésének legfontosabb lépései.</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Légkör</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légkör szerkezete, anyagi felépítése és annak változásai.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légkörben lezajló folyamatok törvényszerűségei, az éghajlati elemek közötti kölcsönhatások.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légkör szennyezettségének helyi, regionális és globális következményei. </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Vízburok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felszíni és felszín alatti víztípusok főbb jellegzetességei.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óceánok és a tengerek földrajzi sajátosságai, a víz mozgásjelenségei és azok következményei.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Halmazállapot-változások. Víz, jég, gőz.</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vízszennyezés helyi és az egész bolygóra kiható problémái.</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Természetföldrajzi övezetesség</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szoláris éghajlati övezeteket kialakító tényezők.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éghajlati övezetesség meghatározó szerepe a többi természeti tényező jellemzőinek kialakulásában.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földrajzi övezetek, övek, területek hasonló és eltérő vonásainak bemutatása, jellemzésük. A függőleges és a vízszintes természetföldrajzi övezetesség kapcsolata.</w:t>
            </w:r>
          </w:p>
        </w:tc>
      </w:tr>
      <w:tr w:rsidR="004C2997">
        <w:tblPrEx>
          <w:tblCellMar>
            <w:top w:w="0" w:type="dxa"/>
            <w:bottom w:w="0" w:type="dxa"/>
          </w:tblCellMar>
        </w:tblPrEx>
        <w:trPr>
          <w:cantSplit/>
        </w:trPr>
        <w:tc>
          <w:tcPr>
            <w:tcW w:w="921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Életközösségek és populációk</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élettelen környezeti tényezők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élettelen környezeti tényezők és az élőlények kölcsönhatásai.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talaj, a levegő, a fény és a víz szerepe.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 H, O és legfontosabb szervetlen vegyületeinek átalakulásai, körfogásuk a természetben. Rendellenes körforgás (környezetszennyezés) és a helyreállítás módjai (környezetvédelem).</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élők mint környezeti tényezők </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Populáción belüli és populációk közti kölcsönhatások. </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Populációk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Létszámuk, sűrűségük, szabályozásuk. Emberi hatások.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Génáramlás a populáción belül: a tulajdonságok öröklődése.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ivaros és az ivartalan szaporodás genetikája.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genetikai változatosság megőrzése a populáción belül. A genetika etikai vonatkozásai.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Populációk átalakulása változó környezetben: mutációk, kiválogatódás. A faj fogalma és tartalma az evolúció elméletében.</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Életközösségek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Sokféleségük, stabilitásuk, időbeli átalakulásaik. Pusztulásuk okai, védelmük lehetőségei (természetvédelem).</w:t>
            </w:r>
          </w:p>
        </w:tc>
      </w:tr>
      <w:tr w:rsidR="004C2997">
        <w:tblPrEx>
          <w:tblCellMar>
            <w:top w:w="0" w:type="dxa"/>
            <w:bottom w:w="0" w:type="dxa"/>
          </w:tblCellMar>
        </w:tblPrEx>
        <w:trPr>
          <w:cantSplit/>
        </w:trPr>
        <w:tc>
          <w:tcPr>
            <w:tcW w:w="921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Az élő egyed</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élő egyed és a környezet kapcsolata</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tűrőképesség, az életmód és a környezet összefüggése.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érzékelés, kommunikáció és az életmód kapcsolata. </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emberi életműködések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legfontosabb életműködések funkciója, az abban részt vevő alapvető szervek és mechanizmusok.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életműködések idegi és hormonális szabályozásának alapelvei.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immunrendszer szerepe. A betegségokozó kockázati tényezők, ezek elkerülése (egészségvédelem). </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egyedfejlődés</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 egyedfejlődése és szaporodása. Az egyedi élet kezdete és vége. Etikai kérdések.</w:t>
            </w:r>
          </w:p>
        </w:tc>
      </w:tr>
      <w:tr w:rsidR="004C2997">
        <w:tblPrEx>
          <w:tblCellMar>
            <w:top w:w="0" w:type="dxa"/>
            <w:bottom w:w="0" w:type="dxa"/>
          </w:tblCellMar>
        </w:tblPrEx>
        <w:trPr>
          <w:cantSplit/>
        </w:trPr>
        <w:tc>
          <w:tcPr>
            <w:tcW w:w="921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5. A sejt</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Sejttípusok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baktérium-, gomba-, növényi és állati sejt fő különbségei.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Sejtek szerveződésének módjai: fonal, telep, szövet.</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Sejtalkotók és feladatuk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sejthártya: anyagcsere, sejtfölismerés.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Mitokondrium: energiatermelés (biológiai oxidáció).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Zöld színtest: fotoszintézis. Sejtmag: örökítés.</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sejtanyagcsere</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Életmódok (heterotróf és autotróf), ezek típusai. A lebontó és felépítő folyamatok kapcsolata, energiamérlege. </w:t>
            </w:r>
          </w:p>
        </w:tc>
      </w:tr>
      <w:tr w:rsidR="004C2997">
        <w:tblPrEx>
          <w:tblCellMar>
            <w:top w:w="0" w:type="dxa"/>
            <w:bottom w:w="0" w:type="dxa"/>
          </w:tblCellMar>
        </w:tblPrEx>
        <w:trPr>
          <w:cantSplit/>
        </w:trPr>
        <w:tc>
          <w:tcPr>
            <w:tcW w:w="921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6. Molekulaóriások</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óriásmolekulák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jellegzetességei</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Típusaik (szénhidrogének, poliszaharidok, lipidek, fehérjék, nukleinsavak). Létrejöttük monomerek összekapcsolódásával. </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szénhidrogének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Kőolajpárlatok és fölhasználásuk, különös tekintettel a környezeti ártalmakra. Halogénezett szénhidrogének és műanyagok, fölhasználásuk, veszélyeik.</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szénhidrátok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keményítő és a cellulóz fölépítése, tulajdonságai, előfordulása.</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lipidek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Biológiai jelentőségük.</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fehérjék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Képződésük, csoportjaik, hidrolízisük (emésztés).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Biológiai jelentőségük. Tulajdonságaik változása fizikai-kémiai hatásokra (kicsapódás, mérgek hatása). </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nukleinsavak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Alaptípusaik, genetikai jelentőségük.</w:t>
            </w:r>
          </w:p>
        </w:tc>
      </w:tr>
      <w:tr w:rsidR="004C2997">
        <w:tblPrEx>
          <w:tblCellMar>
            <w:top w:w="0" w:type="dxa"/>
            <w:bottom w:w="0" w:type="dxa"/>
          </w:tblCellMar>
        </w:tblPrEx>
        <w:trPr>
          <w:cantSplit/>
        </w:trPr>
        <w:tc>
          <w:tcPr>
            <w:tcW w:w="921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7. Atomcsoportok (vegyületek, halmazok)</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Kötéstípusok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molekula-, ion-, atom- és fémrács jellemzői, kialakulásuk feltételei. Az első- és másodrendű kötés fajtái. Gyakorlati következményeik: adszorpció, hajszál-csövesség, oldhatóság.</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Molekulák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kovalens kötés kialakulása. Kötő és nemkötő elektronpárok, delokalizáció.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polaritás magyarázata az elektronegativitás és a molekulaszerkezet alapján. </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Anyagi halmazok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Gázok: egyesített gáztörvény (Kelvin-skála), Avogadro törvénye és értelmezésük.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Folyadékok: oldatok, koncentrációjuk, sűrűségük. Anyagáramlás gázokban és folyadékokban (diffúzió).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Kristályok: a rácsszerkezet és a fizikai tulajdonságok kapcsolata. </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Átalakulások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Fizikai és kémiai átalakulás.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Mechanikai és termikus kölcsönhatások, mechanikai megmaradási törvények, az I. főtétel. A folyamatok iránya, irreverzibilitás.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halmazállapot-változások, értelmezésük, jelentőségük. Exo- és endoterm reakciók.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változás (reakció) sebessége, a dinamikus egyensúly.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reakciósebességet befolyásoló tényezők (hőmérséklet, koncentráció, katalizátorok). </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Reakciótípusok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Sav-bázis és redoxireakciók, a kondenzáció és a hidrolízis. Polimerképződés. </w:t>
            </w:r>
          </w:p>
        </w:tc>
      </w:tr>
      <w:tr w:rsidR="004C2997">
        <w:tblPrEx>
          <w:tblCellMar>
            <w:top w:w="0" w:type="dxa"/>
            <w:bottom w:w="0" w:type="dxa"/>
          </w:tblCellMar>
        </w:tblPrEx>
        <w:trPr>
          <w:cantSplit/>
        </w:trPr>
        <w:tc>
          <w:tcPr>
            <w:tcW w:w="921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8. Atomok, elemi részek </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Elemi részek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Proton, neutron, elektron, ion.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elektron kettős természete.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foton, a fény kettős természete.</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atom</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atom felépítése: az atommag összetétele, az elektronburok.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Maghasadás, magfúzió. A napsugárzás hatása a földi életre. A radioaktív sugárzások fajtái, jellemzői.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atomenergia felhasználása. A sugárvédelem alapjai.</w:t>
            </w:r>
          </w:p>
        </w:tc>
      </w:tr>
      <w:tr w:rsidR="004C2997">
        <w:tblPrEx>
          <w:tblCellMar>
            <w:top w:w="0" w:type="dxa"/>
            <w:bottom w:w="0" w:type="dxa"/>
          </w:tblCellMar>
        </w:tblPrEx>
        <w:tc>
          <w:tcPr>
            <w:tcW w:w="248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Kémiai elemek</w:t>
            </w:r>
          </w:p>
        </w:tc>
        <w:tc>
          <w:tcPr>
            <w:tcW w:w="67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kémiai elem.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periódusos rendszerben megnyilvánuló alapvető tendenciák, szabályszerűségek.</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LATIN NYELVI</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latin nyelv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élő nyelvek tanulásakor megismerhető más kultúrák a latin esetében térbeli helyett időbeli eltérést mutatnak: saját európai és nemzeti múltunk jelentős kulturális értékeinek felfedezését. Az élő nyelvek köznapi beszédhelyzetekben történő alkalmazásával szemben latin nyelvtudásukat a vizsgázók írott szövegek megértéséhez alkalmazzák, mely szövegek az egyidejű emberi kapcsolatok kialakításának lehetősége helyett általános esztétikai, erkölcsi értékkel vagy történeti fontossággal bírnak.</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tantárgy vizsgájának célja kettős. Vizsgálja egyrészt a latin nyelv elemeinek és szabályainak gyakorlott és tudatos használatát, másrészt pedig Európa latin nyelvű kultúrájának térbeli és időbeli kereteiről, szakaszairól, megjelenési formáiról elsajátított ismereteket, ennek keretében az antik eredetű köznyelvi és szaknyelvi kifejezéseink helyes és tudatos használatát.</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 latin érettségi vizsgájának célja annak megállapítása, hogy a vizsgázó </w:t>
      </w:r>
    </w:p>
    <w:p w:rsidR="004C2997" w:rsidRDefault="004C2997" w:rsidP="004C2997">
      <w:pPr>
        <w:tabs>
          <w:tab w:val="left" w:pos="567"/>
        </w:tabs>
        <w:autoSpaceDE w:val="0"/>
        <w:autoSpaceDN w:val="0"/>
        <w:adjustRightInd w:val="0"/>
        <w:spacing w:after="0" w:line="240" w:lineRule="auto"/>
        <w:ind w:left="51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pontos szövegértésre, azok megfelelő szóbeli előadására és fordítására;</w:t>
      </w:r>
    </w:p>
    <w:p w:rsidR="004C2997" w:rsidRDefault="004C2997" w:rsidP="004C2997">
      <w:pPr>
        <w:tabs>
          <w:tab w:val="left" w:pos="567"/>
        </w:tabs>
        <w:autoSpaceDE w:val="0"/>
        <w:autoSpaceDN w:val="0"/>
        <w:adjustRightInd w:val="0"/>
        <w:spacing w:after="0" w:line="240" w:lineRule="auto"/>
        <w:ind w:left="51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más idegen nyelvek tanulására is érvényes grammatikai tudatossággal;</w:t>
      </w:r>
    </w:p>
    <w:p w:rsidR="004C2997" w:rsidRDefault="004C2997" w:rsidP="004C2997">
      <w:pPr>
        <w:tabs>
          <w:tab w:val="left" w:pos="567"/>
        </w:tabs>
        <w:autoSpaceDE w:val="0"/>
        <w:autoSpaceDN w:val="0"/>
        <w:adjustRightInd w:val="0"/>
        <w:spacing w:after="0" w:line="240" w:lineRule="auto"/>
        <w:ind w:left="511"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az európai kultúra alapjairól szerzett ismeretei közvetítésére, ezek összekapcsolására a magyar kultúrával.</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 nyelvtudás nehezen meghatározható, sok elemből összetevődő fogalom: különböző nyelvi, szociális és pszichológiai ismeretek és képességek összessége. A követelményeket ezt figyelembe véve a nyelvtudás egyes elemeire bontva határozzuk meg: </w:t>
      </w:r>
      <w:r>
        <w:rPr>
          <w:rFonts w:ascii="Times New Roman" w:hAnsi="Times New Roman" w:cs="Times New Roman"/>
          <w:i/>
          <w:iCs/>
          <w:sz w:val="20"/>
          <w:szCs w:val="20"/>
        </w:rPr>
        <w:t>készségek</w:t>
      </w:r>
      <w:r>
        <w:rPr>
          <w:rFonts w:ascii="Times New Roman" w:hAnsi="Times New Roman" w:cs="Times New Roman"/>
          <w:sz w:val="20"/>
          <w:szCs w:val="20"/>
        </w:rPr>
        <w:t xml:space="preserve"> és </w:t>
      </w:r>
      <w:r>
        <w:rPr>
          <w:rFonts w:ascii="Times New Roman" w:hAnsi="Times New Roman" w:cs="Times New Roman"/>
          <w:i/>
          <w:iCs/>
          <w:sz w:val="20"/>
          <w:szCs w:val="20"/>
        </w:rPr>
        <w:t>nyelvi eszköztár</w:t>
      </w:r>
      <w:r>
        <w:rPr>
          <w:rFonts w:ascii="Times New Roman" w:hAnsi="Times New Roman" w:cs="Times New Roman"/>
          <w:sz w:val="20"/>
          <w:szCs w:val="20"/>
        </w:rPr>
        <w:t xml:space="preserve">. Az összetett célrendszer sajátos témák megadásával is jár. A </w:t>
      </w:r>
      <w:r>
        <w:rPr>
          <w:rFonts w:ascii="Times New Roman" w:hAnsi="Times New Roman" w:cs="Times New Roman"/>
          <w:i/>
          <w:iCs/>
          <w:sz w:val="20"/>
          <w:szCs w:val="20"/>
        </w:rPr>
        <w:t>kulturális ismeretek</w:t>
      </w:r>
      <w:r>
        <w:rPr>
          <w:rFonts w:ascii="Times New Roman" w:hAnsi="Times New Roman" w:cs="Times New Roman"/>
          <w:sz w:val="20"/>
          <w:szCs w:val="20"/>
        </w:rPr>
        <w:t xml:space="preserve"> és az azok forrásaiként szolgáló </w:t>
      </w:r>
      <w:r>
        <w:rPr>
          <w:rFonts w:ascii="Times New Roman" w:hAnsi="Times New Roman" w:cs="Times New Roman"/>
          <w:i/>
          <w:iCs/>
          <w:sz w:val="20"/>
          <w:szCs w:val="20"/>
        </w:rPr>
        <w:t>szöveganyag</w:t>
      </w:r>
      <w:r>
        <w:rPr>
          <w:rFonts w:ascii="Times New Roman" w:hAnsi="Times New Roman" w:cs="Times New Roman"/>
          <w:sz w:val="20"/>
          <w:szCs w:val="20"/>
        </w:rPr>
        <w:t xml:space="preserve"> egymással szervesen összefüggő rendszerként foghatók fel. </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 vizsga két szintje közötti különbség a megértendő, illetve lefordítandó szövegek fajtájában, összetettségében, terjedelmében, a nyelvi készségek, lexikai és leíró nyelvtani ismeretek elsősorban mennyiségi különbségében, valamint a feladatok típusában mutatkozik meg. </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tbl>
      <w:tblPr>
        <w:tblW w:w="0" w:type="auto"/>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432"/>
        <w:gridCol w:w="6640"/>
      </w:tblGrid>
      <w:tr w:rsidR="004C2997">
        <w:tblPrEx>
          <w:tblCellMar>
            <w:top w:w="0" w:type="dxa"/>
            <w:bottom w:w="0" w:type="dxa"/>
          </w:tblCellMar>
        </w:tblPrEx>
        <w:tc>
          <w:tcPr>
            <w:tcW w:w="2432" w:type="dxa"/>
            <w:shd w:val="pct25" w:color="000000"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6640" w:type="dxa"/>
            <w:shd w:val="pct25" w:color="000000"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Készségek</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Olvasás és beszédkészség</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humanista vagy restituált kiejtési szabályok </w:t>
            </w:r>
            <w:r>
              <w:rPr>
                <w:rFonts w:ascii="Times New Roman" w:hAnsi="Times New Roman" w:cs="Times New Roman"/>
                <w:i/>
                <w:iCs/>
                <w:sz w:val="20"/>
                <w:szCs w:val="20"/>
              </w:rPr>
              <w:t>egyike</w:t>
            </w:r>
            <w:r>
              <w:rPr>
                <w:rFonts w:ascii="Times New Roman" w:hAnsi="Times New Roman" w:cs="Times New Roman"/>
                <w:sz w:val="20"/>
                <w:szCs w:val="20"/>
              </w:rPr>
              <w:t xml:space="preserve"> szerint tetszőleges klasszikus latin szöveg helyes felolvasása, valamint a </w:t>
            </w:r>
            <w:r>
              <w:rPr>
                <w:rFonts w:ascii="Times New Roman" w:hAnsi="Times New Roman" w:cs="Times New Roman"/>
                <w:i/>
                <w:iCs/>
                <w:sz w:val="20"/>
                <w:szCs w:val="20"/>
              </w:rPr>
              <w:t>másik</w:t>
            </w:r>
            <w:r>
              <w:rPr>
                <w:rFonts w:ascii="Times New Roman" w:hAnsi="Times New Roman" w:cs="Times New Roman"/>
                <w:sz w:val="20"/>
                <w:szCs w:val="20"/>
              </w:rPr>
              <w:t xml:space="preserve"> kiejtési rendszer szabályainak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Hexameterben, illetve disztichonban írott verses szövegek megfelelő ritmusú felolvasása.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témakörök forrásanyagában megadott szerzők mindegyikétől legalább egy eredeti szöveg vagy szövegrészlet kiejtés, ritmus és intonáció szempontjából egyaránt helyes, emlékezetből való (memoriter) felidézése.</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Szövegértés, fordítás</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Írásban: ismeretlen, egyszerű (a klasszikus nyelvi normáknak megfelelő, bevezetéssel, esetleg kommentárral könnyített vagy az emelt szinthez képest rövidebb) eredeti latin szöveg kifogástalan lefordítása nyomtatott szótár segítségével.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Szóban: egyszerűbb, ismert, eredeti latin szöveg segédeszköz nélküli, kifogástalan lefordítása és értelmezése a szöveg szókincsének pontos ismeretében.</w:t>
            </w: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Nyelvi eszköztár</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Adott latin szövegben előforduló lexikai elemek és nyelvi struktúrák pontos felismerése, utóbbiak elemzése és képzési szabályaik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latin leíró nyelvtan alaktana, a rendes és rendhagyó alakjainak ismerete és képzése; a mondattan főszabályainak ismerete és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 latin szövegből a legfontosabb stilisztikai eszközök kiemelése és bemutatása.</w:t>
            </w: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Témák</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Források</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Legalább az alábbi szerzők valamely eredeti művének vagy műrészletének nyelvi és tartalmi szempontú ismerete:</w:t>
            </w:r>
          </w:p>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Marcus Tullius Cicero, Caius Iulius Caesar, Caius Valerius Catullus, Publius Vergilius Maro, Titus Livius, Quintus Horatius Flaccus, Publius Ovidius Naso, Cornelius Tacitus</w:t>
            </w:r>
            <w:r>
              <w:rPr>
                <w:rFonts w:ascii="Times New Roman" w:hAnsi="Times New Roman" w:cs="Times New Roman"/>
                <w:i/>
                <w:iCs/>
                <w:sz w:val="20"/>
                <w:szCs w:val="20"/>
              </w:rPr>
              <w: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Alapvető ismeretek legalább</w:t>
            </w:r>
            <w:r>
              <w:rPr>
                <w:rFonts w:ascii="Times New Roman" w:hAnsi="Times New Roman" w:cs="Times New Roman"/>
                <w:i/>
                <w:iCs/>
                <w:sz w:val="20"/>
                <w:szCs w:val="20"/>
              </w:rPr>
              <w:t xml:space="preserve"> </w:t>
            </w:r>
            <w:r>
              <w:rPr>
                <w:rFonts w:ascii="Times New Roman" w:hAnsi="Times New Roman" w:cs="Times New Roman"/>
                <w:sz w:val="20"/>
                <w:szCs w:val="20"/>
              </w:rPr>
              <w:t>a fenti szerzők eredeti nyelven megismert szövegein túli irodalmi és egyéb működéséről.</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Kulturális ismeretek</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klasszikus antikvitásra vonatkozó, a fenti forrásokhoz kapcsolható legfontosabb földrajzi, történelmi, gazdasági és kultúrtörténeti ismeretek.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Alapvető ismeretek a latin nyelvű műveltség területeiről, időbeli és térbeli elterjedéséről, annak fontosabb szakaszairól.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Ismeretek a klasszikus antikvitás mindennapi életéről, az életkörülményekről, a társadalmi érintkezés szokásairól, az adott társadalom alapértékeiről, az ünnepekről és rítusokról.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Annak bizonyítása, hogy a vizsgázó tisztában van a megismert kulturális értékek korunkra és az egyetemes magyar kultúrára tett hatásával, ismeri e kapcsolatrendszer legfontosabb, elsősorban az általa megismert forrásokhoz köthető elemeit.</w:t>
            </w: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Egyéb készségek</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szövegkörnyezetből ismeretlen nyelvi elemekre következtés készségei és technikái.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Különféle szótárak, tanulóknak készült leíró nyelvtan és egyéb segédeszközök önálló használata.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nyelvtanulási célok elérését lehetővé tevő stratégiák, módszerek és segédeszközök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latin nyelvű szövegek fordításakor és értelmezésekor más műveltségi területekhez kapcsolódó ismeretek és készségek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432"/>
        <w:gridCol w:w="6640"/>
      </w:tblGrid>
      <w:tr w:rsidR="004C2997">
        <w:tblPrEx>
          <w:tblCellMar>
            <w:top w:w="0" w:type="dxa"/>
            <w:bottom w:w="0" w:type="dxa"/>
          </w:tblCellMar>
        </w:tblPrEx>
        <w:tc>
          <w:tcPr>
            <w:tcW w:w="2432" w:type="dxa"/>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6640" w:type="dxa"/>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Készségek</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Olvasás és beszédkészség</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humanista és restituált kiejtési szabályok bármelyike szerint tetszőleges klasszikus latin szöveg egyformán helyes felolvasása.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Hexameterben, disztichonban, lírai strófákban, iambikus formában vagy hendecasyllabusban írt verses szövegek megfelelő ritmusú felolvasása.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témakörök forrásanyagában megadott szerzők mindegyikétől legalább egy eredeti szöveg vagy szövegrészlet kiejtés, ritmus és intonáció szempontjából egyaránt helyes, emlékezetből való (memoriter) felidézése.</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Szövegértés, fordítás</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Írásban: ismeretlen, nyelvileg, tartalmilag összetettebb (esetleg a klasszikus nyelvi normáktól valamelyest eltérő) eredeti latin szöveg nyomtatott szótár segítségével történő kifogástalan lefordítása.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Szóban: nyelvileg vagy tartalmilag összetettebb, a források közt megjelölt szerzőktől származó ismeretlen szövegrészletek fordítása és értelmezése segítő kérdések alapján.</w:t>
            </w: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Nyelvi eszköztár</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Adott latin szövegben előforduló lexikai elemek és nyelvi struktúrák pontos felismerése, utóbbiak elemzése és képzési szabályaik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latin leíró nyelvtan alaktanának rendes és rendhagyó alakjai, ezek képzése, a mondattan fő- és mellékszabályainak ismerete és alkalmazása.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 vagy az érettségi vizsgán lefordított latin szövegből a legfontosabb stilisztikai eszközök kiemelése és bemutatása.</w:t>
            </w: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Témák</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Források</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Legalább az alábbi szerzők valamely eredeti művének vagy műrészletének nyelvi és tartalmi szempontú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Marcus Tullius Cicero, Caius Iulius Caesar, Titus Lucretius Carus, Caius Valerius Catullus, Publius Vergilius Maro, Titus Livius, Quintus Horatius Flaccus, Publius Ovidius Naso, Lucius Annaeus Seneca, Cornelius Tacitus.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Alapvető ismeretek legalább</w:t>
            </w:r>
            <w:r>
              <w:rPr>
                <w:rFonts w:ascii="Times New Roman" w:hAnsi="Times New Roman" w:cs="Times New Roman"/>
                <w:i/>
                <w:iCs/>
                <w:sz w:val="20"/>
                <w:szCs w:val="20"/>
              </w:rPr>
              <w:t xml:space="preserve"> </w:t>
            </w:r>
            <w:r>
              <w:rPr>
                <w:rFonts w:ascii="Times New Roman" w:hAnsi="Times New Roman" w:cs="Times New Roman"/>
                <w:sz w:val="20"/>
                <w:szCs w:val="20"/>
              </w:rPr>
              <w:t>a fenti szerzők eredeti nyelven megismert szövegein túli irodalmi és egyéb működéséről.</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Kulturális ismeretek</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klasszikus antikvitásra vonatkozó, a fenti forrásokhoz kapcsolható legfontosabb földrajzi, történelmi, gazdasági és kultúrtörténeti ismeretek.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Alapvető ismeretek a latin nyelvű műveltség területeiről, időbeli és térbeli elterjedéséről, annak fontosabb szakaszairól.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Ismeretek a klasszikus antikvitás mindennapi életéről, az életkörülményekről, a társadalmi érintkezés szokásairól, az adott társadalom alapértékeiről, az ünnepekről és rítusokról.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Annak bizonyítása, hogy a vizsgázó tisztában van a megismert kulturális értékek korunkra és az egyetemes magyar kultúrára tett hatásával, ismeri e kapcsolatrendszer legfontosabb, elsősorban az általa megismert forrásokhoz köthető elemeit.</w:t>
            </w:r>
          </w:p>
        </w:tc>
      </w:tr>
      <w:tr w:rsidR="004C2997">
        <w:tblPrEx>
          <w:tblCellMar>
            <w:top w:w="0" w:type="dxa"/>
            <w:bottom w:w="0" w:type="dxa"/>
          </w:tblCellMar>
        </w:tblPrEx>
        <w:trPr>
          <w:cantSplit/>
        </w:trPr>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Egyéb készségek</w:t>
            </w:r>
          </w:p>
        </w:tc>
      </w:tr>
      <w:tr w:rsidR="004C2997">
        <w:tblPrEx>
          <w:tblCellMar>
            <w:top w:w="0" w:type="dxa"/>
            <w:bottom w:w="0" w:type="dxa"/>
          </w:tblCellMar>
        </w:tblPrEx>
        <w:tc>
          <w:tcPr>
            <w:tcW w:w="2432"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Szövegkörnyezetből ismeretlen nyelvi elemekre következtetés készségei és technikái; különféle szótárak, tanulóknak készült leíró nyelvtan és egyéb segédeszközök önálló használata.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nyelvtanulási célok elérését lehetővé tevő stratégiák, módszerek és segédeszközök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latin nyelvű szövegek fordításakor és értelmezésekor más műveltségi területekhez kapcsolódó ismeretek és készségek alkalmazása.</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EMBERISMERET, ETIKA</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 írásbeli és szóbeli.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 írásbeli és szóbeli.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Az emberismeret, etika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emberismeret, etika érettségi vizsga célja annak megállapítása, hogy a vizsgázó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azokkal a kommunikációs készségekkel és tárgyi ismeretekkel, amelyek képessé teszik, hogy az erkölcsi dilemmákat, döntési helyzeteket felismerje, értelmezze és érvelni tudjon saját választásai mellett;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megismerkedett-e a különböző etikai érvelésmódok alapelveivel és belső logikájával;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filozófiai antropológiai és az etika alapfogalmait;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tisztában van-e a civilizációnkban általánosan elfogadott erkölcsi alapértékek jelentőségével, és képes-e ezeket értelmezni meghatározott élethelyzetek összefüggésében;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szert tett-e az ember erkölcsi méltóságától elválaszthatatlan személyi felelősség dimenzióinak mélyebb belátására.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emberismeret, etika érettségi vizsga tematikája felöleli az etikai reflexió alapvető szintjeit (lelkiismeret, társas kapcsolatok, közerkölcs stb.), illetve egy-egy életterület erkölcsi kérdéseit (munka, szexualitás, kisebbségi helyzet). Ezeket a vizsgázó a középszintű vizsgán személyes tapasztalatai és középiskolában elsajátított ismeretei</w:t>
      </w:r>
      <w:r>
        <w:rPr>
          <w:rFonts w:ascii="Times New Roman" w:hAnsi="Times New Roman" w:cs="Times New Roman"/>
          <w:i/>
          <w:iCs/>
          <w:sz w:val="20"/>
          <w:szCs w:val="20"/>
        </w:rPr>
        <w:t xml:space="preserve"> (pl. történelmi, irodalmi, társadalomismereti, pszichológiai és etikai)</w:t>
      </w:r>
      <w:r>
        <w:rPr>
          <w:rFonts w:ascii="Times New Roman" w:hAnsi="Times New Roman" w:cs="Times New Roman"/>
          <w:sz w:val="20"/>
          <w:szCs w:val="20"/>
        </w:rPr>
        <w:t xml:space="preserve"> alapján értelmezi. Mindez alkalmat ad arra, hogy bizonyítsa jártasságát az emberi kapcsolatok világában, a különféle etikai érvelésmódok és értéktételezések területén, valamint arra, hogy felismerjen értékdilemmákat és ezekben állást foglaljon. E feladat alapvetően induktív jellegű: kiindulópontja egy élethelyzet értelmezése. Az emelt szintű vizsga keretében a vizsgázó számot ad az etika egyes területein szerzett fogalmi ismereteiről, bizonyítja jártasságát az erkölcsi hagyományban. Az elvont meghatározások és érvelésmódok bemutatását olvasmányokból, élethelyzetekből merített példák tehetik személyessé és szemléletessé.</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2410"/>
        <w:gridCol w:w="6666"/>
      </w:tblGrid>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shd w:val="pct25" w:color="auto" w:fill="auto"/>
            <w:vAlign w:val="center"/>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6666" w:type="dxa"/>
            <w:tcBorders>
              <w:top w:val="single" w:sz="6" w:space="0" w:color="auto"/>
              <w:left w:val="single" w:sz="6" w:space="0" w:color="auto"/>
              <w:bottom w:val="single" w:sz="6" w:space="0" w:color="auto"/>
              <w:right w:val="single" w:sz="6" w:space="0" w:color="auto"/>
            </w:tcBorders>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2410" w:type="dxa"/>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 Az emberi természet</w:t>
            </w:r>
          </w:p>
        </w:tc>
        <w:tc>
          <w:tcPr>
            <w:tcW w:w="6666" w:type="dxa"/>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biológia, a történelem, a pszichológia és az etika emberfogalma.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gondolkodó-, a társas- és az alkotó lény.</w:t>
            </w:r>
          </w:p>
        </w:tc>
      </w:tr>
      <w:tr w:rsidR="004C2997">
        <w:tblPrEx>
          <w:tblCellMar>
            <w:top w:w="0" w:type="dxa"/>
            <w:bottom w:w="0" w:type="dxa"/>
          </w:tblCellMar>
        </w:tblPrEx>
        <w:trPr>
          <w:cantSplit/>
        </w:trPr>
        <w:tc>
          <w:tcPr>
            <w:tcW w:w="241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2. Az erkölcsi lény</w:t>
            </w:r>
          </w:p>
        </w:tc>
        <w:tc>
          <w:tcPr>
            <w:tcW w:w="6666" w:type="dxa"/>
            <w:tcBorders>
              <w:top w:val="nil"/>
              <w:left w:val="nil"/>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erkölcsi személyiség kialakulása az egyén szocializációja során.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szabadság fogalma, szabadságfelfogások.</w:t>
            </w:r>
          </w:p>
        </w:tc>
      </w:tr>
      <w:tr w:rsidR="004C2997">
        <w:tblPrEx>
          <w:tblCellMar>
            <w:top w:w="0" w:type="dxa"/>
            <w:bottom w:w="0" w:type="dxa"/>
          </w:tblCellMar>
        </w:tblPrEx>
        <w:trPr>
          <w:cantSplit/>
        </w:trPr>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3. Az erkölcsi cselekedet</w:t>
            </w:r>
          </w:p>
        </w:tc>
        <w:tc>
          <w:tcPr>
            <w:tcW w:w="6666"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Szokáserkölcs, tekintélyelv, lelkiismereti szabadság, konszenzus.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Felelősség.</w:t>
            </w:r>
          </w:p>
        </w:tc>
      </w:tr>
      <w:tr w:rsidR="004C2997">
        <w:tblPrEx>
          <w:tblCellMar>
            <w:top w:w="0" w:type="dxa"/>
            <w:bottom w:w="0" w:type="dxa"/>
          </w:tblCellMar>
        </w:tblPrEx>
        <w:trPr>
          <w:cantSplit/>
        </w:trPr>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4. Az etika megalapozása</w:t>
            </w:r>
          </w:p>
        </w:tc>
        <w:tc>
          <w:tcPr>
            <w:tcW w:w="6666"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Meggyőződés, hit, kétely, nyitottság, előítélet, tolerancia.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erkölcsi ítélet. Életformák sokfélesége.</w:t>
            </w:r>
          </w:p>
        </w:tc>
      </w:tr>
      <w:tr w:rsidR="004C2997">
        <w:tblPrEx>
          <w:tblCellMar>
            <w:top w:w="0" w:type="dxa"/>
            <w:bottom w:w="0" w:type="dxa"/>
          </w:tblCellMar>
        </w:tblPrEx>
        <w:trPr>
          <w:cantSplit/>
        </w:trPr>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5. Az erények és a jellem</w:t>
            </w:r>
          </w:p>
        </w:tc>
        <w:tc>
          <w:tcPr>
            <w:tcW w:w="6666"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európai civilizáció általános alapértékei.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Adottságok, körülmények. Önismeret, önnevelés, a jellem fejlődése.</w:t>
            </w:r>
          </w:p>
        </w:tc>
      </w:tr>
      <w:tr w:rsidR="004C2997">
        <w:tblPrEx>
          <w:tblCellMar>
            <w:top w:w="0" w:type="dxa"/>
            <w:bottom w:w="0" w:type="dxa"/>
          </w:tblCellMar>
        </w:tblPrEx>
        <w:trPr>
          <w:cantSplit/>
        </w:trPr>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6. Társas kapcsolatok</w:t>
            </w:r>
          </w:p>
        </w:tc>
        <w:tc>
          <w:tcPr>
            <w:tcW w:w="6666"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erkölcsi párbeszéd pszichológiai és szociokulturális dimenziói.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Segítség, részvét, szolgálat, kölcsönösség.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Barátok és ellenfelek. Szeretet, hűség, harc.</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családi élet erkölcsi kérdései.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Szerelem, házasság, szexualitás. Az emberi méltóság. </w:t>
            </w:r>
          </w:p>
        </w:tc>
      </w:tr>
      <w:tr w:rsidR="004C2997">
        <w:tblPrEx>
          <w:tblCellMar>
            <w:top w:w="0" w:type="dxa"/>
            <w:bottom w:w="0" w:type="dxa"/>
          </w:tblCellMar>
        </w:tblPrEx>
        <w:trPr>
          <w:cantSplit/>
        </w:trPr>
        <w:tc>
          <w:tcPr>
            <w:tcW w:w="241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i/>
                <w:iCs/>
                <w:sz w:val="20"/>
                <w:szCs w:val="20"/>
              </w:rPr>
            </w:pPr>
            <w:r>
              <w:rPr>
                <w:rFonts w:ascii="Times New Roman" w:hAnsi="Times New Roman" w:cs="Times New Roman"/>
                <w:b/>
                <w:bCs/>
                <w:sz w:val="20"/>
                <w:szCs w:val="20"/>
              </w:rPr>
              <w:lastRenderedPageBreak/>
              <w:t>7. Erkölcs és társadalom</w:t>
            </w:r>
          </w:p>
        </w:tc>
        <w:tc>
          <w:tcPr>
            <w:tcW w:w="6666" w:type="dxa"/>
            <w:tcBorders>
              <w:top w:val="single" w:sz="6" w:space="0" w:color="auto"/>
              <w:left w:val="nil"/>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Emberi alapjogok, kötelességek.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Közbeszéd, szólásszabadság.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Konfliktusok, konfliktusok kezelése.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Hazaszeretet.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Munkaerkölcs. Erkölcs és gazdaság.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Társadalmi igazságosság.</w:t>
            </w:r>
          </w:p>
        </w:tc>
      </w:tr>
      <w:tr w:rsidR="004C2997">
        <w:tblPrEx>
          <w:tblCellMar>
            <w:top w:w="0" w:type="dxa"/>
            <w:bottom w:w="0" w:type="dxa"/>
          </w:tblCellMar>
        </w:tblPrEx>
        <w:trPr>
          <w:cantSplit/>
        </w:trPr>
        <w:tc>
          <w:tcPr>
            <w:tcW w:w="241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i/>
                <w:iCs/>
                <w:sz w:val="20"/>
                <w:szCs w:val="20"/>
              </w:rPr>
            </w:pPr>
            <w:r>
              <w:rPr>
                <w:rFonts w:ascii="Times New Roman" w:hAnsi="Times New Roman" w:cs="Times New Roman"/>
                <w:b/>
                <w:bCs/>
                <w:sz w:val="20"/>
                <w:szCs w:val="20"/>
              </w:rPr>
              <w:t>8. Vallás és erkölcs</w:t>
            </w:r>
          </w:p>
        </w:tc>
        <w:tc>
          <w:tcPr>
            <w:tcW w:w="6666" w:type="dxa"/>
            <w:tcBorders>
              <w:top w:val="single" w:sz="6" w:space="0" w:color="auto"/>
              <w:left w:val="nil"/>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kereszténység erkölcsi tanításának lényege.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zsidó-keresztény hagyomány hatása az európai civilizáció fejlődésére.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Valláserkölcs és világi etika.</w:t>
            </w:r>
          </w:p>
        </w:tc>
      </w:tr>
      <w:tr w:rsidR="004C2997">
        <w:tblPrEx>
          <w:tblCellMar>
            <w:top w:w="0" w:type="dxa"/>
            <w:bottom w:w="0" w:type="dxa"/>
          </w:tblCellMar>
        </w:tblPrEx>
        <w:trPr>
          <w:cantSplit/>
        </w:trPr>
        <w:tc>
          <w:tcPr>
            <w:tcW w:w="241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i/>
                <w:iCs/>
                <w:sz w:val="20"/>
                <w:szCs w:val="20"/>
              </w:rPr>
            </w:pPr>
            <w:r>
              <w:rPr>
                <w:rFonts w:ascii="Times New Roman" w:hAnsi="Times New Roman" w:cs="Times New Roman"/>
                <w:b/>
                <w:bCs/>
                <w:sz w:val="20"/>
                <w:szCs w:val="20"/>
              </w:rPr>
              <w:t>9. Korunk erkölcsi kihívásai</w:t>
            </w:r>
          </w:p>
        </w:tc>
        <w:tc>
          <w:tcPr>
            <w:tcW w:w="6666" w:type="dxa"/>
            <w:tcBorders>
              <w:top w:val="single" w:sz="6" w:space="0" w:color="auto"/>
              <w:left w:val="nil"/>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tudományos-technológiai haladás erkölcsi dilemmái.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Élet és tudomány: születésszabályozás, géntechnológia, a méltóságteljes halál.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 és más élőlények. Az állatvédelem etikai alapjai.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Környezeti etika.</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2422"/>
        <w:gridCol w:w="6654"/>
      </w:tblGrid>
      <w:tr w:rsidR="004C2997">
        <w:tblPrEx>
          <w:tblCellMar>
            <w:top w:w="0" w:type="dxa"/>
            <w:bottom w:w="0" w:type="dxa"/>
          </w:tblCellMar>
        </w:tblPrEx>
        <w:tc>
          <w:tcPr>
            <w:tcW w:w="2422" w:type="dxa"/>
            <w:tcBorders>
              <w:top w:val="single" w:sz="6" w:space="0" w:color="auto"/>
              <w:left w:val="single" w:sz="6" w:space="0" w:color="auto"/>
              <w:bottom w:val="single" w:sz="6" w:space="0" w:color="auto"/>
              <w:right w:val="single" w:sz="6" w:space="0" w:color="auto"/>
            </w:tcBorders>
            <w:shd w:val="pct25" w:color="auto" w:fill="auto"/>
            <w:vAlign w:val="center"/>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6654" w:type="dxa"/>
            <w:tcBorders>
              <w:top w:val="single" w:sz="6" w:space="0" w:color="auto"/>
              <w:left w:val="single" w:sz="6" w:space="0" w:color="auto"/>
              <w:bottom w:val="single" w:sz="6" w:space="0" w:color="auto"/>
              <w:right w:val="single" w:sz="6" w:space="0" w:color="auto"/>
            </w:tcBorders>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2422"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 Az emberi természet</w:t>
            </w:r>
          </w:p>
        </w:tc>
        <w:tc>
          <w:tcPr>
            <w:tcW w:w="6654" w:type="dxa"/>
            <w:tcBorders>
              <w:top w:val="nil"/>
              <w:left w:val="nil"/>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 mint élőlény és szellemi lény. Az öntudat fogalma és az erkölcsi személyiség.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társas kapcsolatok szerepe az öntudatos én kialakulásában.</w:t>
            </w:r>
          </w:p>
        </w:tc>
      </w:tr>
      <w:tr w:rsidR="004C2997">
        <w:tblPrEx>
          <w:tblCellMar>
            <w:top w:w="0" w:type="dxa"/>
            <w:bottom w:w="0" w:type="dxa"/>
          </w:tblCellMar>
        </w:tblPrEx>
        <w:trPr>
          <w:cantSplit/>
        </w:trPr>
        <w:tc>
          <w:tcPr>
            <w:tcW w:w="2422"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2. Az erkölcsi lény</w:t>
            </w:r>
          </w:p>
        </w:tc>
        <w:tc>
          <w:tcPr>
            <w:tcW w:w="6654" w:type="dxa"/>
            <w:tcBorders>
              <w:top w:val="nil"/>
              <w:left w:val="nil"/>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 történetisége.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erkölcsi cselekedetek motiválói.</w:t>
            </w:r>
          </w:p>
        </w:tc>
      </w:tr>
      <w:tr w:rsidR="004C2997">
        <w:tblPrEx>
          <w:tblCellMar>
            <w:top w:w="0" w:type="dxa"/>
            <w:bottom w:w="0" w:type="dxa"/>
          </w:tblCellMar>
        </w:tblPrEx>
        <w:trPr>
          <w:cantSplit/>
        </w:trPr>
        <w:tc>
          <w:tcPr>
            <w:tcW w:w="2422"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i/>
                <w:iCs/>
                <w:sz w:val="20"/>
                <w:szCs w:val="20"/>
              </w:rPr>
            </w:pPr>
            <w:r>
              <w:rPr>
                <w:rFonts w:ascii="Times New Roman" w:hAnsi="Times New Roman" w:cs="Times New Roman"/>
                <w:b/>
                <w:bCs/>
                <w:sz w:val="20"/>
                <w:szCs w:val="20"/>
              </w:rPr>
              <w:t>3. Az erkölcsi cselekedet</w:t>
            </w:r>
          </w:p>
        </w:tc>
        <w:tc>
          <w:tcPr>
            <w:tcW w:w="6654" w:type="dxa"/>
            <w:tcBorders>
              <w:top w:val="single" w:sz="6" w:space="0" w:color="auto"/>
              <w:left w:val="nil"/>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hagyomány értelme.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jó és a rossz megkülönböztetése. A szenvedés tapasztalata és a rossz eredete.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Szabadság és meghatározottság. Szándék és következmény.</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tetteinkért és a mások sorsáért viselt felelősség.</w:t>
            </w:r>
          </w:p>
        </w:tc>
      </w:tr>
      <w:tr w:rsidR="004C2997">
        <w:tblPrEx>
          <w:tblCellMar>
            <w:top w:w="0" w:type="dxa"/>
            <w:bottom w:w="0" w:type="dxa"/>
          </w:tblCellMar>
        </w:tblPrEx>
        <w:trPr>
          <w:cantSplit/>
        </w:trPr>
        <w:tc>
          <w:tcPr>
            <w:tcW w:w="2422"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4. Az etika megalapozása</w:t>
            </w:r>
          </w:p>
          <w:p w:rsidR="004C2997" w:rsidRDefault="004C2997">
            <w:pPr>
              <w:autoSpaceDE w:val="0"/>
              <w:autoSpaceDN w:val="0"/>
              <w:adjustRightInd w:val="0"/>
              <w:spacing w:after="0" w:line="240" w:lineRule="auto"/>
              <w:rPr>
                <w:rFonts w:ascii="Times New Roman" w:hAnsi="Times New Roman" w:cs="Times New Roman"/>
                <w:b/>
                <w:bCs/>
                <w:sz w:val="20"/>
                <w:szCs w:val="20"/>
              </w:rPr>
            </w:pPr>
          </w:p>
        </w:tc>
        <w:tc>
          <w:tcPr>
            <w:tcW w:w="6654" w:type="dxa"/>
            <w:tcBorders>
              <w:top w:val="single" w:sz="6" w:space="0" w:color="auto"/>
              <w:left w:val="nil"/>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Materiális értéketikák (tekintélyelvű, természetjogi és konvencionális érvelésmódok).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etikai formalizmus (kötelesség- és haszonelvű elméletek, konszenzus-etikák).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Személyközpontú etikai tanítások (felelősség- és dialógus-etikák).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erkölcsi törvények.</w:t>
            </w:r>
          </w:p>
        </w:tc>
      </w:tr>
      <w:tr w:rsidR="004C2997">
        <w:tblPrEx>
          <w:tblCellMar>
            <w:top w:w="0" w:type="dxa"/>
            <w:bottom w:w="0" w:type="dxa"/>
          </w:tblCellMar>
        </w:tblPrEx>
        <w:trPr>
          <w:cantSplit/>
        </w:trPr>
        <w:tc>
          <w:tcPr>
            <w:tcW w:w="2422"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5. Az erények és a jellem</w:t>
            </w:r>
          </w:p>
        </w:tc>
        <w:tc>
          <w:tcPr>
            <w:tcW w:w="6654" w:type="dxa"/>
            <w:tcBorders>
              <w:top w:val="single" w:sz="6" w:space="0" w:color="auto"/>
              <w:left w:val="nil"/>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Erkölcsi alapértékek az európai civilizációban.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Önismeret és önnevelés.</w:t>
            </w:r>
          </w:p>
        </w:tc>
      </w:tr>
      <w:tr w:rsidR="004C2997">
        <w:tblPrEx>
          <w:tblCellMar>
            <w:top w:w="0" w:type="dxa"/>
            <w:bottom w:w="0" w:type="dxa"/>
          </w:tblCellMar>
        </w:tblPrEx>
        <w:trPr>
          <w:cantSplit/>
        </w:trPr>
        <w:tc>
          <w:tcPr>
            <w:tcW w:w="2422"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6. Társas kapcsolatok</w:t>
            </w:r>
          </w:p>
        </w:tc>
        <w:tc>
          <w:tcPr>
            <w:tcW w:w="6654" w:type="dxa"/>
            <w:tcBorders>
              <w:top w:val="single" w:sz="6" w:space="0" w:color="auto"/>
              <w:left w:val="nil"/>
              <w:bottom w:val="single" w:sz="4"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Erkölcs és jog, erkölcs és politika.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Állampolgári erények (kímélet, részvét, áldozat másokért).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emberi jogok.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Törvénytisztelet és polgári engedetlenség.</w:t>
            </w:r>
          </w:p>
        </w:tc>
      </w:tr>
      <w:tr w:rsidR="004C2997">
        <w:tblPrEx>
          <w:tblCellMar>
            <w:top w:w="0" w:type="dxa"/>
            <w:bottom w:w="0" w:type="dxa"/>
          </w:tblCellMar>
        </w:tblPrEx>
        <w:trPr>
          <w:cantSplit/>
        </w:trPr>
        <w:tc>
          <w:tcPr>
            <w:tcW w:w="242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7. Erkölcs és társadalom</w:t>
            </w:r>
          </w:p>
        </w:tc>
        <w:tc>
          <w:tcPr>
            <w:tcW w:w="6654"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242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8. Vallás és erkölcs</w:t>
            </w:r>
          </w:p>
        </w:tc>
        <w:tc>
          <w:tcPr>
            <w:tcW w:w="6654"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keresztény erkölcsi tanítás lényege.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Valláserkölcs és világi etika.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Természet feletti uralom, nemi szerepek, nemzet és egyetemes emberiség, törvénytisztelet, polgári engedetlenség – különböző álláspontok.</w:t>
            </w:r>
          </w:p>
        </w:tc>
      </w:tr>
      <w:tr w:rsidR="004C2997">
        <w:tblPrEx>
          <w:tblCellMar>
            <w:top w:w="0" w:type="dxa"/>
            <w:bottom w:w="0" w:type="dxa"/>
          </w:tblCellMar>
        </w:tblPrEx>
        <w:trPr>
          <w:cantSplit/>
        </w:trPr>
        <w:tc>
          <w:tcPr>
            <w:tcW w:w="242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9. Korunk erkölcsi</w:t>
            </w:r>
          </w:p>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kihívásai</w:t>
            </w:r>
          </w:p>
        </w:tc>
        <w:tc>
          <w:tcPr>
            <w:tcW w:w="6654"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tudományos-technológiai haladás erkölcsi dilemmái.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 és más élőlények.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élővilág rendjének és sokféleségének megőrzése.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Környezeti etika.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jövő nemzedékekért viselt felelősség.</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TÁRSADALOMISMERET</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 társadalomismeret elsősorban abban különbözik a többi vizsgatárgytól, hogy belső elágazásokat, alternatívákat tartalmaz. Konkrétan ez az jelenti, hogy a 11. évfolyamon két, egymástól eltérő szemléletű tananyagból – pszichológia vagy gazdasági ismeretek – választhatnak a tanárok, illetve a diákok. Az érettségi vizsga általános követelményeiben mindez úgy érvényesül, hogy a Társadalomismeret követelményei mellé választandó Pszichológia </w:t>
      </w:r>
      <w:r>
        <w:rPr>
          <w:rFonts w:ascii="Times New Roman" w:hAnsi="Times New Roman" w:cs="Times New Roman"/>
          <w:i/>
          <w:iCs/>
          <w:sz w:val="20"/>
          <w:szCs w:val="20"/>
        </w:rPr>
        <w:t xml:space="preserve">vagy </w:t>
      </w:r>
      <w:r>
        <w:rPr>
          <w:rFonts w:ascii="Times New Roman" w:hAnsi="Times New Roman" w:cs="Times New Roman"/>
          <w:sz w:val="20"/>
          <w:szCs w:val="20"/>
        </w:rPr>
        <w:t xml:space="preserve">a Gazdasági ismeretek vizsgarész önálló célrendszerrel és követelményekkel jelenik meg. </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társadalomismeret vizsgakövetelményei interdiszciplináris jellegűek. E vizsgatárgy ugyanis nagyon sokféle tudományterület elemeit ötvözi: pl. a szociológia, a közgazdaságtudomány, a politológia, a jogtudomány, a szociálpszichológia, a filozófia. A követelmények annak megmutatását kérik számon a vizsgázótól, hogy milyen mértékben jutott el különböző társadalmi kérdések és problémák megismeréséhez és értelmezéséhez.</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Társadalomismeret érettségi vizsga célja</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érettségi vizsga célja annak megállapítása, hogy a vizsgázó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társadalom alapvető szerkezetét, illetve a társadalmi viszonyok legfőbb sajátosságait;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megismerkedett-e a különböző társadalmi együttélési szabályokkal, a jog alapelveivel, saját jogaival és kötelességeivel, az állam intézményeivel, valamint a gazdaság működésével;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foglalkozott-e a közvetlen környezet és a tágabb környezet összefüggéseivel, tudatosította-e az úgynevezett globalizáció előnyeit és hátrányait;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 tud-e fogalmazni konkrét példák, esetek segítségével különböző értékrendeket, gondolkodási és cselekvési mintákat.</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emelt szintű vizsga célja a fentieken túl annak megállapítása, hogy a vizsgázó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felsőoktatásban való továbbhaladáshoz szükséges tantárgyi alapismeretekkel;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tisztában van-e azzal és annak következményeivel, hogy az ember olyan individuum, aki társadalomban, annak különböző szintű közösségeiben él;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környezetében történő eligazodásra, a társadalmi beilleszkedésre, a tudatos életvezetésre, van-e reális önismerete;</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felkészült-e a felelős társadalmi szerepvállalásra, a demokratikus közéletben való aktív részvételre, helytállásra a munka és az üzleti élet területén;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az ezredforduló alapvető modernizációs és globális folyamatait és azok nemzetközi, illetve hazai hatásait;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milyen szintű együttműködési és problémamegoldó kézséggel rendelkezik. </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36"/>
        <w:gridCol w:w="4536"/>
      </w:tblGrid>
      <w:tr w:rsidR="004C2997">
        <w:tblPrEx>
          <w:tblCellMar>
            <w:top w:w="0" w:type="dxa"/>
            <w:bottom w:w="0" w:type="dxa"/>
          </w:tblCellMar>
        </w:tblPrEx>
        <w:tc>
          <w:tcPr>
            <w:tcW w:w="4536" w:type="dxa"/>
            <w:tcBorders>
              <w:right w:val="nil"/>
            </w:tcBorders>
            <w:vAlign w:val="center"/>
          </w:tcPr>
          <w:p w:rsidR="004C2997" w:rsidRDefault="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 változat</w:t>
            </w:r>
          </w:p>
          <w:p w:rsidR="004C2997" w:rsidRDefault="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PSZICHOLÓGIA</w:t>
            </w:r>
          </w:p>
        </w:tc>
        <w:tc>
          <w:tcPr>
            <w:tcW w:w="4536" w:type="dxa"/>
          </w:tcPr>
          <w:p w:rsidR="004C2997" w:rsidRDefault="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 változat</w:t>
            </w:r>
          </w:p>
          <w:p w:rsidR="004C2997" w:rsidRDefault="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GAZDASÁGI ISMERETEK</w:t>
            </w:r>
          </w:p>
        </w:tc>
      </w:tr>
      <w:tr w:rsidR="004C2997">
        <w:tblPrEx>
          <w:tblCellMar>
            <w:top w:w="0" w:type="dxa"/>
            <w:bottom w:w="0" w:type="dxa"/>
          </w:tblCellMar>
        </w:tblPrEx>
        <w:tc>
          <w:tcPr>
            <w:tcW w:w="4536" w:type="dxa"/>
            <w:tcBorders>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Pszichológia érettségi vizsga célja annak megállapítása, hogy a vizsgázó</w:t>
            </w:r>
          </w:p>
          <w:p w:rsidR="004C2997" w:rsidRDefault="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az ember vizsgálatának tudományos – történeti módszereit, a pszichológia és az emberrel foglalkozó más tudományok (szociológia, filozófia, etika) közös, illetve eltérő megközelítési módjait;</w:t>
            </w:r>
          </w:p>
          <w:p w:rsidR="004C2997" w:rsidRDefault="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az emberi természet sokrétűségét, a szervezeti és környezeti tényezők bonyolult kölcsönhatásait, a kontinuitást és diszkontinuitást a fejlődésben és az emberi személyiség változásaiban;</w:t>
            </w:r>
          </w:p>
          <w:p w:rsidR="004C2997" w:rsidRDefault="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képes-e a szűkebb és tágabb értelemben vett emberi csoportok, közösségekben zajló folyamatok megértésére, a mások iránti </w:t>
            </w:r>
            <w:r>
              <w:rPr>
                <w:rFonts w:ascii="Times New Roman" w:hAnsi="Times New Roman" w:cs="Times New Roman"/>
                <w:sz w:val="20"/>
                <w:szCs w:val="20"/>
              </w:rPr>
              <w:lastRenderedPageBreak/>
              <w:t>tiszteletre;</w:t>
            </w:r>
          </w:p>
          <w:p w:rsidR="004C2997" w:rsidRDefault="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saját élete szempontjából legfontosabb kapcsolatok pszichológiai jellegzetességeit, a nemi identitás és szerepvállalás, a családi élet jellegzetességeit.</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w:t>
            </w:r>
            <w:r>
              <w:rPr>
                <w:rFonts w:ascii="Times New Roman" w:hAnsi="Times New Roman" w:cs="Times New Roman"/>
                <w:b/>
                <w:bCs/>
                <w:sz w:val="20"/>
                <w:szCs w:val="20"/>
              </w:rPr>
              <w:t>emelt szintű</w:t>
            </w:r>
            <w:r>
              <w:rPr>
                <w:rFonts w:ascii="Times New Roman" w:hAnsi="Times New Roman" w:cs="Times New Roman"/>
                <w:sz w:val="20"/>
                <w:szCs w:val="20"/>
              </w:rPr>
              <w:t xml:space="preserve"> érettségi vizsga célja a fentieken túl annak megállapítása, hogy a vizsgázó</w:t>
            </w:r>
          </w:p>
          <w:p w:rsidR="004C2997" w:rsidRDefault="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megismerte-e a modern tudomány emberképét, világosan látja-e, hogy a lelki jelenségek és tulajdonságok az egyén és a környezet közötti bonyolult kölcsönhatások következményeképpen alakulnak ki; </w:t>
            </w:r>
          </w:p>
          <w:p w:rsidR="004C2997" w:rsidRDefault="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ismeri-e az ember társas természetét, a “mások” szerepét és jelentőségét a fejlődésben és az élet során. Ismeri-e a saját élete szempontjából legfontosabb kapcsolatok pszichológiai jellegzetességeit, a nemi identitás és szerepvállalás, a családi élet jellegzetességeit; </w:t>
            </w:r>
          </w:p>
          <w:p w:rsidR="004C2997" w:rsidRDefault="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különbséget tud-e tenni az emberre vonatkozó tudományos, illetve játékos vagy felületes állítások, előfeltevések között;</w:t>
            </w:r>
          </w:p>
          <w:p w:rsidR="004C2997" w:rsidRDefault="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az emberi természet sokrétűségét, a szervezeti és környezeti tényezők bonyolult kölcsönhatásait, a kontinuitást és diszkontinuitást a fejlődésben és az emberi személyiség változásaiban.</w:t>
            </w:r>
          </w:p>
        </w:tc>
        <w:tc>
          <w:tcPr>
            <w:tcW w:w="4536"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Gazdasági ismeretek érettségi vizsga célja annak megállapítása, hogy a vizsgázó</w:t>
            </w:r>
          </w:p>
          <w:p w:rsidR="004C2997" w:rsidRDefault="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megismerte-e a piacgazdaság alapintézményeit, a gazdasági szereplőket, a gazdálkodáshoz szükséges eszközöket, feltételeket;</w:t>
            </w:r>
          </w:p>
          <w:p w:rsidR="004C2997" w:rsidRDefault="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megismerte-e a piacgazdaság törvényszerűségeit, ki tudja-e fejteni, hogyan hatnak azok a saját életére;</w:t>
            </w:r>
          </w:p>
          <w:p w:rsidR="004C2997" w:rsidRDefault="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hogy milyen lehetőségeket kínál az üzleti szféra;</w:t>
            </w:r>
          </w:p>
          <w:p w:rsidR="004C2997" w:rsidRDefault="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 tudja-e fejteni önálló véleményét az előírt gazdasági témák bármelyikéről, tudja-e vázolni megoldási javaslatait a gazdasági élettel összefüggő problémákról;</w:t>
            </w:r>
          </w:p>
          <w:p w:rsidR="004C2997" w:rsidRDefault="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megismerte-e a vállalkozói és a munkavállalói </w:t>
            </w:r>
            <w:r>
              <w:rPr>
                <w:rFonts w:ascii="Times New Roman" w:hAnsi="Times New Roman" w:cs="Times New Roman"/>
                <w:sz w:val="20"/>
                <w:szCs w:val="20"/>
              </w:rPr>
              <w:lastRenderedPageBreak/>
              <w:t xml:space="preserve">életpálya választásának előnyeit és hátrányait; </w:t>
            </w:r>
          </w:p>
          <w:p w:rsidR="004C2997" w:rsidRDefault="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mit tud a munkaerőpiacon érvényes írott és íratlan szabályokról. </w:t>
            </w:r>
          </w:p>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2410"/>
        <w:gridCol w:w="8"/>
        <w:gridCol w:w="14"/>
        <w:gridCol w:w="6640"/>
      </w:tblGrid>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shd w:val="pct25" w:color="000000"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6662" w:type="dxa"/>
            <w:gridSpan w:val="3"/>
            <w:tcBorders>
              <w:top w:val="single" w:sz="6" w:space="0" w:color="auto"/>
              <w:left w:val="single" w:sz="6" w:space="0" w:color="auto"/>
              <w:bottom w:val="single" w:sz="6" w:space="0" w:color="auto"/>
              <w:right w:val="single" w:sz="6" w:space="0" w:color="auto"/>
            </w:tcBorders>
            <w:shd w:val="pct25" w:color="000000"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4"/>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TÁRSADALOMISMERET</w:t>
            </w:r>
          </w:p>
        </w:tc>
      </w:tr>
      <w:tr w:rsidR="004C2997">
        <w:tblPrEx>
          <w:tblCellMar>
            <w:top w:w="0" w:type="dxa"/>
            <w:bottom w:w="0" w:type="dxa"/>
          </w:tblCellMar>
        </w:tblPrEx>
        <w:trPr>
          <w:cantSplit/>
        </w:trPr>
        <w:tc>
          <w:tcPr>
            <w:tcW w:w="9072" w:type="dxa"/>
            <w:gridSpan w:val="4"/>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társadalmi szabályok</w:t>
            </w:r>
          </w:p>
        </w:tc>
      </w:tr>
      <w:tr w:rsidR="004C299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662" w:type="dxa"/>
            <w:gridSpan w:val="3"/>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társadalmi együttélés alapvető szabályai, eredetük és rendeltetésük, változásaik.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Szokás, hagyomány, illem, erkölcs és jog közötti viszony.</w:t>
            </w:r>
          </w:p>
        </w:tc>
      </w:tr>
      <w:tr w:rsidR="004C2997">
        <w:tblPrEx>
          <w:tblCellMar>
            <w:top w:w="0" w:type="dxa"/>
            <w:bottom w:w="0" w:type="dxa"/>
          </w:tblCellMar>
        </w:tblPrEx>
        <w:trPr>
          <w:cantSplit/>
        </w:trPr>
        <w:tc>
          <w:tcPr>
            <w:tcW w:w="9072" w:type="dxa"/>
            <w:gridSpan w:val="4"/>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Jogi alapismeretek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egyén és a jog</w:t>
            </w: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Alapvető jogok és kötelességek, különös tekintettel az emberi, gyermeki és diákjogokra és kötelességekre.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családi és közösségi élet erkölcsi és jogi dilemmái.</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Ügyeink intézése</w:t>
            </w: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Tájékozódás az ügyek intézésében: annak ismerete, hogy milyen problémával hogyan és hova lehet fordulni.</w:t>
            </w:r>
          </w:p>
        </w:tc>
      </w:tr>
      <w:tr w:rsidR="004C2997">
        <w:tblPrEx>
          <w:tblCellMar>
            <w:top w:w="0" w:type="dxa"/>
            <w:bottom w:w="0" w:type="dxa"/>
          </w:tblCellMar>
        </w:tblPrEx>
        <w:trPr>
          <w:cantSplit/>
        </w:trPr>
        <w:tc>
          <w:tcPr>
            <w:tcW w:w="9072" w:type="dxa"/>
            <w:gridSpan w:val="4"/>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Állampolgári ismeretek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Intézményrendszer</w:t>
            </w: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Magyarország állam- és közigazgatási intézményrendszere, az alkotmányosság és a demokrácia alapelvei.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mai Magyarország és az Európai Unió országainak politika intézményrendszere. Az európai integráció kérdései.</w:t>
            </w:r>
          </w:p>
        </w:tc>
      </w:tr>
      <w:tr w:rsidR="004C2997">
        <w:tblPrEx>
          <w:tblCellMar>
            <w:top w:w="0" w:type="dxa"/>
            <w:bottom w:w="0" w:type="dxa"/>
          </w:tblCellMar>
        </w:tblPrEx>
        <w:trPr>
          <w:cantSplit/>
        </w:trPr>
        <w:tc>
          <w:tcPr>
            <w:tcW w:w="9072" w:type="dxa"/>
            <w:gridSpan w:val="4"/>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család és a felnőtté válás</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családtervezés, a családi munkamegosztás, a háztartás és a családi költségvetés kérdései; családi konfliktushelyzetek.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család kulturális, gazdasági és társadalmi funkcióinak átalakulása, a szexuális viselkedésben és a nemi szerepekben bekövetkezett változások a globalizáció </w:t>
            </w:r>
            <w:r>
              <w:rPr>
                <w:rFonts w:ascii="Times New Roman" w:hAnsi="Times New Roman" w:cs="Times New Roman"/>
                <w:sz w:val="20"/>
                <w:szCs w:val="20"/>
              </w:rPr>
              <w:lastRenderedPageBreak/>
              <w:t>korában.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demográfiai robbanás társadalmi és gazdasági okai a „harmadik világban”, a népesség csökkenésének és elöregedésének problémái hazánkban és más európai országokban.</w:t>
            </w:r>
          </w:p>
        </w:tc>
      </w:tr>
      <w:tr w:rsidR="004C2997">
        <w:tblPrEx>
          <w:tblCellMar>
            <w:top w:w="0" w:type="dxa"/>
            <w:bottom w:w="0" w:type="dxa"/>
          </w:tblCellMar>
        </w:tblPrEx>
        <w:trPr>
          <w:cantSplit/>
        </w:trPr>
        <w:tc>
          <w:tcPr>
            <w:tcW w:w="9072" w:type="dxa"/>
            <w:gridSpan w:val="4"/>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 xml:space="preserve">Kultúra és közösség </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társadalom, kultúra, természeti és társadalmi környezet fogalmai.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nemzet, állam, etnikum, többség és kisebbség fogalmainak jelentése, a magyar nemzettudat néhány sajátossága.</w:t>
            </w:r>
          </w:p>
        </w:tc>
      </w:tr>
      <w:tr w:rsidR="004C2997">
        <w:tblPrEx>
          <w:tblCellMar>
            <w:top w:w="0" w:type="dxa"/>
            <w:bottom w:w="0" w:type="dxa"/>
          </w:tblCellMar>
        </w:tblPrEx>
        <w:trPr>
          <w:cantSplit/>
        </w:trPr>
        <w:tc>
          <w:tcPr>
            <w:tcW w:w="9072" w:type="dxa"/>
            <w:gridSpan w:val="4"/>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társadalmi viszonyok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Társadalmi problémák</w:t>
            </w: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Társadalmi problémák azonosítása.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Jogok és kötelességek, szerepek és konfliktusok a munka világában.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gazdasággal kapcsolatos alapfogalmak: megélhetés, szükségletek, termelés, fogyasztás, csere, érdek, pénz, piac. Szegénység és gazdagság.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technológiafüggő életmód jelentése, a fogyasztó „szabadsága” és kiszolgáltatottsága.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ökonómiai és ökológiai összefüggések.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helyi társadalom</w:t>
            </w: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helyi társadalommal kapcsolatos kérdések, konfliktusok.</w:t>
            </w:r>
          </w:p>
        </w:tc>
      </w:tr>
      <w:tr w:rsidR="004C2997">
        <w:tblPrEx>
          <w:tblCellMar>
            <w:top w:w="0" w:type="dxa"/>
            <w:bottom w:w="0" w:type="dxa"/>
          </w:tblCellMar>
        </w:tblPrEx>
        <w:trPr>
          <w:cantSplit/>
        </w:trPr>
        <w:tc>
          <w:tcPr>
            <w:tcW w:w="9072" w:type="dxa"/>
            <w:gridSpan w:val="4"/>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Az új gazdasági és társadalmi világrend</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technológiai-gazdasági fejlődés dinamikája és világnézeti előfeltevései.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szabadság, a jólét, a társadalmi igazságosság és a technológiai modernizáció összefüggései.</w:t>
            </w:r>
          </w:p>
        </w:tc>
      </w:tr>
      <w:tr w:rsidR="004C2997">
        <w:tblPrEx>
          <w:tblCellMar>
            <w:top w:w="0" w:type="dxa"/>
            <w:bottom w:w="0" w:type="dxa"/>
          </w:tblCellMar>
        </w:tblPrEx>
        <w:trPr>
          <w:cantSplit/>
        </w:trPr>
        <w:tc>
          <w:tcPr>
            <w:tcW w:w="9072" w:type="dxa"/>
            <w:gridSpan w:val="4"/>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Az új gazdasági és társadalmi világrend</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informatikai és távközlési rendszerek hatásai a tanulásra és a tapasztalatszerzésre, valamint a személyközi érintkezés átalakulására.</w:t>
            </w:r>
          </w:p>
        </w:tc>
      </w:tr>
      <w:tr w:rsidR="004C2997">
        <w:tblPrEx>
          <w:tblCellMar>
            <w:top w:w="0" w:type="dxa"/>
            <w:bottom w:w="0" w:type="dxa"/>
          </w:tblCellMar>
        </w:tblPrEx>
        <w:trPr>
          <w:cantSplit/>
        </w:trPr>
        <w:tc>
          <w:tcPr>
            <w:tcW w:w="9072" w:type="dxa"/>
            <w:gridSpan w:val="4"/>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Kultúra és globalizáció</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Hitek és remények </w:t>
            </w: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ezredforduló szellemi és vallási helyzete.</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technológiai-gazdasági fejlődés hatása a mindennapi életre </w:t>
            </w: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munkába lépés, pályaválasztás lehetőségei, a munkavállalói stratégiák a mai gazdaságban. A munka világának átalakulása.</w:t>
            </w:r>
          </w:p>
        </w:tc>
      </w:tr>
      <w:tr w:rsidR="004C2997">
        <w:tblPrEx>
          <w:tblCellMar>
            <w:top w:w="0" w:type="dxa"/>
            <w:bottom w:w="0" w:type="dxa"/>
          </w:tblCellMar>
        </w:tblPrEx>
        <w:trPr>
          <w:cantSplit/>
        </w:trPr>
        <w:tc>
          <w:tcPr>
            <w:tcW w:w="9072" w:type="dxa"/>
            <w:gridSpan w:val="4"/>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Az életmód átalakítása</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Mentálhigiénés problémák és beilleszkedési zavarok a felnőtté válás életszakaszában.</w:t>
            </w:r>
          </w:p>
        </w:tc>
      </w:tr>
      <w:tr w:rsidR="004C2997">
        <w:tblPrEx>
          <w:tblCellMar>
            <w:top w:w="0" w:type="dxa"/>
            <w:bottom w:w="0" w:type="dxa"/>
          </w:tblCellMar>
        </w:tblPrEx>
        <w:trPr>
          <w:cantSplit/>
        </w:trPr>
        <w:tc>
          <w:tcPr>
            <w:tcW w:w="9072" w:type="dxa"/>
            <w:gridSpan w:val="4"/>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növekedés határai</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bioszféra-válság társadalmi és gazdasági összefüggései.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technikai civilizáció és a gazdasági növekedés természeti környezetre gyakorolt hatásai. </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fenntartható fejlődés</w:t>
            </w: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technológiai és gazdasági szemléletváltás szükségessége és lehetőségei. </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fenntartható társadalom politikai és gazdasági alapelvei.</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4"/>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„B” GAZDASÁGI ISMERETEK</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4"/>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 A vállalkozás, vállalkozó</w:t>
            </w:r>
          </w:p>
        </w:tc>
      </w:tr>
      <w:tr w:rsidR="004C299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bottom w:w="0" w:type="dxa"/>
          </w:tblCellMar>
        </w:tblPrEx>
        <w:tc>
          <w:tcPr>
            <w:tcW w:w="2418" w:type="dxa"/>
            <w:gridSpan w:val="2"/>
          </w:tcPr>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vállalkozások fő ismérvei (kockázat, innováció, piac- és nyereségorientáció).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vállalkozókra jellemző tulajdonságok. </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4"/>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 A vállalkozások szerepe, jelentősége a magyar gazdaságban</w:t>
            </w:r>
          </w:p>
        </w:tc>
      </w:tr>
      <w:tr w:rsidR="004C299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bottom w:w="0" w:type="dxa"/>
          </w:tblCellMar>
        </w:tblPrEx>
        <w:tc>
          <w:tcPr>
            <w:tcW w:w="2418" w:type="dxa"/>
            <w:gridSpan w:val="2"/>
          </w:tcPr>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főbb gazdasági szereplők (kis-, közép-, nagyvállalatok, multinacionális vállalatok).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tulajdonformák.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vállalkozási formák fő jellemzői.</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4"/>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 A gazdasági környezet </w:t>
            </w:r>
          </w:p>
        </w:tc>
      </w:tr>
      <w:tr w:rsidR="004C299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bottom w:w="0" w:type="dxa"/>
          </w:tblCellMar>
        </w:tblPrEx>
        <w:tc>
          <w:tcPr>
            <w:tcW w:w="2418" w:type="dxa"/>
            <w:gridSpan w:val="2"/>
          </w:tcPr>
          <w:p w:rsidR="004C2997" w:rsidRDefault="004C2997">
            <w:pPr>
              <w:autoSpaceDE w:val="0"/>
              <w:autoSpaceDN w:val="0"/>
              <w:adjustRightInd w:val="0"/>
              <w:spacing w:after="0" w:line="240" w:lineRule="auto"/>
              <w:jc w:val="both"/>
              <w:rPr>
                <w:rFonts w:ascii="Times New Roman" w:hAnsi="Times New Roman" w:cs="Times New Roman"/>
                <w:i/>
                <w:iCs/>
                <w:sz w:val="20"/>
                <w:szCs w:val="20"/>
              </w:rPr>
            </w:pP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gazdasági körforgás folyamata (háztartások – cégek – kormányzat).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pénz kialakulása, jellemzői. Bankrendszer.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fő makrogazdasági mutatók (GDP, GNP).</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gazdasági növekedés, stagnálás, foglalkoztatottság, munkanélküliség, infláció, külső, belső egyensúly, infrastruktúra fogalma – néhány hazai példa és adat.</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4"/>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marketing alapjai</w:t>
            </w:r>
          </w:p>
        </w:tc>
      </w:tr>
      <w:tr w:rsidR="004C299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bottom w:w="0" w:type="dxa"/>
          </w:tblCellMar>
        </w:tblPrEx>
        <w:tc>
          <w:tcPr>
            <w:tcW w:w="2418" w:type="dxa"/>
            <w:gridSpan w:val="2"/>
          </w:tcPr>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piac fogalma és jelentősége, a kereslet–kínálat törvényszerűségei.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marketingszemlélet és a stratégiai gondolkodás lényege. A szegmentáció fogalmát és a célpiac behatárolásának jelentősége. A swot analízis és a marketingmix elemeinek ismerete.</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4"/>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Vállalkozások finanszírozása</w:t>
            </w:r>
          </w:p>
        </w:tc>
      </w:tr>
      <w:tr w:rsidR="004C299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bottom w:w="0" w:type="dxa"/>
          </w:tblCellMar>
        </w:tblPrEx>
        <w:tc>
          <w:tcPr>
            <w:tcW w:w="2418" w:type="dxa"/>
            <w:gridSpan w:val="2"/>
          </w:tcPr>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saját forrás és az idegen forrás meghatározása példák segítségével. A hitelezéssel kapcsolatos alapfogalmak: kamat, futamidő, fedezet, saját erő. A tőzsde, részvény, kötvény fogalma.</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4"/>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Fogyasztó a piacgazdaságban</w:t>
            </w:r>
          </w:p>
        </w:tc>
      </w:tr>
      <w:tr w:rsidR="004C299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bottom w:w="0" w:type="dxa"/>
          </w:tblCellMar>
        </w:tblPrEx>
        <w:tc>
          <w:tcPr>
            <w:tcW w:w="2432" w:type="dxa"/>
            <w:gridSpan w:val="3"/>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Fogyasztás, beruházás, megtakarítás a háztartásban.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megtakarítás formái.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Szükségletek, preferenciák, a szükségletek rangsorolása (Maslow).</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fogyasztó jogai.</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4"/>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Nemzetközi kereskedelem</w:t>
            </w:r>
          </w:p>
        </w:tc>
      </w:tr>
      <w:tr w:rsidR="004C299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bottom w:w="0" w:type="dxa"/>
          </w:tblCellMar>
        </w:tblPrEx>
        <w:tc>
          <w:tcPr>
            <w:tcW w:w="2418"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54"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külkereskedelem jelentősége és a nemzetközi kereskedelem korlátozó eszközei (vám, kvóták, szubvenció, dömping).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Hazánk részvétele a nemzetközi gazdasági szervezetekben (IMF, Világbank, GATT-WTO).</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Európai Unió gazdasági szervezetei.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EU fő gazdaságszervező elvei (szabad munkaerő és tőkeáramlás, egységes valuta). </w:t>
            </w:r>
          </w:p>
        </w:tc>
      </w:tr>
      <w:tr w:rsidR="004C2997">
        <w:tblPrEx>
          <w:tblCellMar>
            <w:top w:w="0" w:type="dxa"/>
            <w:bottom w:w="0" w:type="dxa"/>
          </w:tblCellMar>
        </w:tblPrEx>
        <w:trPr>
          <w:cantSplit/>
        </w:trPr>
        <w:tc>
          <w:tcPr>
            <w:tcW w:w="9072" w:type="dxa"/>
            <w:gridSpan w:val="4"/>
            <w:tcBorders>
              <w:top w:val="single" w:sz="6" w:space="0" w:color="auto"/>
              <w:left w:val="single" w:sz="6" w:space="0" w:color="auto"/>
              <w:bottom w:val="single" w:sz="4"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PSZICHOLÓGIA</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4"/>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test és a lélek, az emberi én és a tudat</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lelki jelenségek és a személyiség szervi alapjai.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én és a tudat fogalmainak legfontosabb értelmezései.</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4"/>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kognitív funkciók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emberi érzékelés és észlelés legfontosabb sajátosságainak ismerete.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legfontosabb megismerő funkciók (figyelem, emlékezet, gondolkodás) és az azokra vonatkozó  kutatási eredmények ismerete. </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4"/>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beszéd és a kommunikáció</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nyelv társadalomban szerepének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verbális és nem verbális kommunikáció legfontosabb jellegzetességei.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kommunikáció, tömegkommunikáció társadalmi hatása.</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4"/>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motiváció, az érzelmek és az akarat</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motiváció szerepe, fajtái és megnyilvánulási módjai az állatok és emberek életében.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emberi szexualitás, utódgondozás, valamint az agresszív viselkedés motivációs háttere.</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4"/>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A szocializáció folyamata a személyiség és a társas jelenségek </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gyermek fejlődésének legfontosabb állomásai.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legfontosabb társas hatások (azonosulás, konformizmus, szociális tanulás) ismerete.</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4"/>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Lelki egészség és betegség </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662" w:type="dxa"/>
            <w:gridSpan w:val="3"/>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normalitás és abnormalitás kulturális meghatározottsága, a testi és lelki egészség értelmezései.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devianciák, az antiszociális viselkedés és lelki betegségek fajtái, feltételezett háttere, a korrekció lehetséges módjai.</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2410"/>
        <w:gridCol w:w="6662"/>
      </w:tblGrid>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shd w:val="pct25" w:color="000000"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6662" w:type="dxa"/>
            <w:tcBorders>
              <w:top w:val="single" w:sz="6" w:space="0" w:color="auto"/>
              <w:left w:val="single" w:sz="6" w:space="0" w:color="auto"/>
              <w:bottom w:val="single" w:sz="6" w:space="0" w:color="auto"/>
              <w:right w:val="single" w:sz="6" w:space="0" w:color="auto"/>
            </w:tcBorders>
            <w:shd w:val="pct25" w:color="000000"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TÁRSADALMI ISMERETEK</w:t>
            </w:r>
          </w:p>
        </w:tc>
      </w:tr>
      <w:tr w:rsidR="004C2997">
        <w:tblPrEx>
          <w:tblCellMar>
            <w:top w:w="0" w:type="dxa"/>
            <w:bottom w:w="0" w:type="dxa"/>
          </w:tblCellMar>
        </w:tblPrEx>
        <w:trPr>
          <w:cantSplit/>
        </w:trPr>
        <w:tc>
          <w:tcPr>
            <w:tcW w:w="9072" w:type="dxa"/>
            <w:gridSpan w:val="2"/>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társadalmi szabályok</w:t>
            </w:r>
          </w:p>
        </w:tc>
      </w:tr>
      <w:tr w:rsidR="004C299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társadalmi együttélés szabályainak tudatos belátáson alapuló kritikai elsajátítása.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Szokás, hagyomány, illem, erkölcs és jog közötti viszony.</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szabályok változásai, a törvények és törvényhozók szerepe. </w:t>
            </w:r>
          </w:p>
        </w:tc>
      </w:tr>
      <w:tr w:rsidR="004C2997">
        <w:tblPrEx>
          <w:tblCellMar>
            <w:top w:w="0" w:type="dxa"/>
            <w:bottom w:w="0" w:type="dxa"/>
          </w:tblCellMar>
        </w:tblPrEx>
        <w:trPr>
          <w:cantSplit/>
        </w:trPr>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Jogi alapismeretek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egyén és a jog</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Tájékozódás az alapvető jogi ismeretekben: alapvető jogok és kötelességek, különös tekintettel az emberi, gyermeki és diákjogokra és kötelességekre.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családi és közösségi élet erkölcsi és jogi dilemmái.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szerződések alapvető formai és tartalmi követelményei, a jogorvoslati lehetőségek, a polgári és büntetőeljárás szereplői és szakaszai.</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Ügyeink intézése</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Tájékozódás  az ügyek intézésében, annak ismerete, milyen problémával hogyan és hova lehet fordulni.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legfontosabb iratminták, beadványok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gyermek- és ifjúságvédelmi intézmények.</w:t>
            </w:r>
          </w:p>
        </w:tc>
      </w:tr>
      <w:tr w:rsidR="004C2997">
        <w:tblPrEx>
          <w:tblCellMar>
            <w:top w:w="0" w:type="dxa"/>
            <w:bottom w:w="0" w:type="dxa"/>
          </w:tblCellMar>
        </w:tblPrEx>
        <w:trPr>
          <w:cantSplit/>
        </w:trPr>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Állampolgári ismeretek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Intézményrendszer</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Magyarország állam- és közigazgatási intézményrendszere, az alkotmányosság és a demokrácia alapelvei és működése.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mai Magyarország és az Európai Unió országainak politika intézményrendszere. A legfontosabb nemzetközi szervezetek.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Globalizációs kihívások a mai Magyarországon – az európai integráció kérdései.</w:t>
            </w:r>
          </w:p>
        </w:tc>
      </w:tr>
      <w:tr w:rsidR="004C2997">
        <w:tblPrEx>
          <w:tblCellMar>
            <w:top w:w="0" w:type="dxa"/>
            <w:bottom w:w="0" w:type="dxa"/>
          </w:tblCellMar>
        </w:tblPrEx>
        <w:trPr>
          <w:cantSplit/>
        </w:trPr>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család és a felnőtté válás</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család funkciói és történelmi változásai. Nemi szerepek a családban és a társadalomban.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család kulturális, gazdasági és társadalmi funkcióinak átalakulása, a szexuális viselkedésben és a nemi szerepekben bekövetkezett változások a globalizáció korában.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feminizmus törekvései.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családi konfliktushelyzetek, a családtervezés, a családi munkamegosztás, a háztartás és a családi költségvetés kérdései.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Tájékozódás a népességszám és a várható életkor alakulásának mai mutatóiban Magyarországon. A demográfiai robbanás társadalmi és gazdasági okai a „harmadik világban”, a népesség csökkenésének és elöregedésének problémái hazánkban és más európai országokban.</w:t>
            </w:r>
          </w:p>
        </w:tc>
      </w:tr>
      <w:tr w:rsidR="004C2997">
        <w:tblPrEx>
          <w:tblCellMar>
            <w:top w:w="0" w:type="dxa"/>
            <w:bottom w:w="0" w:type="dxa"/>
          </w:tblCellMar>
        </w:tblPrEx>
        <w:trPr>
          <w:cantSplit/>
        </w:trPr>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Kultúra és közösség</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Egyén, közösség, társadalom, kultúra, természeti környezet és kulturális környezet fogalmai.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tanulás és szocializáció összefüggései.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önazonosság és a társadalmi hovatartozás kérdései.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nemzet, állam, etnikum, többség és kisebbség, magánérdek, közakarat, közjó, autonómia és szolidaritás, társadalmi igazságosság fogalmainak jelentése, a magyar nemzettudat sajátosságai.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politikai és szociális jogok, a kisebbségek helyzete és jogai.</w:t>
            </w:r>
          </w:p>
        </w:tc>
      </w:tr>
      <w:tr w:rsidR="004C2997">
        <w:tblPrEx>
          <w:tblCellMar>
            <w:top w:w="0" w:type="dxa"/>
            <w:bottom w:w="0" w:type="dxa"/>
          </w:tblCellMar>
        </w:tblPrEx>
        <w:trPr>
          <w:cantSplit/>
        </w:trPr>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Társadalmi viszonyok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társadalmi problémák azonosítása, összetevőik felismerése, önálló véleményalkotás.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társadalom életének alapfogalmai: társadalmi cselekvés, társadalmi viszony, munkamegosztás, intézményesülés, hatalom.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mai magyar társadalom rétegződése.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reklám, a pazarló fogyasztás és a jóléti állam összefüggései.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helyi társadalommal kapcsolatos kérdések, konfliktusok.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településszerkezet változásai a mai Magyarországon, a város és falu különbségei, az urbanizációs és regionális problémák.</w:t>
            </w:r>
          </w:p>
        </w:tc>
      </w:tr>
      <w:tr w:rsidR="004C2997">
        <w:tblPrEx>
          <w:tblCellMar>
            <w:top w:w="0" w:type="dxa"/>
            <w:bottom w:w="0" w:type="dxa"/>
          </w:tblCellMar>
        </w:tblPrEx>
        <w:trPr>
          <w:cantSplit/>
        </w:trPr>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Az új gazdasági és társadalmi világrend</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technológiai-gazdasági fejlődés dinamikája és világnézeti előfeltevései.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szabadság, a jólét, a társadalmi igazságosság és a technológiai modernizáció összefüggései.</w:t>
            </w:r>
          </w:p>
        </w:tc>
      </w:tr>
      <w:tr w:rsidR="004C2997">
        <w:tblPrEx>
          <w:tblCellMar>
            <w:top w:w="0" w:type="dxa"/>
            <w:bottom w:w="0" w:type="dxa"/>
          </w:tblCellMar>
        </w:tblPrEx>
        <w:trPr>
          <w:cantSplit/>
        </w:trPr>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Kultúra és globalizáció</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informatikai és távközlési rendszerek hatásai a tanulásra és a tapasztalatszerzésre, valamint a személyközi érintkezés átalakulására.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szakértelem szerepe és a specializáció veszélyei.</w:t>
            </w:r>
          </w:p>
        </w:tc>
      </w:tr>
      <w:tr w:rsidR="004C2997">
        <w:tblPrEx>
          <w:tblCellMar>
            <w:top w:w="0" w:type="dxa"/>
            <w:bottom w:w="0" w:type="dxa"/>
          </w:tblCellMar>
        </w:tblPrEx>
        <w:trPr>
          <w:cantSplit/>
        </w:trPr>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Az életmód átalakulása</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hatékonyságelv és a gazdasági világverseny következményei.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civilizációs és környezeti ártalmak jelentése.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környezet- és egészségvédelem főbb területei, elvei és intézményei.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Mentálhigiénés problémák és beilleszkedési zavarok a felnőtté válás életszakaszában.</w:t>
            </w:r>
          </w:p>
        </w:tc>
      </w:tr>
      <w:tr w:rsidR="004C2997">
        <w:tblPrEx>
          <w:tblCellMar>
            <w:top w:w="0" w:type="dxa"/>
            <w:bottom w:w="0" w:type="dxa"/>
          </w:tblCellMar>
        </w:tblPrEx>
        <w:trPr>
          <w:cantSplit/>
        </w:trPr>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növekedés határai</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bioszféra-válság társadalmi és gazdasági összefüggései.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technikai civilizáció és a gazdasági növekedés természeti környezetre gyakorolt hatásai.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környezetszennyezés, az ipari és kommunális hulladék növekedésének és kezelésének kérdései, a megelőzés és újrahasznosítás problémái.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Föld túlnépesedésének ökológiai és szociális következményei.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környezetkímélő magatartás elterjedését ösztönző, illetve gátló kulturális, gazdasági és politikai feltételek.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fenntartható társadalom politikai és gazdasági alapelvei.</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„B” GAZDASÁGI ISMERETEK</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Vállalkozás, vállalkozók</w:t>
            </w:r>
          </w:p>
        </w:tc>
      </w:tr>
      <w:tr w:rsidR="004C299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vállalkozás fogalma, megadott információk alapján annak eldöntése, hogy adott tevékenység mennyiben minősül vállalkozásnak.</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vállalkozások szerepe, jelentősége a magyar gazdaságban</w:t>
            </w:r>
          </w:p>
        </w:tc>
      </w:tr>
      <w:tr w:rsidR="004C299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napi sajtóban megjelenő makrogazdasági elemzések és előrejelzések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Önálló vélemény a magyar gazdaság állapotáról a hazai növekedési, foglalkoztatottsági, munkanélküliségi, pénzügyi adatok alapján.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gazdaság főbb célkitűzéseinek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különböző tulajdonformák jellemzése.</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A gazdasági környezet </w:t>
            </w:r>
          </w:p>
        </w:tc>
      </w:tr>
      <w:tr w:rsidR="004C299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jelentősebb gazdasági törvények ismerete.</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marketing alapja</w:t>
            </w:r>
          </w:p>
        </w:tc>
      </w:tr>
      <w:tr w:rsidR="004C299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Példák a piackutatási eszközökre. A kérdőív-készítés fő jellemzőinek ismerete.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információk megjelenítésének egyszerűbb formái: grafikonok, diagramok.</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 xml:space="preserve">Vállalkozások finanszírozása </w:t>
            </w:r>
          </w:p>
        </w:tc>
      </w:tr>
      <w:tr w:rsidR="004C299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vállalkozás nyereségének és veszteségének kiszámolása.</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Fogyasztó a piacgazdaságban</w:t>
            </w:r>
          </w:p>
        </w:tc>
      </w:tr>
      <w:tr w:rsidR="004C299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 különböző megtakarítási formák összehasonlítása.</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Nemzetközi kereskedelem</w:t>
            </w:r>
          </w:p>
        </w:tc>
      </w:tr>
      <w:tr w:rsidR="004C299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Magyarország EU-csatlakozásából következő gazdasági előnyök és hátrányok ismerete. </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PSZICHOLÓGIA</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test és a lélek, az emberi én és a tudat</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lelki jelenségek és a személyiség szervi alapjai.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én és a tudat, illetve a módosult tudatállapotok fogalmainak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emberrel foglalkozó tudományok, ezen belül a pszichológia legfontosabb alapfeltevései, megközelítési módjai.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egyéni és társas pszichológiai jelenségek összefüggéseinek felismerése.</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kognitív funkciók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emberi érzékelés és észlelés legfontosabb sajátosságai.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legfontosabb megismerő funkciók (figyelem, emlékezet, gondolkodás), valamint az azokra vonatkozó korszerű kutatási eredmények ismerete.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emberi és állati tanulás sajátosságainak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megismerés és a motiváció összefüggéseinek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kognitív funkciók fejlődésének legfontosabb állomásai.</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beszéd és a kommunikáció</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nyelv társadalmi szerepének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verbális és nem verbális kommunikáció legfontosabb jellegzetességei.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kommunikáció, tömegkommunikáció mai társadalomban betöltött szerepe és hatása.</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motiváció, az érzelmek és az akarat</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motiváció szerepe, fajtái és megnyilvánulási módjai az állatok és emberek életében.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érzelmek szerepe a motivációk körében.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emberi szexualitás, utódgondozás, valamint az agresszív viselkedés motivációs háttere.</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 szocializáció folyamata a személyiség és a társas jelenségek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emberi élet és fejlődés társas jellege.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család és a szülői szerep mai jellegzetességei.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gyermek fejlődésének legfontosabb állomásai.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legfontosabb társas hatások (azonosulás, konformizmus, szociális tanulás)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társas alakzatok legfontosabb jellegzetességei, a csoport vizsgálatának módszerei.</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07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Lelki egészség és betegség</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normalitás és abnormalitás kulturális meghatározottsága, a testi és lelki egészség értelmezései.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nehézségekkel való megküzdés lelki mechanizmusai.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devianciák, az antiszociális viselkedés és lelki betegségek fajtái, feltételezett háttere, a korrekció lehetséges módjai.</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AZ EMBER- ÉS TÁRSADALOMISMERET,</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ETIKA ÉRETTSÉGI VIZSGA ÁLTALÁNOS KÖVETELMÉNYEI</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Bevezetés</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Az </w:t>
      </w:r>
      <w:r>
        <w:rPr>
          <w:rFonts w:ascii="Times New Roman" w:hAnsi="Times New Roman" w:cs="Times New Roman"/>
          <w:i/>
          <w:iCs/>
          <w:sz w:val="20"/>
          <w:szCs w:val="20"/>
        </w:rPr>
        <w:t xml:space="preserve">Ember- és társadalomismeret, etika </w:t>
      </w:r>
      <w:r>
        <w:rPr>
          <w:rFonts w:ascii="Times New Roman" w:hAnsi="Times New Roman" w:cs="Times New Roman"/>
          <w:sz w:val="20"/>
          <w:szCs w:val="20"/>
        </w:rPr>
        <w:t xml:space="preserve">a Nemzeti alaptanterv (és a NAT felülvizsgálat során keletkezett új tervezet) szellemiségét hordozó integrált műveltségi terület, amely két modultantárgy – az </w:t>
      </w:r>
      <w:r>
        <w:rPr>
          <w:rFonts w:ascii="Times New Roman" w:hAnsi="Times New Roman" w:cs="Times New Roman"/>
          <w:i/>
          <w:iCs/>
          <w:sz w:val="20"/>
          <w:szCs w:val="20"/>
        </w:rPr>
        <w:t xml:space="preserve">Emberismeret és etika, </w:t>
      </w:r>
      <w:r>
        <w:rPr>
          <w:rFonts w:ascii="Times New Roman" w:hAnsi="Times New Roman" w:cs="Times New Roman"/>
          <w:sz w:val="20"/>
          <w:szCs w:val="20"/>
        </w:rPr>
        <w:t xml:space="preserve">valamint a </w:t>
      </w:r>
      <w:r>
        <w:rPr>
          <w:rFonts w:ascii="Times New Roman" w:hAnsi="Times New Roman" w:cs="Times New Roman"/>
          <w:i/>
          <w:iCs/>
          <w:sz w:val="20"/>
          <w:szCs w:val="20"/>
        </w:rPr>
        <w:t xml:space="preserve">Társadalomismeret – </w:t>
      </w:r>
      <w:r>
        <w:rPr>
          <w:rFonts w:ascii="Times New Roman" w:hAnsi="Times New Roman" w:cs="Times New Roman"/>
          <w:sz w:val="20"/>
          <w:szCs w:val="20"/>
        </w:rPr>
        <w:t>alternatívájaként jelenik meg</w:t>
      </w:r>
      <w:r>
        <w:rPr>
          <w:rFonts w:ascii="Times New Roman" w:hAnsi="Times New Roman" w:cs="Times New Roman"/>
          <w:i/>
          <w:iCs/>
          <w:sz w:val="20"/>
          <w:szCs w:val="20"/>
        </w:rPr>
        <w:t xml:space="preserve">. </w:t>
      </w:r>
      <w:r>
        <w:rPr>
          <w:rFonts w:ascii="Times New Roman" w:hAnsi="Times New Roman" w:cs="Times New Roman"/>
          <w:sz w:val="20"/>
          <w:szCs w:val="20"/>
        </w:rPr>
        <w:t>Mindez azt jelenti, hogy a két modultárgy önálló érettségi követelményrendszere mellett szükségesnek látszott egy összevont, komplex változat kialakítása is. Legfőképpen azért, mert az emberre vonatkozó lélektani, szociológiai, filozófiai, etika stb. ismereteket, illetve az erkölcsi nevelés kérdését nem lehet elszakítani (önálló tantárgy keretében megjeleníteni) a társadalmi-politikai viszonyok bemutatásától. Ezek szervesen</w:t>
      </w:r>
      <w:r>
        <w:rPr>
          <w:rFonts w:ascii="Times New Roman" w:hAnsi="Times New Roman" w:cs="Times New Roman"/>
          <w:i/>
          <w:iCs/>
          <w:sz w:val="20"/>
          <w:szCs w:val="20"/>
        </w:rPr>
        <w:t xml:space="preserve"> </w:t>
      </w:r>
      <w:r>
        <w:rPr>
          <w:rFonts w:ascii="Times New Roman" w:hAnsi="Times New Roman" w:cs="Times New Roman"/>
          <w:sz w:val="20"/>
          <w:szCs w:val="20"/>
        </w:rPr>
        <w:t xml:space="preserve">összetartoznak mind a diákok fejében, mind a tananyagban. </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Az ember- és társadalomismeret, etika érettségi vizsga célja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Az érettségi vizsga legfontosabb célja az, hogy a diákok jelenre vonatkozó – ember- és társadalomismereti – tudása minél személyesebb és élményszerűbb (személyes tapasztalataikra épülő) legyen. Nagyon fontos cél az is, hogy a tananyag, illetve követelményrendszer jellegét és elrendezését ne a különböző szaktudományok (amúgy is leegyszerűsített) rendszere adja, hanem a tárgy pedagógiai funkciója. A fő cél tehát az, hogy az </w:t>
      </w:r>
      <w:r>
        <w:rPr>
          <w:rFonts w:ascii="Times New Roman" w:hAnsi="Times New Roman" w:cs="Times New Roman"/>
          <w:i/>
          <w:iCs/>
          <w:sz w:val="20"/>
          <w:szCs w:val="20"/>
        </w:rPr>
        <w:t xml:space="preserve">ember- és társadalomismeret, etika </w:t>
      </w:r>
      <w:r>
        <w:rPr>
          <w:rFonts w:ascii="Times New Roman" w:hAnsi="Times New Roman" w:cs="Times New Roman"/>
          <w:sz w:val="20"/>
          <w:szCs w:val="20"/>
        </w:rPr>
        <w:t>segítse a diákok szocializációját, erősítse problémaérzékenységüket, döntéskészségüket – az életben való eligazodásukat.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középszintű érettségi vizsga célja annak megállapítása, hogy a vizsgázó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az ember természeti és társadalmi meghatározottságát;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tisztában van-e az emberi szabadság és meghatározottság mibenlétével;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megismerkedett-e az érték, illetve az értékelés fogalmával;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az értékrend fogalmát;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érvelni olyan szituációkban, ahol különböző értékek ütköznek;</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 értelmezni a különböző együttélési szabályokat, tud-e különbséget tenni közöttük;</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megismerkedett-e a jog alapelveivel, saját jogaival és kötelességeivel, az állam intézményeivel;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környezetében történő eligazodásra, a társadalmi beilleszkedésre, a tudatos életvezetésre, van-e reális önismerete;</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milyen szintű együttműködési és problémamegoldó kézséggel rendelkezik;</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tudatosan viszonyul-e a környezetében – család, párkapcsolat, baráti kör iskola – élő emberekhez és közösségekhez;</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foglalkozott-e a közvetlen környezet és a tágabb környezet összefüggéseivel;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tágabb környezet, Magyarország alapvető társadalmi és politikai viszonyait;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megismerkedett-e az alapvető globális kihívásokkal.</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emelt szintű vizsga célja a fentieken túl annak megállapítása, hogy a vizsgázó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felsőoktatásban való továbbhaladáshoz szükséges tantárgyi alapismeretekkel;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felkészült-e a felelős társadalmi szerepvállalásra, a demokratikus közéletben való aktív részvételre, helytállásra a munka és az üzleti élet területén;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az ezredforduló alapvető modernizációs és globális folyamatait és azok nemzetközi, illetve hazai hatásait;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2410"/>
        <w:gridCol w:w="6662"/>
      </w:tblGrid>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shd w:val="pct30"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6662" w:type="dxa"/>
            <w:tcBorders>
              <w:top w:val="single" w:sz="6" w:space="0" w:color="auto"/>
              <w:left w:val="single" w:sz="6" w:space="0" w:color="auto"/>
              <w:bottom w:val="single" w:sz="6" w:space="0" w:color="auto"/>
              <w:right w:val="single" w:sz="6" w:space="0" w:color="auto"/>
            </w:tcBorders>
            <w:shd w:val="pct30"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c>
          <w:tcPr>
            <w:tcW w:w="9072"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EMBER- ÉS TÁRSADALOMISMERET, ETIKA</w:t>
            </w:r>
          </w:p>
        </w:tc>
      </w:tr>
      <w:tr w:rsidR="004C2997">
        <w:tblPrEx>
          <w:tblCellMar>
            <w:top w:w="0" w:type="dxa"/>
            <w:bottom w:w="0" w:type="dxa"/>
          </w:tblCellMar>
        </w:tblPrEx>
        <w:tc>
          <w:tcPr>
            <w:tcW w:w="9072" w:type="dxa"/>
            <w:gridSpan w:val="2"/>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Az ember mint biológiai, társadalmi és szellemi lény</w:t>
            </w:r>
          </w:p>
        </w:tc>
      </w:tr>
      <w:tr w:rsidR="004C299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 különböző meghatározottságai</w:t>
            </w:r>
          </w:p>
        </w:tc>
        <w:tc>
          <w:tcPr>
            <w:tcW w:w="6662" w:type="dxa"/>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természeti és társadalmi meghatározottságból fakadó jellemzők, lehetőségek és korlátok.</w:t>
            </w:r>
          </w:p>
        </w:tc>
      </w:tr>
      <w:tr w:rsidR="004C299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 különböző</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közösségek tagja</w:t>
            </w:r>
          </w:p>
        </w:tc>
        <w:tc>
          <w:tcPr>
            <w:tcW w:w="6662" w:type="dxa"/>
            <w:tcBorders>
              <w:top w:val="nil"/>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 egyidejűleg különböző közösségekhez tartozó lény.</w:t>
            </w: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2. Az ember mint meghatározott és szabad, értékelő és erkölcsi lény </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értékek</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értékek különbözősége és ütközéseik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Szabadság, identitás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önértékelés</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szabadság, az identitás, a lelkiismeret és az önértékelés fogalma.</w:t>
            </w: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3. Szokás, erkölcs és jog </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együttélés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alapvető szabályai</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szokás, hagyomány, illem, erkölcs és jog eredete, rendeltetésük, változásaik, viszonyaik.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Alapjogok</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gyermeki, a diák- és az emberi jogok.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Az ember közvetlen környezete: család, párkapcsolat, barátság, közösségi kapcsolatok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család</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családtervezés, a családi munkamegosztás, a háztartás és a családi költségvetés kérdései; családi konfliktushelyzetek.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család kulturális, gazdasági és társadalmi funkcióinak átalakulása, a szexuális viselkedésben és a nemi szerepekben bekövetkezett történelmi változások.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Párkapcsolatok</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Nők és férfiak társadalmi szerepe.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Szerelem. Barátság.</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Közösség</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iskola szerepe a szocializációban.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5. A mi kis ügyeink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készségek: különböző formanyomtatványok kitöltése, a hétköznapi életben fontos információk megszerzése, érdekei érvényesítése hivatalos ügyeiben.</w:t>
            </w: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6. Gazdaság, a munka világa, pályaorientáció </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gazdaság alapfogalmai</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alapvető gazdasági fogalmak ismerete.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 világa</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Alapvető jogok és konfliktusok.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pályaválasztás lehetőségei</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Munkavállalói jogok és stratégiák a mai gazdaságban. Gyakorlati készségek.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7. Társadalmi rétegződés és társadalmi mobilizáció</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Társadalmi tagolódás</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Társadalmi rétegek a mai Magyarországon.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Változások a társadalomban</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társadalmi változások alapfogalmai.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8. A közélet és a politika világa  </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politikai rendszer</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mai magyar államszervezet jellege és működése.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demokrácia helyi szintjei</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helyi társadalom érdekérvényesítési lehetőségei.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9. Hovatartozásaink: szülő és lakóhelyünk, hazánk és Európa, magyarságunk és európaiságunk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nemzettudat</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nemzettudat alapfogalmai.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magyarság és Európa</w:t>
            </w: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Európai Unió és az európai polgár.</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10.</w:t>
            </w:r>
            <w:r>
              <w:rPr>
                <w:rFonts w:ascii="Times New Roman" w:hAnsi="Times New Roman" w:cs="Times New Roman"/>
                <w:b/>
                <w:bCs/>
                <w:sz w:val="20"/>
                <w:szCs w:val="20"/>
                <w:u w:val="single"/>
              </w:rPr>
              <w:t xml:space="preserve"> </w:t>
            </w:r>
            <w:r>
              <w:rPr>
                <w:rFonts w:ascii="Times New Roman" w:hAnsi="Times New Roman" w:cs="Times New Roman"/>
                <w:b/>
                <w:bCs/>
                <w:sz w:val="20"/>
                <w:szCs w:val="20"/>
              </w:rPr>
              <w:t>Életszínvonal, életmód, az élet minősége, boldogulás és boldogság</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életmód típusai, életvezetési kérdések.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11. Globális gazdasági, társadalmi és erkölcsi kihívások </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Globalizáció a példák szintjén.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Nemzetközi szervezetek.</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2410"/>
        <w:gridCol w:w="6662"/>
      </w:tblGrid>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shd w:val="pct30"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6662" w:type="dxa"/>
            <w:tcBorders>
              <w:top w:val="single" w:sz="6" w:space="0" w:color="auto"/>
              <w:left w:val="single" w:sz="6" w:space="0" w:color="auto"/>
              <w:bottom w:val="single" w:sz="6" w:space="0" w:color="auto"/>
              <w:right w:val="single" w:sz="6" w:space="0" w:color="auto"/>
            </w:tcBorders>
            <w:shd w:val="pct30"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Az ember mint biológiai, társadalmi és szellemi lény</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b/>
                <w:bCs/>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 különböző értelemben vett fogalmai.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öntudatos én.</w:t>
            </w: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Az ember mint meghatározott és szabad, értékelő és erkölcsi lény</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b/>
                <w:bCs/>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Szabadság és felelősség.</w:t>
            </w: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3. Szokás, erkölcs és jog </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b/>
                <w:bCs/>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Alkotmány, törvényhozás, alapvető jogágak.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erény és a bűn fogalma.</w:t>
            </w: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4. Az ember közvetlen környezete: család, párkapcsolat, barátság, közösségi kapcsolatok </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b/>
                <w:bCs/>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Családjogi esetek.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véleményalkotás a szexuális viselkedésről, a házasság intézményéről.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közösségi kapcsolatok típusai.</w:t>
            </w: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5. A mi kis ügyeink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b/>
                <w:bCs/>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jogos és jogtalan elkülönítése.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Szerződések alapvető követelményeinek és a különböző jogorvoslati lehetőségeknek az ismerete.</w:t>
            </w: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6. Gazdaság, a munka világa, pályaorientáció </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b/>
                <w:bCs/>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gazdaság és a globalizációs folyamatok.</w:t>
            </w: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7. Társadalmi rétegződés és társadalmi mobilizáció</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b/>
                <w:bCs/>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Társadalmi konfliktusok, érdekütközések a mai magyar társadalomban.</w:t>
            </w: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8. A közélet és a politika világa </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b/>
                <w:bCs/>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jogok és kötelességek rendszere a társadalomban. Az önkormányzatiság fogalma.</w:t>
            </w: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9. Hovatartozásaink: szülő és lakóhelyünk, hazánk és Európa, magyarságunk és európaiságunk</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b/>
                <w:bCs/>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nemzettudat alapvető sajátosságai. Magyarország helye az Európai Unión belül.</w:t>
            </w: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10. Életszínvonal, életmód, az élet minősége, boldogulás és boldogság</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b/>
                <w:bCs/>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Életmódtípusok a mai Magyarországon. Különböző értékrendek, életutak.</w:t>
            </w:r>
          </w:p>
        </w:tc>
      </w:tr>
      <w:tr w:rsidR="004C2997">
        <w:tblPrEx>
          <w:tblCellMar>
            <w:top w:w="0" w:type="dxa"/>
            <w:bottom w:w="0" w:type="dxa"/>
          </w:tblCellMar>
        </w:tblPrEx>
        <w:tc>
          <w:tcPr>
            <w:tcW w:w="9072" w:type="dxa"/>
            <w:gridSpan w:val="2"/>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11. Globális gazdasági, társadalmi és erkölcsi kihívások </w:t>
            </w:r>
          </w:p>
        </w:tc>
      </w:tr>
      <w:tr w:rsidR="004C299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jc w:val="both"/>
              <w:rPr>
                <w:rFonts w:ascii="Times New Roman" w:hAnsi="Times New Roman" w:cs="Times New Roman"/>
                <w:b/>
                <w:bCs/>
                <w:sz w:val="20"/>
                <w:szCs w:val="20"/>
              </w:rPr>
            </w:pPr>
          </w:p>
        </w:tc>
        <w:tc>
          <w:tcPr>
            <w:tcW w:w="6662" w:type="dxa"/>
            <w:tcBorders>
              <w:top w:val="single" w:sz="6" w:space="0" w:color="auto"/>
              <w:left w:val="single" w:sz="6" w:space="0" w:color="auto"/>
              <w:bottom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Demográfiai kihívások. Az informatikai és távközlési fejlődés hatásai. A fenntartható fejlődés.</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A DRÁMA</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írásbeli és szóbeli és gyakorlati.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írásbeli és szóbeli és gyakorlati.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dráma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dráma érettségi vizsga célja annak megállapítása, hogy a vizsgázó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dráma és a színház értő befogadására, az alkotások értelmezésére;</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használni a megismert fogalmi készletet a látott drámamunka vagy előadás elemzésében;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az adott területen (drámajáték, színjáték, zenés játék, versmondás, prózamondás, tánc- vagy mozgásszínház, továbbá egyes színházi mesterségek stb.) végzett tevékenységhez szükséges kompetenciákkal;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alkalmazni színháztörténeti és elméleti ismereteit;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képes-e kifejezni magát különböző dramatikus tevékenységi formákban, improvizációs szöveges és/vagy mozgásos feladatokban, s adottságaihoz mérten részt tud-e vállalni színházi jellegű előadás létrehozásában. </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középszintű vizsga a jelöltektől a drámai művek, színházi előadások művészi eszközeinek felismerését, azonosítását és az alapvető a színházi eszközök és néhány színészi technika gyakorlati alkalmazását várja el.</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emelt szintű vizsga a drámai művek és színházi előadások művészi eszközeinek széles körű, felismerését, azonosítását, valamint a színházi eszközrendszer elemzését, a színészi technikák elmélyültebb gyakorlati alkalmazását várja el.</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000" w:firstRow="0" w:lastRow="0" w:firstColumn="0" w:lastColumn="0" w:noHBand="0" w:noVBand="0"/>
      </w:tblPr>
      <w:tblGrid>
        <w:gridCol w:w="2404"/>
        <w:gridCol w:w="6625"/>
      </w:tblGrid>
      <w:tr w:rsidR="004C2997">
        <w:tblPrEx>
          <w:tblCellMar>
            <w:top w:w="0" w:type="dxa"/>
            <w:bottom w:w="0" w:type="dxa"/>
          </w:tblCellMar>
        </w:tblPrEx>
        <w:trPr>
          <w:cantSplit/>
        </w:trPr>
        <w:tc>
          <w:tcPr>
            <w:tcW w:w="2404" w:type="dxa"/>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 / kompetenciák</w:t>
            </w:r>
          </w:p>
        </w:tc>
        <w:tc>
          <w:tcPr>
            <w:tcW w:w="6625" w:type="dxa"/>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2404" w:type="dxa"/>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Színház- és drámatörténet </w:t>
            </w:r>
          </w:p>
        </w:tc>
        <w:tc>
          <w:tcPr>
            <w:tcW w:w="6625" w:type="dxa"/>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ókor színháza és a görög dráma.</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Shakespeare. Színháza és néhány drámája.</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Moliere néhány drámája.</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XIX. és XX. századi magyar színház és dráma néhány alkotása.</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Csehov drámái és Sztanyiszlavszkij színháza.</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Brecht színháza és néhány drámája.</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Napjaink legfontosabb színházi irányzatai és a kortárs drámairodalom.</w:t>
            </w:r>
          </w:p>
        </w:tc>
      </w:tr>
      <w:tr w:rsidR="004C2997">
        <w:tblPrEx>
          <w:tblCellMar>
            <w:top w:w="0" w:type="dxa"/>
            <w:bottom w:w="0" w:type="dxa"/>
          </w:tblCellMar>
        </w:tblPrEx>
        <w:trPr>
          <w:cantSplit/>
        </w:trPr>
        <w:tc>
          <w:tcPr>
            <w:tcW w:w="2404" w:type="dxa"/>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Színház- és drámaelmélet </w:t>
            </w:r>
          </w:p>
        </w:tc>
        <w:tc>
          <w:tcPr>
            <w:tcW w:w="6625" w:type="dxa"/>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drámai műnem sajátosságai.</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dráma szerkezeti felépítése.</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Dramaturgiai és színházelméleti alapfogalmak.</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színházművészet mint összművészet sajátosságai.</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Színházi szakmák.</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Színházi előadások elemzése.</w:t>
            </w:r>
          </w:p>
        </w:tc>
      </w:tr>
      <w:tr w:rsidR="004C2997">
        <w:tblPrEx>
          <w:tblCellMar>
            <w:top w:w="0" w:type="dxa"/>
            <w:bottom w:w="0" w:type="dxa"/>
          </w:tblCellMar>
        </w:tblPrEx>
        <w:trPr>
          <w:cantSplit/>
        </w:trPr>
        <w:tc>
          <w:tcPr>
            <w:tcW w:w="2404" w:type="dxa"/>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Színházi műfajok</w:t>
            </w:r>
          </w:p>
        </w:tc>
        <w:tc>
          <w:tcPr>
            <w:tcW w:w="6625" w:type="dxa"/>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tragédia.</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komédia.</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realista színjáték. </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Zenés, tánc- és mozgásszínház.</w:t>
            </w:r>
          </w:p>
        </w:tc>
      </w:tr>
      <w:tr w:rsidR="004C2997">
        <w:tblPrEx>
          <w:tblCellMar>
            <w:top w:w="0" w:type="dxa"/>
            <w:bottom w:w="0" w:type="dxa"/>
          </w:tblCellMar>
        </w:tblPrEx>
        <w:trPr>
          <w:cantSplit/>
        </w:trPr>
        <w:tc>
          <w:tcPr>
            <w:tcW w:w="2404" w:type="dxa"/>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Drámajáték</w:t>
            </w:r>
          </w:p>
        </w:tc>
        <w:tc>
          <w:tcPr>
            <w:tcW w:w="6625" w:type="dxa"/>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Helyzetgyakorlatok.</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Történet szerkesztése és megjelenítése.</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Improvizáció. </w:t>
            </w:r>
          </w:p>
        </w:tc>
      </w:tr>
      <w:tr w:rsidR="004C2997">
        <w:tblPrEx>
          <w:tblCellMar>
            <w:top w:w="0" w:type="dxa"/>
            <w:bottom w:w="0" w:type="dxa"/>
          </w:tblCellMar>
        </w:tblPrEx>
        <w:trPr>
          <w:cantSplit/>
        </w:trPr>
        <w:tc>
          <w:tcPr>
            <w:tcW w:w="2404" w:type="dxa"/>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Mozgás, tánc-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mozgásszínházi ismeretek</w:t>
            </w:r>
          </w:p>
        </w:tc>
        <w:tc>
          <w:tcPr>
            <w:tcW w:w="6625" w:type="dxa"/>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Szituáció megfogalmazása állóképben, mozdulatsorral. Improvizáció zenére vagy témára.</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Összetett improvizációk létrehozása és bemutatása.</w:t>
            </w:r>
          </w:p>
        </w:tc>
      </w:tr>
      <w:tr w:rsidR="004C2997">
        <w:tblPrEx>
          <w:tblCellMar>
            <w:top w:w="0" w:type="dxa"/>
            <w:bottom w:w="0" w:type="dxa"/>
          </w:tblCellMar>
        </w:tblPrEx>
        <w:trPr>
          <w:cantSplit/>
        </w:trPr>
        <w:tc>
          <w:tcPr>
            <w:tcW w:w="2404" w:type="dxa"/>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Bábjáték</w:t>
            </w:r>
          </w:p>
          <w:p w:rsidR="004C2997" w:rsidRDefault="004C2997">
            <w:pPr>
              <w:autoSpaceDE w:val="0"/>
              <w:autoSpaceDN w:val="0"/>
              <w:adjustRightInd w:val="0"/>
              <w:spacing w:after="0" w:line="240" w:lineRule="auto"/>
              <w:jc w:val="both"/>
              <w:rPr>
                <w:rFonts w:ascii="Times New Roman" w:hAnsi="Times New Roman" w:cs="Times New Roman"/>
                <w:sz w:val="20"/>
                <w:szCs w:val="20"/>
              </w:rPr>
            </w:pPr>
          </w:p>
        </w:tc>
        <w:tc>
          <w:tcPr>
            <w:tcW w:w="6625" w:type="dxa"/>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tanulók által a képzés során készített bábok és/vagy maszkok alkalmazása drámamunkában.</w:t>
            </w:r>
          </w:p>
        </w:tc>
      </w:tr>
      <w:tr w:rsidR="004C2997">
        <w:tblPrEx>
          <w:tblCellMar>
            <w:top w:w="0" w:type="dxa"/>
            <w:bottom w:w="0" w:type="dxa"/>
          </w:tblCellMar>
        </w:tblPrEx>
        <w:trPr>
          <w:cantSplit/>
        </w:trPr>
        <w:tc>
          <w:tcPr>
            <w:tcW w:w="2404" w:type="dxa"/>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Beszéd, vers- </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és prózamondás.</w:t>
            </w:r>
          </w:p>
        </w:tc>
        <w:tc>
          <w:tcPr>
            <w:tcW w:w="6625" w:type="dxa"/>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beszédtechnika alapjai. </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Lírai, epikai és drámai alkotások tolmácsolása.</w:t>
            </w:r>
          </w:p>
        </w:tc>
      </w:tr>
      <w:tr w:rsidR="004C2997">
        <w:tblPrEx>
          <w:tblCellMar>
            <w:top w:w="0" w:type="dxa"/>
            <w:bottom w:w="0" w:type="dxa"/>
          </w:tblCellMar>
        </w:tblPrEx>
        <w:trPr>
          <w:cantSplit/>
        </w:trPr>
        <w:tc>
          <w:tcPr>
            <w:tcW w:w="2404" w:type="dxa"/>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Színjátékos gyakorlat</w:t>
            </w:r>
          </w:p>
        </w:tc>
        <w:tc>
          <w:tcPr>
            <w:tcW w:w="6625" w:type="dxa"/>
          </w:tcPr>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Drámajátékos improvizáció.</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Egyéni színpadi vagy pódiumi produkció létrehozása és bemutatása. </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Tanári irányítás mellett létrehozott kollektív színpadi produkció (előadás) bemutatásában való részvétel.</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000" w:firstRow="0" w:lastRow="0" w:firstColumn="0" w:lastColumn="0" w:noHBand="0" w:noVBand="0"/>
      </w:tblPr>
      <w:tblGrid>
        <w:gridCol w:w="2426"/>
        <w:gridCol w:w="6603"/>
      </w:tblGrid>
      <w:tr w:rsidR="004C2997">
        <w:tblPrEx>
          <w:tblCellMar>
            <w:top w:w="0" w:type="dxa"/>
            <w:bottom w:w="0" w:type="dxa"/>
          </w:tblCellMar>
        </w:tblPrEx>
        <w:trPr>
          <w:cantSplit/>
        </w:trPr>
        <w:tc>
          <w:tcPr>
            <w:tcW w:w="2426" w:type="dxa"/>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 / kompetenciák</w:t>
            </w:r>
          </w:p>
        </w:tc>
        <w:tc>
          <w:tcPr>
            <w:tcW w:w="6603" w:type="dxa"/>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left w:w="70" w:type="dxa"/>
            <w:bottom w:w="0" w:type="dxa"/>
            <w:right w:w="70" w:type="dxa"/>
          </w:tblCellMar>
        </w:tblPrEx>
        <w:trPr>
          <w:cantSplit/>
        </w:trPr>
        <w:tc>
          <w:tcPr>
            <w:tcW w:w="2426"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Színház- és drámatörténet </w:t>
            </w:r>
          </w:p>
        </w:tc>
        <w:tc>
          <w:tcPr>
            <w:tcW w:w="660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ókor színháza, görög dráma és római komédia.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középkori színjátszás, a commedia dell’arte.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Erzsébet-kor színháza, Shakespeare.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spanyol barokk dráma és színház.</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Moliere művei és a klasszicista dráma.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régi magyar dráma néhány alkotása.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XIX. századi magyar dráma néhány alkotása.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hazai színjátszás kezdetei.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XX. századi magyar dráma néhány alkotása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modern polgári dráma és színház kialakulása.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Csehov drámái és Sztanyiszlavszkij színháza.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Brecht drámái és színháza.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XX. század színházi irányzatai, jelentős drámaírói.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Napjaink legfontosabb színházi irányzatai és a kortárs drámairodalom. </w:t>
            </w:r>
          </w:p>
        </w:tc>
      </w:tr>
      <w:tr w:rsidR="004C2997">
        <w:tblPrEx>
          <w:tblCellMar>
            <w:top w:w="0" w:type="dxa"/>
            <w:left w:w="70" w:type="dxa"/>
            <w:bottom w:w="0" w:type="dxa"/>
            <w:right w:w="70" w:type="dxa"/>
          </w:tblCellMar>
        </w:tblPrEx>
        <w:trPr>
          <w:cantSplit/>
        </w:trPr>
        <w:tc>
          <w:tcPr>
            <w:tcW w:w="2426"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Színház- és drámaelmélet </w:t>
            </w:r>
          </w:p>
        </w:tc>
        <w:tc>
          <w:tcPr>
            <w:tcW w:w="660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drámai műnem sajátosságai.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dráma (a színjáték) mint kommunikáció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dráma szerkezeti felépítése.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Dramaturgiai és színházelméleti alapfogalmak.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színházművészet mint összművészet sajátosságai.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Színházi szakmák.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Gyakorlati drámaelemzés</w:t>
            </w:r>
          </w:p>
        </w:tc>
      </w:tr>
      <w:tr w:rsidR="004C2997">
        <w:tblPrEx>
          <w:tblCellMar>
            <w:top w:w="0" w:type="dxa"/>
            <w:left w:w="70" w:type="dxa"/>
            <w:bottom w:w="0" w:type="dxa"/>
            <w:right w:w="70" w:type="dxa"/>
          </w:tblCellMar>
        </w:tblPrEx>
        <w:trPr>
          <w:cantSplit/>
        </w:trPr>
        <w:tc>
          <w:tcPr>
            <w:tcW w:w="2426"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Színházi műfajok</w:t>
            </w:r>
          </w:p>
        </w:tc>
        <w:tc>
          <w:tcPr>
            <w:tcW w:w="660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rituális játék/szertartásjáték.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tragédia.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komédia.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realista színjáték.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Bábjáték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Zenés, tánc- és mozgásszínház.</w:t>
            </w:r>
          </w:p>
        </w:tc>
      </w:tr>
      <w:tr w:rsidR="004C2997">
        <w:tblPrEx>
          <w:tblCellMar>
            <w:top w:w="0" w:type="dxa"/>
            <w:left w:w="70" w:type="dxa"/>
            <w:bottom w:w="0" w:type="dxa"/>
            <w:right w:w="70" w:type="dxa"/>
          </w:tblCellMar>
        </w:tblPrEx>
        <w:trPr>
          <w:cantSplit/>
        </w:trPr>
        <w:tc>
          <w:tcPr>
            <w:tcW w:w="2426"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Előadáselemzés</w:t>
            </w:r>
          </w:p>
        </w:tc>
        <w:tc>
          <w:tcPr>
            <w:tcW w:w="660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színházi előadások egyes alkotó elemeinek jelentésteremtő és módosító hatásainak (a színészi játék, a mozgás, a tér, a díszlet, kellékek, zajok, zenék, jelmezek, smink) ismerete. </w:t>
            </w:r>
          </w:p>
        </w:tc>
      </w:tr>
      <w:tr w:rsidR="004C2997">
        <w:tblPrEx>
          <w:tblCellMar>
            <w:top w:w="0" w:type="dxa"/>
            <w:left w:w="70" w:type="dxa"/>
            <w:bottom w:w="0" w:type="dxa"/>
            <w:right w:w="70" w:type="dxa"/>
          </w:tblCellMar>
        </w:tblPrEx>
        <w:trPr>
          <w:cantSplit/>
        </w:trPr>
        <w:tc>
          <w:tcPr>
            <w:tcW w:w="2426"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Drámajáték</w:t>
            </w:r>
          </w:p>
        </w:tc>
        <w:tc>
          <w:tcPr>
            <w:tcW w:w="660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Helyzetgyakorlatok.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Történet szerkesztése és megjelenítése.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Improvizáció.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Drámajáték.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Drámapedagógia. </w:t>
            </w:r>
          </w:p>
        </w:tc>
      </w:tr>
      <w:tr w:rsidR="004C2997">
        <w:tblPrEx>
          <w:tblCellMar>
            <w:top w:w="0" w:type="dxa"/>
            <w:left w:w="70" w:type="dxa"/>
            <w:bottom w:w="0" w:type="dxa"/>
            <w:right w:w="70" w:type="dxa"/>
          </w:tblCellMar>
        </w:tblPrEx>
        <w:trPr>
          <w:cantSplit/>
        </w:trPr>
        <w:tc>
          <w:tcPr>
            <w:tcW w:w="2426"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Mozgás, tánc-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mozgásszínházi ismeretek</w:t>
            </w:r>
          </w:p>
        </w:tc>
        <w:tc>
          <w:tcPr>
            <w:tcW w:w="660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Szituáció megfogalmazása állóképben, mozdulatsorral. Improvizáció zenére vagy témára.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Összetett improvizáció létrehozása és bemutatása.</w:t>
            </w:r>
          </w:p>
        </w:tc>
      </w:tr>
      <w:tr w:rsidR="004C2997">
        <w:tblPrEx>
          <w:tblCellMar>
            <w:top w:w="0" w:type="dxa"/>
            <w:left w:w="70" w:type="dxa"/>
            <w:bottom w:w="0" w:type="dxa"/>
            <w:right w:w="70" w:type="dxa"/>
          </w:tblCellMar>
        </w:tblPrEx>
        <w:trPr>
          <w:cantSplit/>
        </w:trPr>
        <w:tc>
          <w:tcPr>
            <w:tcW w:w="2426"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Bábjáték</w:t>
            </w:r>
          </w:p>
        </w:tc>
        <w:tc>
          <w:tcPr>
            <w:tcW w:w="660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tanulók által a képzés során készített bábok és/vagy maszkok alkalmazása drámamunkában.</w:t>
            </w:r>
          </w:p>
        </w:tc>
      </w:tr>
      <w:tr w:rsidR="004C2997">
        <w:tblPrEx>
          <w:tblCellMar>
            <w:top w:w="0" w:type="dxa"/>
            <w:left w:w="70" w:type="dxa"/>
            <w:bottom w:w="0" w:type="dxa"/>
            <w:right w:w="70" w:type="dxa"/>
          </w:tblCellMar>
        </w:tblPrEx>
        <w:trPr>
          <w:cantSplit/>
        </w:trPr>
        <w:tc>
          <w:tcPr>
            <w:tcW w:w="2426"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Színpadi beszéd, vers-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prózamondás, egyéni vagy közös daléneklés</w:t>
            </w:r>
          </w:p>
        </w:tc>
        <w:tc>
          <w:tcPr>
            <w:tcW w:w="660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beszédtechnika alapjai.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Lírai, epikai és drámai alkotások tolmácsolása.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pódiumi műfajok.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Egyéni vagy közös daléneklés.</w:t>
            </w:r>
          </w:p>
        </w:tc>
      </w:tr>
      <w:tr w:rsidR="004C2997">
        <w:tblPrEx>
          <w:tblCellMar>
            <w:top w:w="0" w:type="dxa"/>
            <w:left w:w="70" w:type="dxa"/>
            <w:bottom w:w="0" w:type="dxa"/>
            <w:right w:w="70" w:type="dxa"/>
          </w:tblCellMar>
        </w:tblPrEx>
        <w:trPr>
          <w:cantSplit/>
        </w:trPr>
        <w:tc>
          <w:tcPr>
            <w:tcW w:w="2426"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Színjátékos gyakorlat</w:t>
            </w:r>
          </w:p>
        </w:tc>
        <w:tc>
          <w:tcPr>
            <w:tcW w:w="660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Drámajátékos improvizáció.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Egyéni színpadi vagy pódiumi produkció létrehozása és bemutatása.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Tanári irányítás mellett létrehozott kollektív színpadi produkció (előadás) bemutatásában való alkotó részvétel.</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A MOZGÓKÉP- ÉS MÉDIAISMERET</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Középszinten: projekt és írásbeli. </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Emelt szinten: projekt és írásbeli és szóbeli. </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mozgókép- és médiaismeret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 mozgókép és médiaismeret érettségi vizsga lehetőséget biztosít a különféle mozgóképi szövegek értelmezésében megmutatkozó elemzési-interpretációs és kritikai képesség bizonyítására. A mozgókép/média érettségi alkalmat ad annak megállapítására is, hogy a vizsgázó tisztában van-e a média – s különösen az audiovizuális média – társadalmi szerepével és működésmódjával. </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vizsga célja, hogy a jelölt a mozgókép kultúrtörténetének és stílustörténetének, részben a mozgókép formanyelvének ismeretében, illetve adott textus (film, filmrészlet, televíziós műsor-műsorrészlet, digitális szöveg) alapján a következőkkel tudja bizonyítani felkészültségét: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bemutatja, hogy a stílus és a megjelenítés formája hogyan utal a szerzőre, a tapasztalati valóság és a virtuális valóság kapcsolatára, a gyártási, illetve a társadalmi és kulturális körülményekre;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jellemzi valamely tömegfilmi műfajt a témaválasztásban, a motívumhasználatban és az elbeszélésmódban megfigyelhető hasonlóságok alapján, egy-egy arra alkalmas film segítségével;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ismertet egy-egy jelentős alkotó életművét a szerző legfontosabb műveinek az alapján;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megtervez és meg is valósít néhány beállításból álló értelmes mozgóképi szövegrészletet;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bizonyítja, hogy rendelkezik a tömegkommunikációs eszközök</w:t>
      </w:r>
      <w:r>
        <w:rPr>
          <w:rFonts w:ascii="Times New Roman" w:hAnsi="Times New Roman" w:cs="Times New Roman"/>
          <w:i/>
          <w:iCs/>
          <w:sz w:val="20"/>
          <w:szCs w:val="20"/>
        </w:rPr>
        <w:t xml:space="preserve"> </w:t>
      </w:r>
      <w:r>
        <w:rPr>
          <w:rFonts w:ascii="Times New Roman" w:hAnsi="Times New Roman" w:cs="Times New Roman"/>
          <w:sz w:val="20"/>
          <w:szCs w:val="20"/>
        </w:rPr>
        <w:t>tudatos használatának képességével, tájékozódik a sajtóműfajok, az audiovizuális műsortípusok, a globális monitorkultúra világában;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jellemzi azokat az érintkezési módokat, ahogyan a médiaintézmények kapcsolatba kerülnek a politikával, a társadalmi és kulturális eseményekkel, a mindennapi élettel;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ismeri a médiaintézmények működésének gazdasági alapjait, valamint a gyártók és a közönség közötti kapcsolatrendszert;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önálló ítéletet alkot néhány ismert médiakritikai elmélet által megfogalmazott problematikáról és azok helytállóságáról;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teljesítményében kifejeződik önálló gondolkodása, problémalátása, lényegkiemelő és rendszerező képessége, kreativitása, mozgóképi kultúrájának egyéni sajátosságai, értékválasztásai.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mozgókép- és médiaismeret középszintű érettségi vizsgája lehetővé teszi a jelölt mozgókép-nyelvi kultúrájának, filmműveltségének és a média társadalmi szerepét illető tájékozottságának</w:t>
      </w:r>
      <w:r>
        <w:rPr>
          <w:rFonts w:ascii="Times New Roman" w:hAnsi="Times New Roman" w:cs="Times New Roman"/>
          <w:i/>
          <w:iCs/>
          <w:sz w:val="20"/>
          <w:szCs w:val="20"/>
        </w:rPr>
        <w:t xml:space="preserve"> </w:t>
      </w:r>
      <w:r>
        <w:rPr>
          <w:rFonts w:ascii="Times New Roman" w:hAnsi="Times New Roman" w:cs="Times New Roman"/>
          <w:sz w:val="20"/>
          <w:szCs w:val="20"/>
        </w:rPr>
        <w:t>minősítését és értékelését. A vizsgázó teljesítménye mutatja, hogy milyen minőségű és mélységű tudással rendelkezik ezen a téren továbbá azt is, hogy ismereteit milyen módon tudja önálló produktumok létrehozásával (projektmunka), valamint írásban  megjeleníteni.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Az emelt szintű érettségi vizsgán részben a mű- és stílustörténeti ismeretanyag, a fogalmi tájékozottság, részben a mű és műsorelemzési képesség, valamint a médiajelenségekre vonatkozó </w:t>
      </w:r>
      <w:r>
        <w:rPr>
          <w:rFonts w:ascii="Symbol" w:hAnsi="Symbol" w:cs="Symbol"/>
          <w:sz w:val="20"/>
          <w:szCs w:val="20"/>
        </w:rPr>
        <w:t></w:t>
      </w:r>
      <w:r>
        <w:rPr>
          <w:rFonts w:ascii="Times New Roman" w:hAnsi="Times New Roman" w:cs="Times New Roman"/>
          <w:sz w:val="20"/>
          <w:szCs w:val="20"/>
        </w:rPr>
        <w:t xml:space="preserve"> társadalmi-gazdasági ismeretekre támaszkodó </w:t>
      </w:r>
      <w:r>
        <w:rPr>
          <w:rFonts w:ascii="Symbol" w:hAnsi="Symbol" w:cs="Symbol"/>
          <w:sz w:val="20"/>
          <w:szCs w:val="20"/>
        </w:rPr>
        <w:t></w:t>
      </w:r>
      <w:r>
        <w:rPr>
          <w:rFonts w:ascii="Times New Roman" w:hAnsi="Times New Roman" w:cs="Times New Roman"/>
          <w:sz w:val="20"/>
          <w:szCs w:val="20"/>
        </w:rPr>
        <w:t xml:space="preserve"> kritikai képesség tekintetében várható el mélyebb és alaposabb ismeretanyag. A középfokú vizsgától mindennek árnyaltabb-személyesebb alkalmazása és magasabb színvonalú kifejtése különbözteti meg.</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410"/>
        <w:gridCol w:w="22"/>
        <w:gridCol w:w="6640"/>
      </w:tblGrid>
      <w:tr w:rsidR="004C2997">
        <w:tblPrEx>
          <w:tblCellMar>
            <w:top w:w="0" w:type="dxa"/>
            <w:bottom w:w="0" w:type="dxa"/>
          </w:tblCellMar>
        </w:tblPrEx>
        <w:tc>
          <w:tcPr>
            <w:tcW w:w="2432" w:type="dxa"/>
            <w:gridSpan w:val="2"/>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6640" w:type="dxa"/>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A média a mindennapi életben</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Társadalmi nyilvánosság</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társadalmi nyilvánosság átalakulása a tömegkommunikáció hatására, a technikai képreprodukció, a másolat és a sokszorosítás jelentőségének kifejtése.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nyilvános szereplés képessége.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Annak a feltételezésnek a bizonyítása aktuális médiapéldák segítségével, hogy a </w:t>
            </w:r>
            <w:r>
              <w:rPr>
                <w:rFonts w:ascii="Times New Roman" w:hAnsi="Times New Roman" w:cs="Times New Roman"/>
                <w:sz w:val="20"/>
                <w:szCs w:val="20"/>
              </w:rPr>
              <w:lastRenderedPageBreak/>
              <w:t>modern tömegtársadalmakban a média tematizálja a közbeszédet.</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Tájékozódás és alkalmazás</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egyes médiumokban fellelhető szövegtípusoknak (újságok, rádióműsorok, filmek, televízióműsorok, weblapok, cd-romok, digitális archívumok) mint információforrásoknak szelektív és célirányos használata, alkalmazása. </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média és az életmód</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Annak bemutatása, hogy a médiumok – elsősorban a rádió és a televízió  műsorrendje – hogyan hat a fogyasztó életmódjára (</w:t>
            </w:r>
            <w:r>
              <w:rPr>
                <w:rFonts w:ascii="Times New Roman" w:hAnsi="Times New Roman" w:cs="Times New Roman"/>
                <w:i/>
                <w:iCs/>
                <w:sz w:val="20"/>
                <w:szCs w:val="20"/>
              </w:rPr>
              <w:t>pl. nézői szokások, a műsorválasztás joga, médiaeszközök birtoklása, elhelyezése és használata)</w:t>
            </w:r>
            <w:r>
              <w:rPr>
                <w:rFonts w:ascii="Times New Roman" w:hAnsi="Times New Roman" w:cs="Times New Roman"/>
                <w:sz w:val="20"/>
                <w:szCs w:val="20"/>
              </w:rPr>
              <w:t>.</w:t>
            </w:r>
          </w:p>
        </w:tc>
      </w:tr>
      <w:tr w:rsidR="004C2997">
        <w:tblPrEx>
          <w:tblCellMar>
            <w:top w:w="0" w:type="dxa"/>
            <w:bottom w:w="0" w:type="dxa"/>
          </w:tblCellMar>
        </w:tblPrEx>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A mozgóképnyelv alapjai</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képrögzítés és mozgásábrázolás </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mozgókép előtti mozgásábrázolási és történetalkotási törekvések azonosítása a képzőművészetben </w:t>
            </w:r>
            <w:r>
              <w:rPr>
                <w:rFonts w:ascii="Symbol" w:hAnsi="Symbol" w:cs="Symbol"/>
                <w:sz w:val="20"/>
                <w:szCs w:val="20"/>
              </w:rPr>
              <w:t></w:t>
            </w:r>
            <w:r>
              <w:rPr>
                <w:rFonts w:ascii="Times New Roman" w:hAnsi="Times New Roman" w:cs="Times New Roman"/>
                <w:sz w:val="20"/>
                <w:szCs w:val="20"/>
              </w:rPr>
              <w:t xml:space="preserve"> a barlangrajztól a képregényig.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technikai kép létrehozására szolgáló eszközök kezelői szintű ismerete és alkalmazása (</w:t>
            </w:r>
            <w:r>
              <w:rPr>
                <w:rFonts w:ascii="Times New Roman" w:hAnsi="Times New Roman" w:cs="Times New Roman"/>
                <w:i/>
                <w:iCs/>
                <w:sz w:val="20"/>
                <w:szCs w:val="20"/>
              </w:rPr>
              <w:t>pl. fényképezőgép, a videokamera használata a projektmunka során</w:t>
            </w:r>
            <w:r>
              <w:rPr>
                <w:rFonts w:ascii="Times New Roman" w:hAnsi="Times New Roman" w:cs="Times New Roman"/>
                <w:sz w:val="20"/>
                <w:szCs w:val="20"/>
              </w:rPr>
              <w:t>).</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technikai kép kettős természete</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mozgókép kettős természetének (reprodukció és ábrázolás) felismerése a mozgóképi szövegformálásban.</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látvány mozgóképi megszervezése</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keretezésnek mint a technikai képrögzítés az alkotótól függő mozzanatának felismerése.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beállítás és a képkivágat fogalmának pontos használata; a plánok fajtáinak felismerése, megnevezése és alkalmazásuk értelmezése a mozgóképi szövegek elemzésében.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egyes beállítások felismerése, illetve a kameramozgások azonosítása és használatuk értelmezése adott szövegek elemzése során.</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szereplő</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szereplőválasztásnak (civil vagy hivatásos) és a szereplő külső megjelenésének </w:t>
            </w:r>
            <w:r>
              <w:rPr>
                <w:rFonts w:ascii="Symbol" w:hAnsi="Symbol" w:cs="Symbol"/>
                <w:sz w:val="20"/>
                <w:szCs w:val="20"/>
              </w:rPr>
              <w:t></w:t>
            </w:r>
            <w:r>
              <w:rPr>
                <w:rFonts w:ascii="Times New Roman" w:hAnsi="Times New Roman" w:cs="Times New Roman"/>
                <w:sz w:val="20"/>
                <w:szCs w:val="20"/>
              </w:rPr>
              <w:t xml:space="preserve"> mint metakommunikációs közlésnek </w:t>
            </w:r>
            <w:r>
              <w:rPr>
                <w:rFonts w:ascii="Symbol" w:hAnsi="Symbol" w:cs="Symbol"/>
                <w:sz w:val="20"/>
                <w:szCs w:val="20"/>
              </w:rPr>
              <w:t></w:t>
            </w:r>
            <w:r>
              <w:rPr>
                <w:rFonts w:ascii="Times New Roman" w:hAnsi="Times New Roman" w:cs="Times New Roman"/>
                <w:sz w:val="20"/>
                <w:szCs w:val="20"/>
              </w:rPr>
              <w:t xml:space="preserve"> a leírása és értelmezése adott mozgóképi szövegek értelmezésében.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viselkedés szóbeli, intonációs és további metakommunikációs eszközeinek felismerése és értelmezése.</w:t>
            </w:r>
          </w:p>
        </w:tc>
      </w:tr>
      <w:tr w:rsidR="004C2997">
        <w:tblPrEx>
          <w:tblCellMar>
            <w:top w:w="0" w:type="dxa"/>
            <w:bottom w:w="0" w:type="dxa"/>
          </w:tblCellMar>
        </w:tblPrEx>
        <w:tc>
          <w:tcPr>
            <w:tcW w:w="2432" w:type="dxa"/>
            <w:gridSpan w:val="2"/>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Montázs</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montázs-jelenség felismerése, a montázs és gondolkodás, ill. a montázs és az ábrázolás kapcsolatának ismerete </w:t>
            </w:r>
            <w:r>
              <w:rPr>
                <w:rFonts w:ascii="Times New Roman" w:hAnsi="Times New Roman" w:cs="Times New Roman"/>
                <w:i/>
                <w:iCs/>
                <w:sz w:val="20"/>
                <w:szCs w:val="20"/>
              </w:rPr>
              <w:t>(pl. a  mozgókép esetében a tér-idő felbontása és újraszervezése</w:t>
            </w:r>
            <w:r>
              <w:rPr>
                <w:rFonts w:ascii="Times New Roman" w:hAnsi="Times New Roman" w:cs="Times New Roman"/>
                <w:sz w:val="20"/>
                <w:szCs w:val="20"/>
              </w:rPr>
              <w: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lineáris/narratív, asszociatív/expresszív és a belső montázs felismerése és montázshatásának értelmezése adott mozgóképi szövegek esetében.</w:t>
            </w:r>
          </w:p>
        </w:tc>
      </w:tr>
      <w:tr w:rsidR="004C2997">
        <w:tblPrEx>
          <w:tblCellMar>
            <w:top w:w="0" w:type="dxa"/>
            <w:bottom w:w="0" w:type="dxa"/>
          </w:tblCellMar>
        </w:tblPrEx>
        <w:tc>
          <w:tcPr>
            <w:tcW w:w="2432" w:type="dxa"/>
            <w:gridSpan w:val="2"/>
            <w:tcBorders>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Mozgóképi elbeszélés</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történet mint változássorozat értelmezése, az események időrendi és okozati láncolatának összeállítása, a történet fontosabb alkotóelemeinek (expozíció, lezárás, fordulat és epizód) felismerése és elkülönítése adott mozgóképi szövegek értelmezése során.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történet, a cselekmény és az elbeszélés fogalmainak helyes használata, alkalmazása a szövegelemzésben. </w:t>
            </w: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A mozgóképi szövegértés, értelmezési szintek</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médiaszövegek és a mozgóképi alkotások rendszerezése</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médiaszövegek rendszerezésének néhány fontosabb módja, a rendszerezés szempontjainak ismerete, jellemző példák alkalmazása </w:t>
            </w:r>
            <w:r>
              <w:rPr>
                <w:rFonts w:ascii="Times New Roman" w:hAnsi="Times New Roman" w:cs="Times New Roman"/>
                <w:i/>
                <w:iCs/>
                <w:sz w:val="20"/>
                <w:szCs w:val="20"/>
              </w:rPr>
              <w:t>(médiumok szerint: pl. sajtó, rádió, film, televízió stb.; a valóság ábrázolásához való viszony szerint: dokumentum és fikció; az alkotói szándék és a nézői elvárás szerint: műfaji, ill. szerzői; a szöveg keletkezése és stílusa szerint: pl. expresszionista, neorealista, új hullámos stb.; műsortípus szerint: pl. reklám, hír, show stb.</w:t>
            </w:r>
            <w:r>
              <w:rPr>
                <w:rFonts w:ascii="Times New Roman" w:hAnsi="Times New Roman" w:cs="Times New Roman"/>
                <w:sz w:val="20"/>
                <w:szCs w:val="20"/>
              </w:rPr>
              <w:t>)</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valóság ábrázolásához való viszony</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valóságos és a valószerű fogalmának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fikcionális és a dokumentarista ábrázolásmód felismerése, jellemzése.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képi ábrázolás és a mágikus gondolkodás kultúrtörténeti kapcsolatának ismerete.</w:t>
            </w:r>
          </w:p>
        </w:tc>
      </w:tr>
      <w:tr w:rsidR="004C2997">
        <w:tblPrEx>
          <w:tblCellMar>
            <w:top w:w="0" w:type="dxa"/>
            <w:bottom w:w="0" w:type="dxa"/>
          </w:tblCellMar>
        </w:tblPrEx>
        <w:tc>
          <w:tcPr>
            <w:tcW w:w="2432" w:type="dxa"/>
            <w:gridSpan w:val="2"/>
            <w:tcBorders>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mozgóképi szövegek jelentése</w:t>
            </w:r>
          </w:p>
        </w:tc>
        <w:tc>
          <w:tcPr>
            <w:tcW w:w="6640" w:type="dxa"/>
            <w:tcBorders>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Jelentéstulajdonítás a legfontosabb filmnyelvi kódok (narráció, montázs, látványszervezés, szerepjáték) értelmezésével </w:t>
            </w:r>
            <w:r>
              <w:rPr>
                <w:rFonts w:ascii="Symbol" w:hAnsi="Symbol" w:cs="Symbol"/>
                <w:sz w:val="20"/>
                <w:szCs w:val="20"/>
              </w:rPr>
              <w:t></w:t>
            </w:r>
            <w:r>
              <w:rPr>
                <w:rFonts w:ascii="Times New Roman" w:hAnsi="Times New Roman" w:cs="Times New Roman"/>
                <w:sz w:val="20"/>
                <w:szCs w:val="20"/>
              </w:rPr>
              <w:t xml:space="preserve"> adott mozgóképi szövegek esetében.</w:t>
            </w:r>
          </w:p>
        </w:tc>
      </w:tr>
      <w:tr w:rsidR="004C2997">
        <w:tblPrEx>
          <w:tblCellMar>
            <w:top w:w="0" w:type="dxa"/>
            <w:bottom w:w="0" w:type="dxa"/>
          </w:tblCellMar>
        </w:tblPrEx>
        <w:trPr>
          <w:cantSplit/>
        </w:trPr>
        <w:tc>
          <w:tcPr>
            <w:tcW w:w="9072" w:type="dxa"/>
            <w:gridSpan w:val="3"/>
            <w:tcBorders>
              <w:top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A mozgóképi szövegalkotás</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Egyszerű médiaszövegek megszerkesztése </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szövegalkotási ismeretek és képesség bizonyítása (</w:t>
            </w:r>
            <w:r>
              <w:rPr>
                <w:rFonts w:ascii="Times New Roman" w:hAnsi="Times New Roman" w:cs="Times New Roman"/>
                <w:i/>
                <w:iCs/>
                <w:sz w:val="20"/>
                <w:szCs w:val="20"/>
              </w:rPr>
              <w:t>pl. néhány beállításból álló értelmes mozgóképi szekvencia megtervezésével és kivitelezésével, rövid interjú vagy rádiós híranyag megtervezése és elkészítése a projektmunka során</w:t>
            </w:r>
            <w:r>
              <w:rPr>
                <w:rFonts w:ascii="Times New Roman" w:hAnsi="Times New Roman" w:cs="Times New Roman"/>
                <w:sz w:val="20"/>
                <w:szCs w:val="20"/>
              </w:rPr>
              <w:t>).</w:t>
            </w: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 xml:space="preserve">5. Műfaj- és műismeret </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filmkultúra kettőssége</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tömeg- és a magas/artisztikus kultúra fogalmának elhatárolása.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műfaji és a szerzői filmalkotások megkülönböztetése és összehasonlítása.</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Műfaji jellemzők</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tömegfilmek sajátosságai: sztárkultusz, iparszerűség, gazdasági meghatározottság, nézőszám maximalizálás, szórakoztatás, műfajiság, fogyasztói minták kiváltása és követése, multiplex-terjesztés) Két szabadon választott tömegfilmes műfaj (</w:t>
            </w:r>
            <w:r>
              <w:rPr>
                <w:rFonts w:ascii="Times New Roman" w:hAnsi="Times New Roman" w:cs="Times New Roman"/>
                <w:i/>
                <w:iCs/>
                <w:sz w:val="20"/>
                <w:szCs w:val="20"/>
              </w:rPr>
              <w:t>pl. burleszk, western, melodráma, horror, thriller, sci-fi</w:t>
            </w:r>
            <w:r>
              <w:rPr>
                <w:rFonts w:ascii="Times New Roman" w:hAnsi="Times New Roman" w:cs="Times New Roman"/>
                <w:sz w:val="20"/>
                <w:szCs w:val="20"/>
              </w:rPr>
              <w:t>) bemutatása egy-egy – a választott műfajt jellemző film – segítségével, a témaválasztásban, a motívumhasználatban és az elbeszélésmódban megfigyelhető hasonlóságok alapján.</w:t>
            </w:r>
          </w:p>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Egy szabadon választott tömegfilmes alkotói életmű bemutatása (</w:t>
            </w:r>
            <w:r>
              <w:rPr>
                <w:rFonts w:ascii="Times New Roman" w:hAnsi="Times New Roman" w:cs="Times New Roman"/>
                <w:i/>
                <w:iCs/>
                <w:sz w:val="20"/>
                <w:szCs w:val="20"/>
              </w:rPr>
              <w:t>pl. Chaplin, Ford, Hitchcock, Spielberg</w:t>
            </w:r>
            <w:r>
              <w:rPr>
                <w:rFonts w:ascii="Times New Roman" w:hAnsi="Times New Roman" w:cs="Times New Roman"/>
                <w:sz w:val="20"/>
                <w:szCs w:val="20"/>
              </w:rPr>
              <w:t>).</w:t>
            </w:r>
            <w:r>
              <w:rPr>
                <w:rFonts w:ascii="Times New Roman" w:hAnsi="Times New Roman" w:cs="Times New Roman"/>
                <w:i/>
                <w:iCs/>
                <w:sz w:val="20"/>
                <w:szCs w:val="20"/>
              </w:rPr>
              <w:t xml:space="preserve"> </w:t>
            </w: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6. Stílus- és műismeret</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Korstílusok</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szereplő- és környezetválasztásban, a kamerahasználatban, a történetmesélésben, a film szerepéről való elképzelésben és a filmtörténeti hagyományokhoz való viszonyban megfigyelhető stiláris jegyek hasonlóságának felismerése a (német) expresszionizmus, a francia és a szovjet-orosz avantgárd film, az (olasz) neorealizmus, a francia és a csehszlovák új hullám kapcsán.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Ezen (film)stílustörténeti korszakból egy-két meghatározó alkotó és mű alaposabb ismerete.</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Szerzők és művek</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film stílustörténeti korszakokba nehezen sorolható „nagymesterei” (pl. </w:t>
            </w:r>
            <w:r>
              <w:rPr>
                <w:rFonts w:ascii="Times New Roman" w:hAnsi="Times New Roman" w:cs="Times New Roman"/>
                <w:i/>
                <w:iCs/>
                <w:sz w:val="20"/>
                <w:szCs w:val="20"/>
              </w:rPr>
              <w:t>Bunuel, Bergman, Welles, Antonioni, Fellini, Godard, Jancsó, Kuroszava, Tarkovszkij</w:t>
            </w:r>
            <w:r>
              <w:rPr>
                <w:rFonts w:ascii="Times New Roman" w:hAnsi="Times New Roman" w:cs="Times New Roman"/>
                <w:sz w:val="20"/>
                <w:szCs w:val="20"/>
              </w:rPr>
              <w:t>) közül egy alkotó életművének alaposabb bemutatása a legfontosabb művek alapján, a szerzőt jellemző témák, stiláris eszközök segítségével.</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új magyar film a hatvanas-hetvenes években</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film fontosabb alkotói (Jancsó, Fábry, Kovács, Makk, Huszárik, Gaál, Szabó) munkásságának általános jellemzése. A Budapesti iskola bemutatása, egy-egy fontosabb mű ismerete.</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kortárs magyar film</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Egy </w:t>
            </w:r>
            <w:r>
              <w:rPr>
                <w:rFonts w:ascii="Symbol" w:hAnsi="Symbol" w:cs="Symbol"/>
                <w:sz w:val="20"/>
                <w:szCs w:val="20"/>
              </w:rPr>
              <w:t></w:t>
            </w:r>
            <w:r>
              <w:rPr>
                <w:rFonts w:ascii="Times New Roman" w:hAnsi="Times New Roman" w:cs="Times New Roman"/>
                <w:sz w:val="20"/>
                <w:szCs w:val="20"/>
              </w:rPr>
              <w:t xml:space="preserve"> a rendszerváltozást követően készült </w:t>
            </w:r>
            <w:r>
              <w:rPr>
                <w:rFonts w:ascii="Symbol" w:hAnsi="Symbol" w:cs="Symbol"/>
                <w:sz w:val="20"/>
                <w:szCs w:val="20"/>
              </w:rPr>
              <w:t></w:t>
            </w:r>
            <w:r>
              <w:rPr>
                <w:rFonts w:ascii="Times New Roman" w:hAnsi="Times New Roman" w:cs="Times New Roman"/>
                <w:sz w:val="20"/>
                <w:szCs w:val="20"/>
              </w:rPr>
              <w:t xml:space="preserve"> jelentős magyar film részletező ismertetése.</w:t>
            </w: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7. A médiaszövegek befogadása, a média közönsége</w:t>
            </w:r>
          </w:p>
        </w:tc>
      </w:tr>
      <w:tr w:rsidR="004C2997">
        <w:tblPrEx>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Sorozatelv</w:t>
            </w:r>
          </w:p>
        </w:tc>
        <w:tc>
          <w:tcPr>
            <w:tcW w:w="666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Annak a jelenségnek a bemutatása aktuális médiapéldák segítségével, hogy a médiaszövegek döntő többségét sorozatként szerkesztik, ill. a befogadó kizárólag sorozatként képes azokat értelmezni.  </w:t>
            </w:r>
          </w:p>
        </w:tc>
      </w:tr>
      <w:tr w:rsidR="004C2997">
        <w:tblPrEx>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befogadást befolyásoló tényezők</w:t>
            </w:r>
          </w:p>
        </w:tc>
        <w:tc>
          <w:tcPr>
            <w:tcW w:w="666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Annak bemutatása, hogy a szövegen túl milyen tényezők hatnak különösen a befogadásra: így a kulturális kompetencia szerepe (a befogadó tudása, tapasztalata és ízlése); a közönség kulturális és társadalmi környezetének </w:t>
            </w:r>
            <w:r>
              <w:rPr>
                <w:rFonts w:ascii="Symbol" w:hAnsi="Symbol" w:cs="Symbol"/>
                <w:sz w:val="20"/>
                <w:szCs w:val="20"/>
              </w:rPr>
              <w:t></w:t>
            </w:r>
            <w:r>
              <w:rPr>
                <w:rFonts w:ascii="Times New Roman" w:hAnsi="Times New Roman" w:cs="Times New Roman"/>
                <w:sz w:val="20"/>
                <w:szCs w:val="20"/>
              </w:rPr>
              <w:t xml:space="preserve"> szociális, etnikai, gazdasági helyzetének, életkorának és nemének </w:t>
            </w:r>
            <w:r>
              <w:rPr>
                <w:rFonts w:ascii="Symbol" w:hAnsi="Symbol" w:cs="Symbol"/>
                <w:sz w:val="20"/>
                <w:szCs w:val="20"/>
              </w:rPr>
              <w:t></w:t>
            </w:r>
            <w:r>
              <w:rPr>
                <w:rFonts w:ascii="Times New Roman" w:hAnsi="Times New Roman" w:cs="Times New Roman"/>
                <w:sz w:val="20"/>
                <w:szCs w:val="20"/>
              </w:rPr>
              <w:t xml:space="preserve"> hatása, illetve a befogadás környezetének (pl. újságolvasás, rádióhallgatás, tévézés, szörfözés a weben) hatása az egyes médiaszövegek, szövegtípusok elutasítására vagy elfogadására.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médiaipar globalizálódásának jelei és következményei (pl. a nemzeti identitás veszélyeztetése) a médiaszövegek kódolásában és terjesztésében.</w:t>
            </w:r>
          </w:p>
        </w:tc>
      </w:tr>
      <w:tr w:rsidR="004C2997">
        <w:tblPrEx>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sztár</w:t>
            </w:r>
          </w:p>
        </w:tc>
        <w:tc>
          <w:tcPr>
            <w:tcW w:w="666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sztár szerepének felismerése és értelmezése a médiában és a filmen, néhány film és médiasztár jellemzésén keresztül.</w:t>
            </w:r>
          </w:p>
        </w:tc>
      </w:tr>
      <w:tr w:rsidR="004C2997">
        <w:tblPrEx>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új médiatechnológiák hatása </w:t>
            </w:r>
          </w:p>
        </w:tc>
        <w:tc>
          <w:tcPr>
            <w:tcW w:w="666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mediatizált közlésmód új jelenségeinek (interaktivitás, multimédia, hálózati kommunikáció, virtuális valóság) jellemzése, a befogadási folyamatra gyakorolt hatásuk bemutatása és értékelése.</w:t>
            </w: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8. A médiaintézmények</w:t>
            </w:r>
          </w:p>
        </w:tc>
      </w:tr>
      <w:tr w:rsidR="004C2997">
        <w:tblPrEx>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médiaszöveg mint termék</w:t>
            </w:r>
          </w:p>
        </w:tc>
        <w:tc>
          <w:tcPr>
            <w:tcW w:w="666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tömegkommunikációs gyakorlatra ható főbb gazdasági tényezők bemutatása, az iparszerű, piacelvű működés bizonyítása (pl.  maximális fogyasztásra késztetés elve; a közönség kettős szerepe: a közönség mint vevő és mint áru; a műsoridő mint tulajdon).</w:t>
            </w:r>
          </w:p>
        </w:tc>
      </w:tr>
      <w:tr w:rsidR="004C2997">
        <w:tblPrEx>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médiaipar intézményei</w:t>
            </w:r>
          </w:p>
        </w:tc>
        <w:tc>
          <w:tcPr>
            <w:tcW w:w="666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Közszolgálati és kereskedelmi, független, ill. alternatív médiaintézmények, szakosított csatornák és bizonyos témákra specializálódott médiavállalkozások között különbségek bemutatása néhány jellemző példával.</w:t>
            </w:r>
          </w:p>
        </w:tc>
      </w:tr>
      <w:tr w:rsidR="004C2997">
        <w:tblPrEx>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médiaipar ellenőrzése</w:t>
            </w:r>
          </w:p>
        </w:tc>
        <w:tc>
          <w:tcPr>
            <w:tcW w:w="666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médiaipar jogi és etikai szabályozásának alapelvei (a válaszadás lehetősége, a magánélet tiszteletben tartása, hátrányos megkülönböztetés elkerülése).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törvények betartását ellenőrző hazai intézmények megnevezése, jellemző példák a hatóságok beavatkozására (pl. a reklámidő túllépéséért, fiatalkorúak számára káros szövegek túl korai sugárzásáért).</w:t>
            </w: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9. A reprezentáció</w:t>
            </w:r>
          </w:p>
        </w:tc>
      </w:tr>
      <w:tr w:rsidR="004C2997">
        <w:tblPrEx>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valóság sztereotíp és torzított megjelenítése a médiában</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6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reprezentáció fogalmának ismerete, a tapasztalati és a média-valóság eltéréseinek felismerése, bemutatása (elsősorban a nemi szerepek, a kisebbségek és az etnikumok, az eszmék, és politikai formációk) médiaszövegekben megtestesülő reprezentációjának a tekintetében.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Azoknak a fontosabb érveknek és ellenérveknek az ismerete és alkalmazása, amelyekkel a média tömegbefolyásolási, közönségmanipulációs hatását kívánják bizonyítani vagy cáfolni.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Jellemző sztereotípiák bizonyos társadalmi csoportok reprezentációjában.</w:t>
            </w: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10. Jellegzetes műsortípusok, médiaszövegek</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Hírműsorok</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hír és a vélemény fogalmainak ismerete és elkülönítése.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hírműsor-szerkesztés elemi normáinak ismerete és érvényesülésük kritikus megítélése.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hírek verbális, képi, narratív és szerkesztési eszközeinek felismerése és azok hatásának elemzése.</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Reklám</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reklám mint alkalmazott művészeti forma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reklámok címzettjének/célcsoportjának meghatározása.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reklámok gyakoribb képi, verbális, narratív megoldásainak a leírása és jellemzése; néhány gyakori befolyásolási technika felismerése és értékelése.</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Folytatásos teleregény (szappanopera)</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szériaelv megjelenési formáinak ismerete és jellemzése.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teleregény szerkezeti sajátosságainak ismerete és bemutatása alkalmas példán.</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410"/>
        <w:gridCol w:w="22"/>
        <w:gridCol w:w="6640"/>
      </w:tblGrid>
      <w:tr w:rsidR="004C2997">
        <w:tblPrEx>
          <w:tblCellMar>
            <w:top w:w="0" w:type="dxa"/>
            <w:bottom w:w="0" w:type="dxa"/>
          </w:tblCellMar>
        </w:tblPrEx>
        <w:trPr>
          <w:cantSplit/>
        </w:trPr>
        <w:tc>
          <w:tcPr>
            <w:tcW w:w="2432" w:type="dxa"/>
            <w:gridSpan w:val="2"/>
            <w:shd w:val="pct25" w:color="auto" w:fill="auto"/>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Témakör</w:t>
            </w:r>
          </w:p>
        </w:tc>
        <w:tc>
          <w:tcPr>
            <w:tcW w:w="6640" w:type="dxa"/>
            <w:shd w:val="pct25" w:color="auto" w:fill="auto"/>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A média a mindennapi életben</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Társadalmi nyilvánosság</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társadalmi nyilvánosság átalakulása a tömegkommunikáció hatására, a technikai képreprodukció, a másolat és a sokszorosítás jelentőségének kifejtése.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média legfontosabb társadalmi szerepeinek (</w:t>
            </w:r>
            <w:r>
              <w:rPr>
                <w:rFonts w:ascii="Times New Roman" w:hAnsi="Times New Roman" w:cs="Times New Roman"/>
                <w:i/>
                <w:iCs/>
                <w:sz w:val="20"/>
                <w:szCs w:val="20"/>
              </w:rPr>
              <w:t>pl. tájékoztatás, „őrkutya”-szerep, közösség-teremtő-szerep, a morális értékrend formálása</w:t>
            </w:r>
            <w:r>
              <w:rPr>
                <w:rFonts w:ascii="Times New Roman" w:hAnsi="Times New Roman" w:cs="Times New Roman"/>
                <w:sz w:val="20"/>
                <w:szCs w:val="20"/>
              </w:rPr>
              <w:t>)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nyilvános szereplés képessége, a nyilvános szereplés során elvárható etikai szempontok alkalmazása (</w:t>
            </w:r>
            <w:r>
              <w:rPr>
                <w:rFonts w:ascii="Times New Roman" w:hAnsi="Times New Roman" w:cs="Times New Roman"/>
                <w:i/>
                <w:iCs/>
                <w:sz w:val="20"/>
                <w:szCs w:val="20"/>
              </w:rPr>
              <w:t>pl. interjúhelyzetben</w:t>
            </w:r>
            <w:r>
              <w:rPr>
                <w:rFonts w:ascii="Times New Roman" w:hAnsi="Times New Roman" w:cs="Times New Roman"/>
                <w:sz w:val="20"/>
                <w:szCs w:val="20"/>
              </w:rPr>
              <w:t xml:space="preserv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Annak a feltételezésnek a bizonyítása aktuális médiapéldák segítségével, hogy a modern tömegtársadalmakban a média tematizálja a közbeszédet.</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Tájékozódás és alkalmazás</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egyes médiumokban fellelhető szövegtípusoknak (újságok, rádióműsorok, filmek, televízióműsorok, weblapok, cd-romok, digitális archívumok) mint információforrásoknak szelektív és célirányos használata, alkalmazása </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média és az életmód</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Annak bemutatása, hogy a médiumok – elsősorban a rádió és a televízió  műsorrendje – hogyan hat a fogyasztó életmódjára. (</w:t>
            </w:r>
            <w:r>
              <w:rPr>
                <w:rFonts w:ascii="Times New Roman" w:hAnsi="Times New Roman" w:cs="Times New Roman"/>
                <w:i/>
                <w:iCs/>
                <w:sz w:val="20"/>
                <w:szCs w:val="20"/>
              </w:rPr>
              <w:t>pl. nézői szokások, a műsorválasztás joga, médiaeszközök birtoklása, elhelyezése és használata).</w:t>
            </w:r>
            <w:r>
              <w:rPr>
                <w:rFonts w:ascii="Times New Roman" w:hAnsi="Times New Roman" w:cs="Times New Roman"/>
                <w:sz w:val="20"/>
                <w:szCs w:val="20"/>
              </w:rPr>
              <w:t xml:space="preserve"> </w:t>
            </w: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A mozgóképnyelv alapjai, a filmpoétika fogalmai</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képrögzítés és mozgásábrázolás </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Képalkotás és képrögzítés, mozgásábrázolás és történetmesélés motivációinak felismerése, a különféle képtípusok elkülönítése, a mozgókép előtti mozgásábrázolási és történetalkotási törekvések azonosítása a képzőművészetben </w:t>
            </w:r>
            <w:r>
              <w:rPr>
                <w:rFonts w:ascii="Symbol" w:hAnsi="Symbol" w:cs="Symbol"/>
                <w:sz w:val="20"/>
                <w:szCs w:val="20"/>
              </w:rPr>
              <w:t></w:t>
            </w:r>
            <w:r>
              <w:rPr>
                <w:rFonts w:ascii="Times New Roman" w:hAnsi="Times New Roman" w:cs="Times New Roman"/>
                <w:sz w:val="20"/>
                <w:szCs w:val="20"/>
              </w:rPr>
              <w:t xml:space="preserve"> a barlangrajztól a képregényig.</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technikai képalkotás története</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árnyképkészítés. A vetített kép. Laterna magica, camera obscura. A fénykép és a mozgófénykép feltalálása. A fontosabb technikai találmányok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kép és a technikai kép fogalmának az elkülönítése.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technikai kép létrehozására szolgáló eszközök kezelői szintű ismerete és alkalmazása (</w:t>
            </w:r>
            <w:r>
              <w:rPr>
                <w:rFonts w:ascii="Times New Roman" w:hAnsi="Times New Roman" w:cs="Times New Roman"/>
                <w:i/>
                <w:iCs/>
                <w:sz w:val="20"/>
                <w:szCs w:val="20"/>
              </w:rPr>
              <w:t>pl. fényképezőgép, a videokamera használata a projektmunka során</w:t>
            </w:r>
            <w:r>
              <w:rPr>
                <w:rFonts w:ascii="Times New Roman" w:hAnsi="Times New Roman" w:cs="Times New Roman"/>
                <w:sz w:val="20"/>
                <w:szCs w:val="20"/>
              </w:rPr>
              <w:t>).</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mozgóképi közlésmód alaptulajdonságai</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mozgókép kettős természetének (reprodukció és ábrázolás) felismerése és következményeinek értelmezése a művészi és a köznapi mozgóképi szövegformálásban.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mozgókép utalásos természetének bemutatása és értelmezése szabadon választott, jellemző példákkal.</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látvány mozgóképi megszervezése</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keretezésnek mint a technikai képrögzítés az alkotótól függő mozzanatának felismerése.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beállítás és a képkivágat fogalmának pontos használata; a plánok fajtáinak felismerése és alkalmazásuk értelmezése a mozgóképi szövegek elemzésében.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egyes beállítások térbeli (</w:t>
            </w:r>
            <w:r>
              <w:rPr>
                <w:rFonts w:ascii="Times New Roman" w:hAnsi="Times New Roman" w:cs="Times New Roman"/>
                <w:i/>
                <w:iCs/>
                <w:sz w:val="20"/>
                <w:szCs w:val="20"/>
              </w:rPr>
              <w:t>pl. térmélység, előtér-háttér</w:t>
            </w:r>
            <w:r>
              <w:rPr>
                <w:rFonts w:ascii="Times New Roman" w:hAnsi="Times New Roman" w:cs="Times New Roman"/>
                <w:sz w:val="20"/>
                <w:szCs w:val="20"/>
              </w:rPr>
              <w:t xml:space="preserve">) és optikai </w:t>
            </w:r>
            <w:r>
              <w:rPr>
                <w:rFonts w:ascii="Times New Roman" w:hAnsi="Times New Roman" w:cs="Times New Roman"/>
                <w:i/>
                <w:iCs/>
                <w:sz w:val="20"/>
                <w:szCs w:val="20"/>
              </w:rPr>
              <w:t>(pl. nagylátószögű objektív használata</w:t>
            </w:r>
            <w:r>
              <w:rPr>
                <w:rFonts w:ascii="Times New Roman" w:hAnsi="Times New Roman" w:cs="Times New Roman"/>
                <w:sz w:val="20"/>
                <w:szCs w:val="20"/>
              </w:rPr>
              <w:t>) jelzéseinek felismerése és magyarázata, illetve a kameramozgások azonosítása és használatuk értelmezése adott szövegek elemzése során.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megvilágítás szerepének felismerése, leírása és magyarázata.</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szereplő</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szereplőválasztásnak (civil vagy hivatásos) és a szereplő külső megjelenésének </w:t>
            </w:r>
            <w:r>
              <w:rPr>
                <w:rFonts w:ascii="Symbol" w:hAnsi="Symbol" w:cs="Symbol"/>
                <w:sz w:val="20"/>
                <w:szCs w:val="20"/>
              </w:rPr>
              <w:t></w:t>
            </w:r>
            <w:r>
              <w:rPr>
                <w:rFonts w:ascii="Times New Roman" w:hAnsi="Times New Roman" w:cs="Times New Roman"/>
                <w:sz w:val="20"/>
                <w:szCs w:val="20"/>
              </w:rPr>
              <w:t xml:space="preserve"> mint metakommunikációs közlésnek </w:t>
            </w:r>
            <w:r>
              <w:rPr>
                <w:rFonts w:ascii="Symbol" w:hAnsi="Symbol" w:cs="Symbol"/>
                <w:sz w:val="20"/>
                <w:szCs w:val="20"/>
              </w:rPr>
              <w:t></w:t>
            </w:r>
            <w:r>
              <w:rPr>
                <w:rFonts w:ascii="Times New Roman" w:hAnsi="Times New Roman" w:cs="Times New Roman"/>
                <w:sz w:val="20"/>
                <w:szCs w:val="20"/>
              </w:rPr>
              <w:t xml:space="preserve"> a leírása és értelmezése adott mozgóképi szövegek értelmezésében.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viselkedés szóbeli, intonációs és további metakommunikációs eszközeinek felismerése és értelmezése.</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Montázs</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montázs-jelenség felismerése, a montázs és a gondolkodás, ill. a montázs és az ábrázolás kapcsolatának ismerete </w:t>
            </w:r>
            <w:r>
              <w:rPr>
                <w:rFonts w:ascii="Times New Roman" w:hAnsi="Times New Roman" w:cs="Times New Roman"/>
                <w:i/>
                <w:iCs/>
                <w:sz w:val="20"/>
                <w:szCs w:val="20"/>
              </w:rPr>
              <w:t>(pl. a kollázs, vagy a mozgókép esetében a tér-idő felbontása és újraszervezése)</w:t>
            </w:r>
            <w:r>
              <w:rPr>
                <w:rFonts w:ascii="Times New Roman" w:hAnsi="Times New Roman" w:cs="Times New Roman"/>
                <w:sz w:val="20"/>
                <w:szCs w:val="20"/>
              </w:rPr>
              <w: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Jellemző montázsmegoldások bemutatása a művészettörténetből</w:t>
            </w:r>
            <w:r>
              <w:rPr>
                <w:rFonts w:ascii="Times New Roman" w:hAnsi="Times New Roman" w:cs="Times New Roman"/>
                <w:i/>
                <w:iCs/>
                <w:sz w:val="20"/>
                <w:szCs w:val="20"/>
              </w:rPr>
              <w:t xml:space="preserv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lineáris/narratív, asszociatív/expresszív és belső montázs felismerése és montázshatásának értelmezése adott mozgóképi szövegek esetében.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képváltás leggyakoribb típusainak felismerése,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mozgóképi hanghatások fajtáinak elkülönítése, kombinációik és képekkel történő összekapcsolásuk megoldásainak leírása és magyarázata (</w:t>
            </w:r>
            <w:r>
              <w:rPr>
                <w:rFonts w:ascii="Times New Roman" w:hAnsi="Times New Roman" w:cs="Times New Roman"/>
                <w:i/>
                <w:iCs/>
                <w:sz w:val="20"/>
                <w:szCs w:val="20"/>
              </w:rPr>
              <w:t>pl. szinkronitás-aszinkronitás, időérzet és hangulatteremtés</w:t>
            </w:r>
            <w:r>
              <w:rPr>
                <w:rFonts w:ascii="Times New Roman" w:hAnsi="Times New Roman" w:cs="Times New Roman"/>
                <w:sz w:val="20"/>
                <w:szCs w:val="20"/>
              </w:rPr>
              <w:t>) a szövegelemzés során.</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Mozgóképi elbeszélés</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történet mint változássorozat értelmezése, az események időrendi és okozati láncolatának összeállítása, a történet fontosabb alkotóelemeinek (expozíció, lezárás, fordulat és epizód) felismerése és elkülönítése adott mozgóképi szövegek értelmezésében.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történet, a cselekmény és az elbeszélés fogalmainak helyes használata, alkalmazása a szövegelemzésben. </w:t>
            </w: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A mozgóképi szövegértés, értelmezési szintek</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médiaszövegek és a mozgóképi alkotások rendszerezése</w:t>
            </w:r>
          </w:p>
        </w:tc>
        <w:tc>
          <w:tcPr>
            <w:tcW w:w="6640" w:type="dxa"/>
          </w:tcPr>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A médiaszövegek rendszerezésének néhány fontosabb módja, a rendszerezés szempontjainak ismerete, jellemző példák alkalmazása (</w:t>
            </w:r>
            <w:r>
              <w:rPr>
                <w:rFonts w:ascii="Times New Roman" w:hAnsi="Times New Roman" w:cs="Times New Roman"/>
                <w:i/>
                <w:iCs/>
                <w:sz w:val="20"/>
                <w:szCs w:val="20"/>
              </w:rPr>
              <w:t xml:space="preserve">médiumok szerint: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pl. sajtó, rádió, film, televízió stb.; a valóság ábrázolásához való viszony szerint: dokumentum és fikció; az alkotói szándék és a nézői elvárás szerint: műfaji, ill. szerzői; a szöveg keletkezése és stílusa szerint: pl. expresszionista, neorealista, új hullámos stb.; műsortípus szerint: pl. reklám, hír, show stb.</w:t>
            </w:r>
            <w:r>
              <w:rPr>
                <w:rFonts w:ascii="Times New Roman" w:hAnsi="Times New Roman" w:cs="Times New Roman"/>
                <w:sz w:val="20"/>
                <w:szCs w:val="20"/>
              </w:rPr>
              <w:t xml:space="preserv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dokumentumfilm, játékfilm, kísérleti film, animációs film elkülönítése.</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valóság ábrázolásához való viszony</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valóságos és a valószerű fogalmának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fikcionális és a dokumentarista ábrázolásmód felismerése adott médiaszövegek esetében.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technikai képrögzítés kultúrtörténeti szerepének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televízió valóságfelfogásának értelmezése a médium megjelenésétől a valóságshow műsorokig.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környezet, az atmoszféra és a szereplők személyiségének, ill. kapcsolatrendszerének hitelessége </w:t>
            </w:r>
            <w:r>
              <w:rPr>
                <w:rFonts w:ascii="Symbol" w:hAnsi="Symbol" w:cs="Symbol"/>
                <w:sz w:val="20"/>
                <w:szCs w:val="20"/>
              </w:rPr>
              <w:t></w:t>
            </w:r>
            <w:r>
              <w:rPr>
                <w:rFonts w:ascii="Times New Roman" w:hAnsi="Times New Roman" w:cs="Times New Roman"/>
                <w:sz w:val="20"/>
                <w:szCs w:val="20"/>
              </w:rPr>
              <w:t xml:space="preserve"> mint elemzési szempont </w:t>
            </w:r>
            <w:r>
              <w:rPr>
                <w:rFonts w:ascii="Symbol" w:hAnsi="Symbol" w:cs="Symbol"/>
                <w:sz w:val="20"/>
                <w:szCs w:val="20"/>
              </w:rPr>
              <w:t></w:t>
            </w:r>
            <w:r>
              <w:rPr>
                <w:rFonts w:ascii="Times New Roman" w:hAnsi="Times New Roman" w:cs="Times New Roman"/>
                <w:sz w:val="20"/>
                <w:szCs w:val="20"/>
              </w:rPr>
              <w:t xml:space="preserve">  alkalmazása adott szövegek esetében.</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Cselekmény</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elemzés</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Történet és cselekmény megkülönböztetése. A cselekmény tér-idő folyamatának felismerése. A műfaji szabályok felismerése a cselekményszervezésben.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filmtörténeti tényezők számbavétele. Fordulatok, epizódok különválasztása.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Cselekményen belüli és azon kívüli események elkülönítése.</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mozgóképi szövegek jelentése</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Jelentéstulajdonítás a legfontosabb filmnyelvi kódok (narráció, montázs, látványszervezés, szerepjáték) értelmezésével </w:t>
            </w:r>
            <w:r>
              <w:rPr>
                <w:rFonts w:ascii="Symbol" w:hAnsi="Symbol" w:cs="Symbol"/>
                <w:sz w:val="20"/>
                <w:szCs w:val="20"/>
              </w:rPr>
              <w:t></w:t>
            </w:r>
            <w:r>
              <w:rPr>
                <w:rFonts w:ascii="Times New Roman" w:hAnsi="Times New Roman" w:cs="Times New Roman"/>
                <w:sz w:val="20"/>
                <w:szCs w:val="20"/>
              </w:rPr>
              <w:t xml:space="preserve"> adott mozgóképi szövegek esetében.</w:t>
            </w: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4. A mozgóképi szövegalkotás</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Egyszerű médiaszövegek megszerkesztése </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szövegalkotási ismeretek és képesség bizonyítása </w:t>
            </w:r>
            <w:r>
              <w:rPr>
                <w:rFonts w:ascii="Times New Roman" w:hAnsi="Times New Roman" w:cs="Times New Roman"/>
                <w:i/>
                <w:iCs/>
                <w:sz w:val="20"/>
                <w:szCs w:val="20"/>
              </w:rPr>
              <w:t>(pl. néhány beállításból álló értelmes mozgóképi szekvencia megtervezésével és kivitelezésével, rövid interjú vagy rádiós híranyag megtervezése és elkészítése a projektmunka során).</w:t>
            </w: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5. Műfaj- és műismeret</w:t>
            </w:r>
          </w:p>
        </w:tc>
      </w:tr>
      <w:tr w:rsidR="004C2997">
        <w:tblPrEx>
          <w:tblCellMar>
            <w:top w:w="0" w:type="dxa"/>
            <w:bottom w:w="0" w:type="dxa"/>
          </w:tblCellMar>
        </w:tblPrEx>
        <w:tc>
          <w:tcPr>
            <w:tcW w:w="2432" w:type="dxa"/>
            <w:gridSpan w:val="2"/>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filmkultúra kettőssége</w:t>
            </w:r>
          </w:p>
        </w:tc>
        <w:tc>
          <w:tcPr>
            <w:tcW w:w="6640"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kultúrahasadás jelenségének, okainak és következményeinek bemutatása és értékelése. A tömeg- és a magas/artisztikus kultúra fogalmának elhatárolása.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műfaji és a szerzői filmalkotások megkülönböztetése és összehasonlítása: a műfaj mint cselekménymeghatározó és a stílus, mint kor- vagy alkotói egyéniség jellemző karakterének felismerése, stíluselemzés.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archetípus fogalmának ismerete, archetípusok felismerése.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tömegfilmek sajátosságai: sztárkultusz, iparszerűség, gazdasági meghatározottság, nézőszám maximalizálás, szórakoztatás, műfajiság, fogyasztói minták, multiplex-terjesztés.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szerzői vagy művészfilmek sajátosságai: a nemzeti magaskultúra hagyományai, értelmiségi kultúra és intellektualizmus, elitközönség, hétköznapiság, a stílus dominanciája, szoros kapcsolat a társművészetekkel.</w:t>
            </w:r>
          </w:p>
        </w:tc>
      </w:tr>
      <w:tr w:rsidR="004C2997">
        <w:tblPrEx>
          <w:tblCellMar>
            <w:top w:w="0" w:type="dxa"/>
            <w:bottom w:w="0" w:type="dxa"/>
          </w:tblCellMar>
        </w:tblPrEx>
        <w:tc>
          <w:tcPr>
            <w:tcW w:w="2432" w:type="dxa"/>
            <w:gridSpan w:val="2"/>
            <w:tcBorders>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Műfaji jellemzők</w:t>
            </w:r>
          </w:p>
        </w:tc>
        <w:tc>
          <w:tcPr>
            <w:tcW w:w="6640" w:type="dxa"/>
            <w:tcBorders>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legjellemzőbb műfajok  – így a dráma, melodráma, burleszk, western, vígjáték, akciófilm, thriller, krimi, horror – közül három részletező ismertetése egy-egy hozzárendelhető film vázlatos elemzésével, a témaválasztásban, a motívumhasználatban és az elbeszélésmódban megfigyelhető hasonlóságok alapján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szabadon választott tömegfilmes alkotói életmű bemutatása (</w:t>
            </w:r>
            <w:r>
              <w:rPr>
                <w:rFonts w:ascii="Times New Roman" w:hAnsi="Times New Roman" w:cs="Times New Roman"/>
                <w:i/>
                <w:iCs/>
                <w:sz w:val="20"/>
                <w:szCs w:val="20"/>
              </w:rPr>
              <w:t>pl. Chaplin, Ford, Hitchcock, Spielberg</w:t>
            </w:r>
            <w:r>
              <w:rPr>
                <w:rFonts w:ascii="Times New Roman" w:hAnsi="Times New Roman" w:cs="Times New Roman"/>
                <w:sz w:val="20"/>
                <w:szCs w:val="20"/>
              </w:rPr>
              <w:t>).</w:t>
            </w:r>
            <w:r>
              <w:rPr>
                <w:rFonts w:ascii="Times New Roman" w:hAnsi="Times New Roman" w:cs="Times New Roman"/>
                <w:i/>
                <w:iCs/>
                <w:sz w:val="20"/>
                <w:szCs w:val="20"/>
              </w:rPr>
              <w:t xml:space="preserve"> </w:t>
            </w:r>
          </w:p>
        </w:tc>
      </w:tr>
      <w:tr w:rsidR="004C2997">
        <w:tblPrEx>
          <w:tblCellMar>
            <w:top w:w="0" w:type="dxa"/>
            <w:bottom w:w="0" w:type="dxa"/>
          </w:tblCellMar>
        </w:tblPrEx>
        <w:trPr>
          <w:cantSplit/>
        </w:trPr>
        <w:tc>
          <w:tcPr>
            <w:tcW w:w="9072" w:type="dxa"/>
            <w:gridSpan w:val="3"/>
            <w:tcBorders>
              <w:top w:val="nil"/>
            </w:tcBorders>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6. Egyetemes filmtörténeti ismeretek</w:t>
            </w:r>
          </w:p>
        </w:tc>
      </w:tr>
      <w:tr w:rsidR="004C2997">
        <w:tblPrEx>
          <w:tblCellMar>
            <w:top w:w="0" w:type="dxa"/>
            <w:bottom w:w="0" w:type="dxa"/>
          </w:tblCellMar>
        </w:tblPrEx>
        <w:trPr>
          <w:cantSplit/>
        </w:trPr>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filmtörténet kezdetei, a némafilmművészet kialakulása</w:t>
            </w:r>
          </w:p>
        </w:tc>
        <w:tc>
          <w:tcPr>
            <w:tcW w:w="666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Lumière és Meliès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Griffith jelentősége. A német expresszionizmus és a francia avantgárd jellemzése egy, ill. két meghatározó mű ismerete. Az orosz montázsiskola jellemzése, két meghatározó mű ismerete.</w:t>
            </w:r>
          </w:p>
        </w:tc>
      </w:tr>
      <w:tr w:rsidR="004C2997">
        <w:tblPrEx>
          <w:tblCellMar>
            <w:top w:w="0" w:type="dxa"/>
            <w:bottom w:w="0" w:type="dxa"/>
          </w:tblCellMar>
        </w:tblPrEx>
        <w:trPr>
          <w:cantSplit/>
        </w:trPr>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hangosfilm művészet kialakulása</w:t>
            </w:r>
          </w:p>
        </w:tc>
        <w:tc>
          <w:tcPr>
            <w:tcW w:w="666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lírai realizmus és az olasz neorealizmus jellemzése egy, (ill. két) meghatározó alkotás ismerete.</w:t>
            </w:r>
          </w:p>
        </w:tc>
      </w:tr>
      <w:tr w:rsidR="004C2997">
        <w:tblPrEx>
          <w:tblCellMar>
            <w:top w:w="0" w:type="dxa"/>
            <w:bottom w:w="0" w:type="dxa"/>
          </w:tblCellMar>
        </w:tblPrEx>
        <w:trPr>
          <w:cantSplit/>
        </w:trPr>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modern film</w:t>
            </w:r>
          </w:p>
        </w:tc>
        <w:tc>
          <w:tcPr>
            <w:tcW w:w="666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új hullámok, az új Hollywood jellemzése, néhány meghatározó alkotás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modern film nagy alkotói  (Antonioni, Godard, Fellini, Buñuel, Bergman) közül egy szerzo bemutatása  legfontosabb művei alapján a szerzőt jellemző témák, stiláris eszközök segítségével.</w:t>
            </w:r>
          </w:p>
        </w:tc>
      </w:tr>
      <w:tr w:rsidR="004C2997">
        <w:tblPrEx>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Korstílusok</w:t>
            </w:r>
          </w:p>
        </w:tc>
        <w:tc>
          <w:tcPr>
            <w:tcW w:w="666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szereplő- és környezetválasztásban, a kamerahasználatban, a történetmesélésben, a film szerepéről való elképzelésben és a filmtörténeti hagyományokhoz való viszonyban megfigyelhető stiláris jegyek hasonlóságának felismerése.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személyes világlátás, az alkotót jellemző elbeszélői jegyek alkalmazására való törekvés felismerése és bemutatása.</w:t>
            </w:r>
          </w:p>
        </w:tc>
      </w:tr>
      <w:tr w:rsidR="004C29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7. Magyar filmtörténeti ismeretek</w:t>
            </w:r>
          </w:p>
        </w:tc>
      </w:tr>
      <w:tr w:rsidR="004C2997">
        <w:tblPrEx>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film a háború előtt</w:t>
            </w:r>
          </w:p>
        </w:tc>
        <w:tc>
          <w:tcPr>
            <w:tcW w:w="666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főbb műfajok, a vígjáték és melodráma jellemzése.</w:t>
            </w:r>
          </w:p>
        </w:tc>
      </w:tr>
      <w:tr w:rsidR="004C2997">
        <w:tblPrEx>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új magyar film a hatvanas-hetvenes években</w:t>
            </w:r>
          </w:p>
        </w:tc>
        <w:tc>
          <w:tcPr>
            <w:tcW w:w="666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film fontosabb alkotói (Jancsó, Fábry, Kovács, Makk, Huszárik, Gaál, Szabó) munkásságának vázlatos jellemzése. A Budapesti iskola bemutatása, egy-egy fontosabb mű ismerete.</w:t>
            </w:r>
          </w:p>
        </w:tc>
      </w:tr>
      <w:tr w:rsidR="004C2997">
        <w:tblPrEx>
          <w:tblCellMar>
            <w:top w:w="0" w:type="dxa"/>
            <w:bottom w:w="0" w:type="dxa"/>
          </w:tblCellMar>
        </w:tblPrEx>
        <w:tc>
          <w:tcPr>
            <w:tcW w:w="241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kortárs magyar film</w:t>
            </w:r>
          </w:p>
        </w:tc>
        <w:tc>
          <w:tcPr>
            <w:tcW w:w="666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Egy </w:t>
            </w:r>
            <w:r>
              <w:rPr>
                <w:rFonts w:ascii="Symbol" w:hAnsi="Symbol" w:cs="Symbol"/>
                <w:sz w:val="20"/>
                <w:szCs w:val="20"/>
              </w:rPr>
              <w:t></w:t>
            </w:r>
            <w:r>
              <w:rPr>
                <w:rFonts w:ascii="Times New Roman" w:hAnsi="Times New Roman" w:cs="Times New Roman"/>
                <w:sz w:val="20"/>
                <w:szCs w:val="20"/>
              </w:rPr>
              <w:t xml:space="preserve"> a rendszerváltást követően készült </w:t>
            </w:r>
            <w:r>
              <w:rPr>
                <w:rFonts w:ascii="Symbol" w:hAnsi="Symbol" w:cs="Symbol"/>
                <w:sz w:val="20"/>
                <w:szCs w:val="20"/>
              </w:rPr>
              <w:t></w:t>
            </w:r>
            <w:r>
              <w:rPr>
                <w:rFonts w:ascii="Times New Roman" w:hAnsi="Times New Roman" w:cs="Times New Roman"/>
                <w:sz w:val="20"/>
                <w:szCs w:val="20"/>
              </w:rPr>
              <w:t xml:space="preserve"> jelentős magyar film részletező ismertetése. </w:t>
            </w: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8. A médiaszövegek befogadása, a média közönsége</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Intertextualitás</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Sorozatelv</w:t>
            </w:r>
          </w:p>
        </w:tc>
        <w:tc>
          <w:tcPr>
            <w:tcW w:w="6640" w:type="dxa"/>
          </w:tcPr>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lastRenderedPageBreak/>
              <w:t>Annak a jelenségnek a bemutatása aktuális médiapéldák segítségével, hogy a médiaszövegek rendszeresen utalnak más médiaszövegekre, olykor csak a megelőző vagy az utána következő szövegek alapján értheti meg az adott textust a befogadó.</w:t>
            </w:r>
            <w:r>
              <w:rPr>
                <w:rFonts w:ascii="Times New Roman" w:hAnsi="Times New Roman" w:cs="Times New Roman"/>
                <w:i/>
                <w:iCs/>
                <w:sz w:val="20"/>
                <w:szCs w:val="20"/>
              </w:rPr>
              <w:t xml:space="preserv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sorozatelv értelmezése, hatása a szövegek megszerkesztésére.</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befogadást befolyásoló tényezők</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Annak bemutatása, hogy a szövegen túl milyen tényezők hatnak különösen a befogadásra: így a kulturális kompetencia szerepe (a befogadó tudása, tapasztalata és ízlése); a közönség kulturális és társadalmi környezetének </w:t>
            </w:r>
            <w:r>
              <w:rPr>
                <w:rFonts w:ascii="Symbol" w:hAnsi="Symbol" w:cs="Symbol"/>
                <w:sz w:val="20"/>
                <w:szCs w:val="20"/>
              </w:rPr>
              <w:t></w:t>
            </w:r>
            <w:r>
              <w:rPr>
                <w:rFonts w:ascii="Times New Roman" w:hAnsi="Times New Roman" w:cs="Times New Roman"/>
                <w:sz w:val="20"/>
                <w:szCs w:val="20"/>
              </w:rPr>
              <w:t xml:space="preserve"> szociális, etnikai, gazdasági helyzetének, életkorának és nemének </w:t>
            </w:r>
            <w:r>
              <w:rPr>
                <w:rFonts w:ascii="Symbol" w:hAnsi="Symbol" w:cs="Symbol"/>
                <w:sz w:val="20"/>
                <w:szCs w:val="20"/>
              </w:rPr>
              <w:t></w:t>
            </w:r>
            <w:r>
              <w:rPr>
                <w:rFonts w:ascii="Times New Roman" w:hAnsi="Times New Roman" w:cs="Times New Roman"/>
                <w:sz w:val="20"/>
                <w:szCs w:val="20"/>
              </w:rPr>
              <w:t xml:space="preserve"> hatása illetve a befogadás környezetének (</w:t>
            </w:r>
            <w:r>
              <w:rPr>
                <w:rFonts w:ascii="Times New Roman" w:hAnsi="Times New Roman" w:cs="Times New Roman"/>
                <w:i/>
                <w:iCs/>
                <w:sz w:val="20"/>
                <w:szCs w:val="20"/>
              </w:rPr>
              <w:t>pl. újságolvasás, rádióhallgatás, tévézés, szörfözés a weben</w:t>
            </w:r>
            <w:r>
              <w:rPr>
                <w:rFonts w:ascii="Times New Roman" w:hAnsi="Times New Roman" w:cs="Times New Roman"/>
                <w:sz w:val="20"/>
                <w:szCs w:val="20"/>
              </w:rPr>
              <w:t>) hatása az egyes médiaszövegek, szövegtípusok elutasítására vagy elfogadására.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közönség eltérő szerepeinek értelmezése: a befogadó mint fogyasztó, a közönség  mint állampolgár, a közönség mint nő vagy férfi.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médiaipar globalizálódásának jelei és következményei (</w:t>
            </w:r>
            <w:r>
              <w:rPr>
                <w:rFonts w:ascii="Times New Roman" w:hAnsi="Times New Roman" w:cs="Times New Roman"/>
                <w:i/>
                <w:iCs/>
                <w:sz w:val="20"/>
                <w:szCs w:val="20"/>
              </w:rPr>
              <w:t>pl. a nemzeti identitás veszélyeztetése</w:t>
            </w:r>
            <w:r>
              <w:rPr>
                <w:rFonts w:ascii="Times New Roman" w:hAnsi="Times New Roman" w:cs="Times New Roman"/>
                <w:sz w:val="20"/>
                <w:szCs w:val="20"/>
              </w:rPr>
              <w:t>) a médiaszövegek kódolásában és terjesztésében.</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sztár</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sztárfogalom kialakulása és módosulása.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sztár szerepének felismerése és értelmezése a médiában és a filmen, néhány film és médiasztár jellemzésén keresztül.</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új médiatechnológiák hatása </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mediatizált közlésmód új jelenségeinek (interaktivitás, multimédia, hálózati kommunikáció, virtuális valóság) mint nem-lineáris médium alkalmazása és jellemzése, a befogadási folyamatra gyakorolt hatásuk bemutatása és értékelése.</w:t>
            </w: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9. A médiaintézmények</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médiaszöveg mint termék</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tömegkommunikációs gyakorlatra ható főbb gazdasági tényezők bemutatása, az iparszerű, piacelvű működés bizonyítása </w:t>
            </w:r>
            <w:r>
              <w:rPr>
                <w:rFonts w:ascii="Times New Roman" w:hAnsi="Times New Roman" w:cs="Times New Roman"/>
                <w:i/>
                <w:iCs/>
                <w:sz w:val="20"/>
                <w:szCs w:val="20"/>
              </w:rPr>
              <w:t>(pl.  maximális fogyasztásra késztetés elve; a közönség kettős szerepe: a közönség mint vevő és mint áru</w:t>
            </w:r>
            <w:r>
              <w:rPr>
                <w:rFonts w:ascii="Times New Roman" w:hAnsi="Times New Roman" w:cs="Times New Roman"/>
                <w:sz w:val="20"/>
                <w:szCs w:val="20"/>
              </w:rPr>
              <w:t xml:space="preserve">; </w:t>
            </w:r>
            <w:r>
              <w:rPr>
                <w:rFonts w:ascii="Times New Roman" w:hAnsi="Times New Roman" w:cs="Times New Roman"/>
                <w:i/>
                <w:iCs/>
                <w:sz w:val="20"/>
                <w:szCs w:val="20"/>
              </w:rPr>
              <w:t>a műsoridő mint tulajdon)</w:t>
            </w:r>
            <w:r>
              <w:rPr>
                <w:rFonts w:ascii="Times New Roman" w:hAnsi="Times New Roman" w:cs="Times New Roman"/>
                <w:sz w:val="20"/>
                <w:szCs w:val="20"/>
              </w:rPr>
              <w: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Néhány jellemező adat értelmezése </w:t>
            </w:r>
            <w:r>
              <w:rPr>
                <w:rFonts w:ascii="Times New Roman" w:hAnsi="Times New Roman" w:cs="Times New Roman"/>
                <w:i/>
                <w:iCs/>
                <w:sz w:val="20"/>
                <w:szCs w:val="20"/>
              </w:rPr>
              <w:t>(pl. a hazai filmipar és televíziós ipar nagyságrendje, a közpénzek és a “reklámtorta” mértéke)</w:t>
            </w:r>
            <w:r>
              <w:rPr>
                <w:rFonts w:ascii="Times New Roman" w:hAnsi="Times New Roman" w:cs="Times New Roman"/>
                <w:sz w:val="20"/>
                <w:szCs w:val="20"/>
              </w:rPr>
              <w:t xml:space="preserve">. </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médiaipar intézményei</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Közszolgálati és kereskedelmi, független, ill. alternatív médiaintézmények, szakosított csatornák és bizonyos témákra specializálódott médiavállalkozások között különbségek bemutatása néhány jellemző példával.</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médiaipar ellenőrzése</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médiaipar jogi és etikai szabályozásának alapelvei (</w:t>
            </w:r>
            <w:r>
              <w:rPr>
                <w:rFonts w:ascii="Times New Roman" w:hAnsi="Times New Roman" w:cs="Times New Roman"/>
                <w:i/>
                <w:iCs/>
                <w:sz w:val="20"/>
                <w:szCs w:val="20"/>
              </w:rPr>
              <w:t>pl. a válaszadás lehetősége, a magánélet tiszteletben tartása</w:t>
            </w:r>
            <w:r>
              <w:rPr>
                <w:rFonts w:ascii="Times New Roman" w:hAnsi="Times New Roman" w:cs="Times New Roman"/>
                <w:sz w:val="20"/>
                <w:szCs w:val="20"/>
              </w:rPr>
              <w:t xml:space="preserve">, </w:t>
            </w:r>
            <w:r>
              <w:rPr>
                <w:rFonts w:ascii="Times New Roman" w:hAnsi="Times New Roman" w:cs="Times New Roman"/>
                <w:i/>
                <w:iCs/>
                <w:sz w:val="20"/>
                <w:szCs w:val="20"/>
              </w:rPr>
              <w:t xml:space="preserve">hátrányos megkülönböztetés </w:t>
            </w:r>
            <w:r>
              <w:rPr>
                <w:rFonts w:ascii="Times New Roman" w:hAnsi="Times New Roman" w:cs="Times New Roman"/>
                <w:sz w:val="20"/>
                <w:szCs w:val="20"/>
              </w:rPr>
              <w:t>elkerülése) a médiatörvények és a monopóliumellenes törvények legfontosabb szabályozó eszközeinek (</w:t>
            </w:r>
            <w:r>
              <w:rPr>
                <w:rFonts w:ascii="Times New Roman" w:hAnsi="Times New Roman" w:cs="Times New Roman"/>
                <w:i/>
                <w:iCs/>
                <w:sz w:val="20"/>
                <w:szCs w:val="20"/>
              </w:rPr>
              <w:t>pl. a tőkekoncentráció limitálása, kvóták, hírszolgáltatás előírása</w:t>
            </w:r>
            <w:r>
              <w:rPr>
                <w:rFonts w:ascii="Times New Roman" w:hAnsi="Times New Roman" w:cs="Times New Roman"/>
                <w:sz w:val="20"/>
                <w:szCs w:val="20"/>
              </w:rPr>
              <w:t>)</w:t>
            </w:r>
            <w:r>
              <w:rPr>
                <w:rFonts w:ascii="Times New Roman" w:hAnsi="Times New Roman" w:cs="Times New Roman"/>
                <w:i/>
                <w:iCs/>
                <w:sz w:val="20"/>
                <w:szCs w:val="20"/>
              </w:rPr>
              <w:t xml:space="preserve"> </w:t>
            </w:r>
            <w:r>
              <w:rPr>
                <w:rFonts w:ascii="Times New Roman" w:hAnsi="Times New Roman" w:cs="Times New Roman"/>
                <w:sz w:val="20"/>
                <w:szCs w:val="20"/>
              </w:rPr>
              <w:t xml:space="preserve">ismerete.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újságíró szabadsága és ennek korlátai. A szerzői jog. Az információhoz való jog. A rágalmazás. A kiskorúak védelme. A politikai befolyástól való védelem.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média felügyelete. A törvények betartását ellenőrző hazai intézmények megnevezése, jellemző példák a hatóságok beavatkozására </w:t>
            </w:r>
            <w:r>
              <w:rPr>
                <w:rFonts w:ascii="Times New Roman" w:hAnsi="Times New Roman" w:cs="Times New Roman"/>
                <w:i/>
                <w:iCs/>
                <w:sz w:val="20"/>
                <w:szCs w:val="20"/>
              </w:rPr>
              <w:t>(pl. a reklámidő túllépéséért, fiatalkorúak számára káros szövegek túl korai sugárzásáért).</w:t>
            </w: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10. A reprezentáció</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Manipuláció</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valóság sztereotíp és torzított megjelenítése a médiában</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Azoknak a fontosabb érveknek és ellenérveknek az ismerete és alkalmazása, amelyekkel a média tömegbefolyásolási, közönségmanipulációs hatását kívánják bizonyítani vagy cáfolni.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Fontosabb érvek és ellenérvek ismerete és alkalmazása, amelyek a média agresszivizáló hatását kívánják bizonyítani vagy cáfolni.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reprezentáció fogalmának ismerete, a tapasztalati és a médiavalóság eltéréseinek felismerése, bemutatása (elsősorban a nemi szerepek, a kisebbségek és az etnikumok, az eszmék, és politikai formációk)</w:t>
            </w:r>
            <w:r>
              <w:rPr>
                <w:rFonts w:ascii="Times New Roman" w:hAnsi="Times New Roman" w:cs="Times New Roman"/>
                <w:i/>
                <w:iCs/>
                <w:sz w:val="20"/>
                <w:szCs w:val="20"/>
              </w:rPr>
              <w:t xml:space="preserve"> </w:t>
            </w:r>
            <w:r>
              <w:rPr>
                <w:rFonts w:ascii="Times New Roman" w:hAnsi="Times New Roman" w:cs="Times New Roman"/>
                <w:sz w:val="20"/>
                <w:szCs w:val="20"/>
              </w:rPr>
              <w:t>médiaszövegekben megtestesülő reprezentációjának a tekintetében.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Jellemző sztereotípiák bizonyos társadalmi csoportok reprezentációjában.</w:t>
            </w:r>
          </w:p>
        </w:tc>
      </w:tr>
      <w:tr w:rsidR="004C2997">
        <w:tblPrEx>
          <w:tblCellMar>
            <w:top w:w="0" w:type="dxa"/>
            <w:bottom w:w="0" w:type="dxa"/>
          </w:tblCellMar>
        </w:tblPrEx>
        <w:trPr>
          <w:cantSplit/>
        </w:trPr>
        <w:tc>
          <w:tcPr>
            <w:tcW w:w="907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11. Jellegzetes műsortípusok, médiaszövegek</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Hírműsorok</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hír és a vélemény fogalmainak ismerete és elkülönítése.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hírműsor-szerkesztés elemi normáinak ismerete és érvényesülésük kritikus megítélése.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hírek verbális, képi, narratív és szerkesztési eszközeinek felismerése és hatásainak elemzése; a hírműsorok show-szerű átalakulásának értékelése.</w:t>
            </w:r>
          </w:p>
        </w:tc>
      </w:tr>
      <w:tr w:rsidR="004C2997">
        <w:tblPrEx>
          <w:tblCellMar>
            <w:top w:w="0" w:type="dxa"/>
            <w:bottom w:w="0" w:type="dxa"/>
          </w:tblCellMar>
        </w:tblPrEx>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Reklám</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reklám mint alkalmazott művészeti forma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reklám szerepe a média fenntartásában és befolyásolásában.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reklámok címzettjének/célcsoportjának meghatározása.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reklámok gyakoribb képi, verbális, narratív megoldásainak és az általuk keltett asszociációknak a leírása és jellemzése; néhány gyakori befolyásolási technika felismerése és értékelése.</w:t>
            </w:r>
          </w:p>
        </w:tc>
      </w:tr>
      <w:tr w:rsidR="004C2997">
        <w:tblPrEx>
          <w:tblCellMar>
            <w:top w:w="0" w:type="dxa"/>
            <w:bottom w:w="0" w:type="dxa"/>
          </w:tblCellMar>
        </w:tblPrEx>
        <w:trPr>
          <w:cantSplit/>
        </w:trPr>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Folytatásos teleregény (szappanopera)</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szériaelv megjelenési formáinak ismerete és jellemzése.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teleregény szerkezeti sajátosságainak ismerete és bemutatása alkalmas példán.</w:t>
            </w:r>
          </w:p>
        </w:tc>
      </w:tr>
      <w:tr w:rsidR="004C2997">
        <w:tblPrEx>
          <w:tblCellMar>
            <w:top w:w="0" w:type="dxa"/>
            <w:bottom w:w="0" w:type="dxa"/>
          </w:tblCellMar>
        </w:tblPrEx>
        <w:trPr>
          <w:cantSplit/>
        </w:trPr>
        <w:tc>
          <w:tcPr>
            <w:tcW w:w="2432"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Showműsorok</w:t>
            </w:r>
          </w:p>
        </w:tc>
        <w:tc>
          <w:tcPr>
            <w:tcW w:w="664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show környezetének, a show-közönség és a show műsorvezetője (showman) szerepének jellemzése; valóság és show viszonyának megfigyelése és értelmezése.</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A NEMZETI ÉS ETNIKAI KISEBBSÉGI NÉPISMERETI</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jc w:val="both"/>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nyelve: az adott nemzeti kisebbség nyelve</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 xml:space="preserve">A nemzeti és etnikai kisebbségi népismeret vizsgakövetelményei integráló (több tantárgy és műveltségi terület tartalmait egyesítő) jellegűek. Ezért ötvözik a történelem, a néprajz, a földrajz, a szociológia, a nyelvtörténet és nyelvjárástan, az építészettörténet, a zenetörténet és az állampolgári ismeretek elemeit. A vizsga arra is kiterjed, hogy a vizsgabizottság megállapíthassa, milyen mértékben képes a vizsgázó a hazai kisebbség helyzetét, aktuális gondjait önállóan értelmezni, mérlegelni, a nemzeti-etnikai kisebbségi identitás megőrzésének tennivalóit megfogalmazni. </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nemzeti és etnikai kisebbségi népismereti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érettségi vizsga célja annak tanúsítása, hogy a vizsgázó</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ismeri az adott nemzeti és etnikai kisebbség történetének alapvető jellemzőit, a nemzeti kisebbség esetében az anyanemzet történetének legfontosabb eseményeit és összefüggéseit Közép- és Délkelet -Európa  népei együttélésének történeti jellemzőit;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megismerkedett az adott nép, népcsoport sajátos kultúrájával, annak egyes területeivel, megkülönböztető jegyeivel;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át tudja tekinteni, és be tudja mutatni az adott kisebbség kultúrájának fejlődését;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ismeri az adott nép, népcsoport hazai településterületeit, azok természet- és gazdaságföldrajzi meghatározóit;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 elemezni a földrajzi tényezők hatását az adott nemzeti és etnikai kisebbség mindennapi életkörülményeire, életmódjára;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 tudja mutatni a nemzeti és etnikai kisebbségen, mint társadalmi csoporton belül az eltérő érdekviszonyokat, a közösségi kapcsolatok alakulását, szervezeti kereteit;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 ismeretekkel az irodalmi, és beszélt nyelv változatairól; be tudja őket mutatni; ismeri azokat a nyelvi-történeti hatásokat, amelyek alakították az adott nemzeti és etnikai kisebbség által használt és beszélt nyelvet;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az adott nemzetiség által beszélt nyelvhez kapcsolódó írott nyelvi emlékeket, össze tudja őket vetni a mai köznyelvvel, irodalmi nyelvvel;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 tudja mutatni az adott népcsoport épített környezetének sajátos vonásait, és a népcsoportok közötti kölcsönhatásokat;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átfogó ismeretekkel rendelkezik az adott nép, népcsoport zenei kultúrájáról; tudja alkalmazni a legfontosabb zenei alapfogalmakat;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be tudja mutatni mindazokat a szervezeti, politikai kereteket, amelyek között a nemzeti és etnikai kisebbségek meg tudják őrizni sajátos kultúrájukat, erősíthetik önazonosságukat;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ismeri a jogszabályi, törvényi hátteret, annak alkalmazását a gyakorlatban; </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 egy projektet megtervezni, amelyben komplex módon feltár egy témát vagy problémát a nemzeti és etnikai kisebbség helyzetében.</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left="227"/>
        <w:jc w:val="both"/>
        <w:rPr>
          <w:rFonts w:ascii="Times New Roman" w:hAnsi="Times New Roman" w:cs="Times New Roman"/>
          <w:sz w:val="20"/>
          <w:szCs w:val="20"/>
        </w:rPr>
      </w:pPr>
      <w:r>
        <w:rPr>
          <w:rFonts w:ascii="Times New Roman" w:hAnsi="Times New Roman" w:cs="Times New Roman"/>
          <w:sz w:val="20"/>
          <w:szCs w:val="20"/>
        </w:rPr>
        <w:t>Az emelt szintű vizsga célja a fentieken túl annak tanúsítása, hogy a vizsgázó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 a felsőoktatásban való továbbtanuláshoz szükséges tantárgyi alapismeretekkel;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látja és tudja értelmezni azokat a konfliktusokat, amelyeket a nemzeti, etnikai kisebbségi közösséghez tartozó egyén él át többes kötődése következtében;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elemezni tudja az interetnikus környezetben élő emberek, közösségek helyzetét az önazonosság fenntartása szempontjából;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 elemezni esettanulmányokat, amelyekben a tolerancia és a konszenzusos együttműködés kérdése áll a középpontban;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és tudja értelmezni a globalizációnak és modernizációnak  a nemzeti, etnikai kisebbségekre gyakorolt hatásait;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 logikusan érvelni egy adott probléma megoldását célzó elképzelés mellett.</w:t>
      </w:r>
    </w:p>
    <w:p w:rsidR="004C2997" w:rsidRDefault="004C2997" w:rsidP="004C2997">
      <w:pPr>
        <w:autoSpaceDE w:val="0"/>
        <w:autoSpaceDN w:val="0"/>
        <w:adjustRightInd w:val="0"/>
        <w:spacing w:after="0" w:line="240" w:lineRule="auto"/>
        <w:ind w:left="227"/>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left="227"/>
        <w:jc w:val="both"/>
        <w:rPr>
          <w:rFonts w:ascii="Times New Roman" w:hAnsi="Times New Roman" w:cs="Times New Roman"/>
          <w:sz w:val="20"/>
          <w:szCs w:val="20"/>
        </w:rPr>
      </w:pPr>
      <w:r>
        <w:rPr>
          <w:rFonts w:ascii="Times New Roman" w:hAnsi="Times New Roman" w:cs="Times New Roman"/>
          <w:sz w:val="20"/>
          <w:szCs w:val="20"/>
        </w:rPr>
        <w:lastRenderedPageBreak/>
        <w:t>A vizsgák során értékelendő, hogy a vizsgázó</w:t>
      </w:r>
    </w:p>
    <w:p w:rsidR="004C2997" w:rsidRDefault="004C2997" w:rsidP="004C2997">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milyen fokon rendelkezik a megfelelő alapismeretekkel;</w:t>
      </w:r>
    </w:p>
    <w:p w:rsidR="004C2997" w:rsidRDefault="004C2997" w:rsidP="004C2997">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hogyan látja egy adott nemzeti vagy etnikai kisebbséghez tartozó egyén és a különböző közösségek kapcsolatának meghatározó tényezőit;</w:t>
      </w:r>
    </w:p>
    <w:p w:rsidR="004C2997" w:rsidRDefault="004C2997" w:rsidP="004C2997">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mennyire képes eligazodni környezetében, tudja-e értelmezni azokat a közösségi kapcsolatokat, amelyekkel származásából, lakóhelyéből eredően kapcsolatba kerül;</w:t>
      </w:r>
    </w:p>
    <w:p w:rsidR="004C2997" w:rsidRDefault="004C2997" w:rsidP="004C2997">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mennyire ismeri a nemzeti és etnikai kisebbségek magyarországi alkotmányos és törvényekben garantált jogait, helyi és országos érdekképviseletük jogintézményeit, saját nemzetiségi vagy etnikai kisebbségének politikai és civil önszerveződési formáit, identitása, hagyománya és kultúrája ápolásának módját, kereteit; </w:t>
      </w:r>
    </w:p>
    <w:p w:rsidR="004C2997" w:rsidRDefault="004C2997" w:rsidP="004C2997">
      <w:pPr>
        <w:autoSpaceDE w:val="0"/>
        <w:autoSpaceDN w:val="0"/>
        <w:adjustRightInd w:val="0"/>
        <w:spacing w:after="0" w:line="240" w:lineRule="auto"/>
        <w:jc w:val="both"/>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55"/>
        <w:gridCol w:w="142"/>
        <w:gridCol w:w="7015"/>
      </w:tblGrid>
      <w:tr w:rsidR="004C2997">
        <w:tblPrEx>
          <w:tblCellMar>
            <w:top w:w="0" w:type="dxa"/>
            <w:bottom w:w="0" w:type="dxa"/>
          </w:tblCellMar>
        </w:tblPrEx>
        <w:trPr>
          <w:trHeight w:val="156"/>
        </w:trPr>
        <w:tc>
          <w:tcPr>
            <w:tcW w:w="2055" w:type="dxa"/>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7157" w:type="dxa"/>
            <w:gridSpan w:val="2"/>
            <w:shd w:val="pct25" w:color="auto"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TÖRTÉNETI ISMERETEK</w:t>
            </w: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1. Az adott nép, népcsoport eredete, megjelenése </w:t>
            </w: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tc>
        <w:tc>
          <w:tcPr>
            <w:tcW w:w="715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Alapvető ismeretek a népcsoport eredetéről, közösséggé formálódásának kezdeteiről, az ezzel kapcsolatos írásos és íratlan források.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szabadon választott forrás értelmező ismertetetése.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népcsoport szerepe a magyar állam társadalmi szervezetében.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Az  népcsoport közösséggé szerveződésének fontosabb állomásai, kapcsolatrendszere</w:t>
            </w: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715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közösségi együttélés formáinak, változásainak ismerete, történeti áttekintése, a jelenkorig érvényes hatások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népcsoport életmódtörténetének, értékrendszerének ismerete, a változások bemutatása.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A nemzeti és etnikai kisebbséggé válás története és alakulása a jelenkorig</w:t>
            </w: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tc>
        <w:tc>
          <w:tcPr>
            <w:tcW w:w="715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politikai tényezővé válás ismertetése, jelenkori párhuzamok.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interetnikus kapcsolatok és a kölcsönhatások bemutatása.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Az anyaország(ok) története és az adott hazai kisebbség sorsfordulói</w:t>
            </w: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tc>
        <w:tc>
          <w:tcPr>
            <w:tcW w:w="715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Összefüggések  az anyaország(ok) és a hazai kisebbség története között. A kapcsolatok bemutatása források, dokumentumok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politika kapcsolatokra gyakorolt hatásainak elemzése.</w:t>
            </w: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5. Az adott nemzeti és etnikai kisebbség regionális történetének jellemző fejlődési vonulatai</w:t>
            </w: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715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népcsoport helyi és regionális történetére vonatkozó források feltárása és értelmezése. Különböző állami keretek között élő azonos nemzeti, etnikai kisebbségek történetének összehasonlító bemutatása szabadon választott példák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Azonos nemzeti, etnikai kisebbség többségi és kisebbségi helyzetben: azonosságok és különbségek.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családtörténet kutatásának eredményei, általános érvényű következtetések megfogalmazása és értelmezése a nemzet-nemzetiség – elsődleges közösség kapcsolatrendszerében.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NÉPRAJZI ISMERETEK</w:t>
            </w: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Az adott nemzeti és etnikai kisebbség tárgyi kultúrája, hagyatéka</w:t>
            </w: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715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népcsoport tárgyi hagyatékának ismerete, néhány jellegzetes eszköz bemutatása, elemzése a közösségre jellemző értékek szemszögéből.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Néhány jellemző tárgyhoz kapcsolódó munkaszervezési rendszer vagy szokásrendszer változásának, alakulásának magyarázó bemutatása.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2. Az adott nemzeti és etnikai  kisebbség szokásrendszere</w:t>
            </w: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715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népcsoport családhoz, helyi közösséghez, vallásgyakorlásához kapcsolódó szokásrendszerének ismerete,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élő szokások fenntartása és a modernizáció, globalizáció összefüggéseinek, egymásra hatásának bemutatása, értelmezése. A fenti hatásokat figyelembe vevő jövőkép felvázolása.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A média és a hagyományápolás</w:t>
            </w: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715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tárgyi hagyaték és a szokások, közösségi ünnepek megjelenése az írott és elektronikus médiában. Annak feltárása, bemutatása és elemzése, hogy milyen szerepet játszik a média a nemzeti kisebbség hagyományos értékeinek fenntartásában.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Helyzetelemzés, médiaprogramok bemutatása a kisebbség fennmaradása és a kihívásokra történő alkalmazkodási kényszer szempontjának figyelembevételével.</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A hagyományápolás szerepe az egyén közösséghez való tartozásának erősítésében</w:t>
            </w: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715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Projektterv készítése és bemutatása az alábbi témákban: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néprajzi hagyaték és családom, helyi közösségem.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Hogyan tehető vonzóvá hasonló korú társaim számára a hagyományok ápolása, a tárgyi kultúra gondozása?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Interetnikus kölcsönhatások kimutatása és értelmezése a regionális közösségben.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hagyomány szerepe a nemzeti, etnikai kisebbségi közösségek fenntartásában. A hagyományteremtés módjai.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FÖLDRAJZI ISMERETEK</w:t>
            </w: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Az anyaország földrajza. Az adott nemzeti kisebbség települései hazánkban.</w:t>
            </w: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tc>
        <w:tc>
          <w:tcPr>
            <w:tcW w:w="715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Az anyaország földrajzának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népcsoport hazai településterületeinek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földrajzi környezet és a  kisebbségi kultúra kölcsönhatásának értelmező bemutatása.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A település-földrajzi viszonyok hatása az adott nemzeti kisebbség életmódjára</w:t>
            </w: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tc>
        <w:tc>
          <w:tcPr>
            <w:tcW w:w="715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települési területekből adódó életviszonyok bemutatása</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és értelmezése.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Gazdaságföldrajzi meghatározottságok az adott nemzeti kisebbség életében</w:t>
            </w: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715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népcsoport gazdasági kapcsolatainak feltárása és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gazdasági fejlődés felgyorsulásának következményei: a hatások bemutatása és elemzése a nemzeti kisebbség megmaradása szempontjából.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Modellek és alternatívák adott természeti és gazdaságföldrajzi környezetben a nemzeti kisebbség számára.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TÁRSADALMI ISMERETEK</w:t>
            </w: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Az adott nemzeti és etnikai kisebbség szociológiai ismérvei</w:t>
            </w:r>
          </w:p>
        </w:tc>
      </w:tr>
      <w:tr w:rsidR="004C2997">
        <w:tblPrEx>
          <w:tblCellMar>
            <w:top w:w="0" w:type="dxa"/>
            <w:bottom w:w="0" w:type="dxa"/>
          </w:tblCellMar>
        </w:tblPrEx>
        <w:tc>
          <w:tcPr>
            <w:tcW w:w="219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tc>
        <w:tc>
          <w:tcPr>
            <w:tcW w:w="701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Azoknak az ismérveknek a feltárása és értelmezése, amelyek meghatározzák a népcsoporthoz tartozók alapvető és nagyobb közösségi kapcsolatait.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Saját vizsgálódások értelmező bemutatása.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A közösségi összetartozás tudata és jellemző megnyilvánulási formái</w:t>
            </w:r>
          </w:p>
        </w:tc>
      </w:tr>
      <w:tr w:rsidR="004C2997">
        <w:tblPrEx>
          <w:tblCellMar>
            <w:top w:w="0" w:type="dxa"/>
            <w:bottom w:w="0" w:type="dxa"/>
          </w:tblCellMar>
        </w:tblPrEx>
        <w:tc>
          <w:tcPr>
            <w:tcW w:w="219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Emelt szinten</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701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közösségek funkcióinak bemutatása.</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nemzeti és etnikai kisebbséget erősítő kisközösségi szerveződések funkciói, jellemzői. Ezek bemutatása és értelmezése.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3. Az egyén helye a nemzeti és etnikai kisebbségi közösségben, a többes kötődés hatásai</w:t>
            </w:r>
          </w:p>
        </w:tc>
      </w:tr>
      <w:tr w:rsidR="004C2997">
        <w:tblPrEx>
          <w:tblCellMar>
            <w:top w:w="0" w:type="dxa"/>
            <w:bottom w:w="0" w:type="dxa"/>
          </w:tblCellMar>
        </w:tblPrEx>
        <w:tc>
          <w:tcPr>
            <w:tcW w:w="219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tc>
        <w:tc>
          <w:tcPr>
            <w:tcW w:w="701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identitásvállalás jellemző magatartásformáinak bemutatása egy többes közösségi kötődésekre épülő társadalmi környezetben.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Esettanulmányok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AZ ADOTT NEMZETI  ÉS ETNIKAI KISEBBSÉG NYELVÉVEL KAPCSOLATOS ISMERETEK</w:t>
            </w: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Az adott nemzeti és etnikai kisebbség nyelvi fejlődésére ható tényezők</w:t>
            </w:r>
          </w:p>
        </w:tc>
      </w:tr>
      <w:tr w:rsidR="004C2997">
        <w:tblPrEx>
          <w:tblCellMar>
            <w:top w:w="0" w:type="dxa"/>
            <w:bottom w:w="0" w:type="dxa"/>
          </w:tblCellMar>
        </w:tblPrEx>
        <w:tc>
          <w:tcPr>
            <w:tcW w:w="219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tc>
        <w:tc>
          <w:tcPr>
            <w:tcW w:w="701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népcsoport nyelvének, nyelvváltozatainak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az őket formáló hatások elemzése.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A köznyelv és a nyelvi változatok szerepe</w:t>
            </w:r>
          </w:p>
        </w:tc>
      </w:tr>
      <w:tr w:rsidR="004C2997">
        <w:tblPrEx>
          <w:tblCellMar>
            <w:top w:w="0" w:type="dxa"/>
            <w:bottom w:w="0" w:type="dxa"/>
          </w:tblCellMar>
        </w:tblPrEx>
        <w:tc>
          <w:tcPr>
            <w:tcW w:w="219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701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tájnyelv szerepe a közösségi identitás megőrzésében.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köznyelv, és a tájnyelv összefüggése, a környezeti nyelv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(államnyelv) hatása a beszélt nyelv fejlődésére.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Az adott nemzeti és etnikai kisebbség beszélt nyelvének jellemzői Magyarországon</w:t>
            </w:r>
          </w:p>
        </w:tc>
      </w:tr>
      <w:tr w:rsidR="004C2997">
        <w:tblPrEx>
          <w:tblCellMar>
            <w:top w:w="0" w:type="dxa"/>
            <w:bottom w:w="0" w:type="dxa"/>
          </w:tblCellMar>
        </w:tblPrEx>
        <w:tc>
          <w:tcPr>
            <w:tcW w:w="219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701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Nyelvi változatok jellemzőinek bemutatása. A helyi közösségben használt nyelvi változat néhány jellegzetessége.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Nyelvi változatok összehasonlítása a  köznyelvvel, az anyaország nyelvével.</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Az adott nemzeti és etnikai kisebbség írott nyelvi emlékei</w:t>
            </w:r>
          </w:p>
        </w:tc>
      </w:tr>
      <w:tr w:rsidR="004C2997">
        <w:tblPrEx>
          <w:tblCellMar>
            <w:top w:w="0" w:type="dxa"/>
            <w:bottom w:w="0" w:type="dxa"/>
          </w:tblCellMar>
        </w:tblPrEx>
        <w:tc>
          <w:tcPr>
            <w:tcW w:w="219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tc>
        <w:tc>
          <w:tcPr>
            <w:tcW w:w="701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hazai népcsoport írásos emlékeinek áttekintő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 szabadon választott, jelentős nyelvi dokumentum bemutatása és értelmezése.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AZ ADOTT NEMZETI KISEBBSÉG ÉPÍTETT KÖRNYEZETE</w:t>
            </w: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Az adott nemzeti és etnikai kisebbség építészeti kultúrája</w:t>
            </w:r>
          </w:p>
        </w:tc>
      </w:tr>
      <w:tr w:rsidR="004C2997">
        <w:tblPrEx>
          <w:tblCellMar>
            <w:top w:w="0" w:type="dxa"/>
            <w:bottom w:w="0" w:type="dxa"/>
          </w:tblCellMar>
        </w:tblPrEx>
        <w:tc>
          <w:tcPr>
            <w:tcW w:w="219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tc>
        <w:tc>
          <w:tcPr>
            <w:tcW w:w="701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népcsoport lakókörnyezetének, közösségi célokra szolgáló épületeinek bemutatása, ismertetése.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épületek funkcionális jegyei.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Sajátos vonások az adott nép, népcsoport által használt épületekben formai-stílusbeli és funkcionális szempontból</w:t>
            </w:r>
          </w:p>
        </w:tc>
      </w:tr>
      <w:tr w:rsidR="004C2997">
        <w:tblPrEx>
          <w:tblCellMar>
            <w:top w:w="0" w:type="dxa"/>
            <w:bottom w:w="0" w:type="dxa"/>
          </w:tblCellMar>
        </w:tblPrEx>
        <w:tc>
          <w:tcPr>
            <w:tcW w:w="219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tc>
        <w:tc>
          <w:tcPr>
            <w:tcW w:w="701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építészet formai és funkcionális jegyei, eszközei.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Hatások és sajátosságok az épített környezetben nemzeti és etnikai kisebbség által (is) lakott területeken</w:t>
            </w:r>
          </w:p>
        </w:tc>
      </w:tr>
      <w:tr w:rsidR="004C2997">
        <w:tblPrEx>
          <w:tblCellMar>
            <w:top w:w="0" w:type="dxa"/>
            <w:bottom w:w="0" w:type="dxa"/>
          </w:tblCellMar>
        </w:tblPrEx>
        <w:tc>
          <w:tcPr>
            <w:tcW w:w="219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tc>
        <w:tc>
          <w:tcPr>
            <w:tcW w:w="701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általános és kölcsönös jegyek érvényesülése a népcsoport építkezési gyakorlatában.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Az adott nemzeti és etnikai kisebbség építészeti örökségének gondozása</w:t>
            </w:r>
          </w:p>
        </w:tc>
      </w:tr>
      <w:tr w:rsidR="004C2997">
        <w:tblPrEx>
          <w:tblCellMar>
            <w:top w:w="0" w:type="dxa"/>
            <w:bottom w:w="0" w:type="dxa"/>
          </w:tblCellMar>
        </w:tblPrEx>
        <w:tc>
          <w:tcPr>
            <w:tcW w:w="219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tc>
        <w:tc>
          <w:tcPr>
            <w:tcW w:w="701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Értékmentő program a lakóhelyen, figyelembe véve a népcsoport sajátosságait és a modernizáció követelményeit.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AZ ADOTT NEMZETI ÉS ETNIKAI KISEBBSÉG ZENÉJE ÉS TÁNCKULTÚRÁJA</w:t>
            </w: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Az  népcsoport szokásai és a zene, tánckultúra kapcsolata</w:t>
            </w:r>
          </w:p>
        </w:tc>
      </w:tr>
      <w:tr w:rsidR="004C2997">
        <w:tblPrEx>
          <w:tblCellMar>
            <w:top w:w="0" w:type="dxa"/>
            <w:bottom w:w="0" w:type="dxa"/>
          </w:tblCellMar>
        </w:tblPrEx>
        <w:tc>
          <w:tcPr>
            <w:tcW w:w="219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Középszinten</w:t>
            </w:r>
          </w:p>
        </w:tc>
        <w:tc>
          <w:tcPr>
            <w:tcW w:w="701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éneklés, a hangszeres zene és a tánc gyakorlata a népcsoport életében.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Hagyományőrzés és a jelen követelményei a nemzeti és etnikai kisebbség zenekultúrájában</w:t>
            </w:r>
          </w:p>
        </w:tc>
      </w:tr>
      <w:tr w:rsidR="004C2997">
        <w:tblPrEx>
          <w:tblCellMar>
            <w:top w:w="0" w:type="dxa"/>
            <w:bottom w:w="0" w:type="dxa"/>
          </w:tblCellMar>
        </w:tblPrEx>
        <w:tc>
          <w:tcPr>
            <w:tcW w:w="219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tc>
        <w:tc>
          <w:tcPr>
            <w:tcW w:w="701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Hagyomány és modernitás a kisebbség kultúrájában.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KISEBBSÉGI JOGI, TÁRSADALMI  ISMERETEK</w:t>
            </w: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A kisebbségpolitika jogszabályi keretei</w:t>
            </w:r>
          </w:p>
        </w:tc>
      </w:tr>
      <w:tr w:rsidR="004C2997">
        <w:tblPrEx>
          <w:tblCellMar>
            <w:top w:w="0" w:type="dxa"/>
            <w:bottom w:w="0" w:type="dxa"/>
          </w:tblCellMar>
        </w:tblPrEx>
        <w:tc>
          <w:tcPr>
            <w:tcW w:w="219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tc>
        <w:tc>
          <w:tcPr>
            <w:tcW w:w="701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kisebbségpolitikai törvénykezés alakulásának és hatásának ismertetése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elemzése az elmúlt évtizedekben és ma.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A kisebbségi önkormányzatiság alapjai és gyakorlata</w:t>
            </w:r>
          </w:p>
        </w:tc>
      </w:tr>
      <w:tr w:rsidR="004C2997">
        <w:tblPrEx>
          <w:tblCellMar>
            <w:top w:w="0" w:type="dxa"/>
            <w:bottom w:w="0" w:type="dxa"/>
          </w:tblCellMar>
        </w:tblPrEx>
        <w:tc>
          <w:tcPr>
            <w:tcW w:w="219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tc>
        <w:tc>
          <w:tcPr>
            <w:tcW w:w="701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kisebbségi önkormányzat működése esettanulmányon keresztül.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pozitív és negatív jellemzők számbavétele, javaslatok megfogalmazása, a működést javító elképzelések felvázolása.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3. A nemzeti és etnikai kisebbségi önkormányzatok, egyesületek szerepe a népcsoport önazonosságának fenntartásában.</w:t>
            </w:r>
          </w:p>
        </w:tc>
      </w:tr>
      <w:tr w:rsidR="004C2997">
        <w:tblPrEx>
          <w:tblCellMar>
            <w:top w:w="0" w:type="dxa"/>
            <w:bottom w:w="0" w:type="dxa"/>
          </w:tblCellMar>
        </w:tblPrEx>
        <w:tc>
          <w:tcPr>
            <w:tcW w:w="219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tc>
        <w:tc>
          <w:tcPr>
            <w:tcW w:w="701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önazonosság fenntartását szolgáló programok ismertetése, megvalósítása.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Javaslatok az önkormányzati, egyesületi működésre.</w:t>
            </w: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4. A nemzeti és etnikai kisebbség regionális történetének jellemzői</w:t>
            </w:r>
          </w:p>
        </w:tc>
      </w:tr>
      <w:tr w:rsidR="004C2997">
        <w:tblPrEx>
          <w:tblCellMar>
            <w:top w:w="0" w:type="dxa"/>
            <w:bottom w:w="0" w:type="dxa"/>
          </w:tblCellMar>
        </w:tblPrEx>
        <w:tc>
          <w:tcPr>
            <w:tcW w:w="2197"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w:t>
            </w:r>
          </w:p>
        </w:tc>
        <w:tc>
          <w:tcPr>
            <w:tcW w:w="701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népcsoport helyi és regionális történetére vonatkozó források feltárása és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családtörténet kutatásának eredményei, általános érvényű következtetések.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Megfogalmazása és értelmezése a nemzet-nemzetiség – kapcsolatrendszerében.</w:t>
            </w:r>
          </w:p>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A CÉLNYELVI CIVILIZÁCIÓ</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Középszinten: szóbeli.</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Célnyelvi civilizáció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vizsga azt hivatott megállapítani, hogy a vizsgázó</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Célnyelvi civilizáció tantárgy témakörei (gazdaság, földrajz, művészet stb.) kapcsán tanult ismeretekkel;</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célországban élő emberek életmódját, szokásait, hagyományait;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helyesen használja-e a témakörökkel kapcsolatos fogalmakat;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birtokában van-e azoknak a képességeknek, amelyekkel az egyes eseményeket, jelenségeket értelmezni tudja;</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azokkal a képességekkel, elemzési módszerekkel, amelyekkel értelmezni tudja a jelenkor eseményeihez vezető összefüggéseket;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tájékozódni a célországok történelmében, földrajzában, gazdaságában, egyes művészeti ágaiban térben és időben;</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forrásokat megérteni és értelmezni;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saját tapasztalatait, élményeit általános formában megfogalmazni, vagy a felvetődő általánosabb kérdésekre és problémákra tud-e konkrét példákat és eseteket mondani;</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pontos ismeretekkel alátámasztva meghatározni a célország és a magyar kultúra közti hasonlóságokat és különbségeket;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szociális viselkedés megfelelő formáival, kellő nyitottsággal és toleranciával a más kultúrkörben élő embertársai iránt;</w:t>
      </w:r>
    </w:p>
    <w:p w:rsidR="004C2997" w:rsidRDefault="004C2997" w:rsidP="004C2997">
      <w:pPr>
        <w:tabs>
          <w:tab w:val="left" w:pos="587"/>
        </w:tabs>
        <w:autoSpaceDE w:val="0"/>
        <w:autoSpaceDN w:val="0"/>
        <w:adjustRightInd w:val="0"/>
        <w:spacing w:after="0" w:line="240" w:lineRule="auto"/>
        <w:ind w:left="587"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folyékonyan, szabatosan, a megfelelő szókincset használva beszélni a célország kultúrájáról.</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 középszintű vizsga a jelöltektől pontos ismereteket, megfelelő kifejezőkészséget, az elemzés, rendszerezés egyszerűbb formáit várja el.</w:t>
      </w:r>
    </w:p>
    <w:p w:rsidR="004C2997" w:rsidRDefault="004C2997" w:rsidP="004C2997">
      <w:pPr>
        <w:autoSpaceDE w:val="0"/>
        <w:autoSpaceDN w:val="0"/>
        <w:adjustRightInd w:val="0"/>
        <w:spacing w:after="0" w:line="240" w:lineRule="auto"/>
        <w:ind w:firstLine="227"/>
        <w:jc w:val="both"/>
        <w:rPr>
          <w:rFonts w:ascii="Times New Roman" w:hAnsi="Times New Roman" w:cs="Times New Roman"/>
          <w:sz w:val="20"/>
          <w:szCs w:val="20"/>
        </w:rPr>
      </w:pPr>
      <w:r>
        <w:rPr>
          <w:rFonts w:ascii="Times New Roman" w:hAnsi="Times New Roman" w:cs="Times New Roman"/>
          <w:sz w:val="20"/>
          <w:szCs w:val="20"/>
        </w:rPr>
        <w:t>Az emelt szintű vizsga a középszintű követelményeket meghaladó ismeretanyagot, kifejezőkészséget, elemzési és összehasonlítási szempontokat, önálló ítéletalkotási készséget vár el.</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59"/>
        <w:gridCol w:w="7155"/>
      </w:tblGrid>
      <w:tr w:rsidR="004C2997">
        <w:tblPrEx>
          <w:tblCellMar>
            <w:top w:w="0" w:type="dxa"/>
            <w:bottom w:w="0" w:type="dxa"/>
          </w:tblCellMar>
        </w:tblPrEx>
        <w:tc>
          <w:tcPr>
            <w:tcW w:w="2059" w:type="dxa"/>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 kompetenciák</w:t>
            </w:r>
          </w:p>
        </w:tc>
        <w:tc>
          <w:tcPr>
            <w:tcW w:w="7153" w:type="dxa"/>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212"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Kompetenciák</w:t>
            </w:r>
          </w:p>
        </w:tc>
      </w:tr>
      <w:tr w:rsidR="004C2997">
        <w:tblPrEx>
          <w:tblCellMar>
            <w:top w:w="0" w:type="dxa"/>
            <w:bottom w:w="0" w:type="dxa"/>
          </w:tblCellMar>
        </w:tblPrEx>
        <w:tc>
          <w:tcPr>
            <w:tcW w:w="20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Témakörök bemutatása</w:t>
            </w:r>
          </w:p>
        </w:tc>
        <w:tc>
          <w:tcPr>
            <w:tcW w:w="7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témák komplex, életszerű bemutatása 10-15 perces, logikusan felépített, árnyaltan megfogalmazott, szabadon, helyes hanglejtéssel érthetően előadott beszámolókban.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Szaknyelv</w:t>
            </w:r>
          </w:p>
        </w:tc>
        <w:tc>
          <w:tcPr>
            <w:tcW w:w="7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célországokra speciálisan jellemző fogalmak azonosítása, helyes használata.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Források</w:t>
            </w:r>
          </w:p>
        </w:tc>
        <w:tc>
          <w:tcPr>
            <w:tcW w:w="7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Konkrét tartalmú, rövid, a célnyelven írt forrásokból merített ismeretek megértése, ismeretlen nyelvi elemek jelentésének kikövetkeztetése, lényeges információk felismerése, kiemelése és bemutatása folyékony, szabatos, a téma tartalmának megfelelő szókincs felhasználásával.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Következtetések, önálló kérdések megfogalmazása tárgyi vagy írásos anyag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gyűjtése és következtetések bemutatása egyszerű statisztikai táblázatokból, diagramokból, grafikonokból, ábrákból.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Térképek felhasználása az ismeretszerzéshez.</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Szépirodalmi és képzőművészeti alkotások, filmek és képi források (fényképek, karikatúrák stb.) felhasználása a célországokban élő emberek gondolkodásmódjának, </w:t>
            </w:r>
            <w:r>
              <w:rPr>
                <w:rFonts w:ascii="Times New Roman" w:hAnsi="Times New Roman" w:cs="Times New Roman"/>
                <w:sz w:val="20"/>
                <w:szCs w:val="20"/>
              </w:rPr>
              <w:lastRenderedPageBreak/>
              <w:t>szokásainak, életvitelének megértéséhez és bemutatásához.</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Tájékozódás térben és időben</w:t>
            </w:r>
          </w:p>
        </w:tc>
        <w:tc>
          <w:tcPr>
            <w:tcW w:w="7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célországok fejlődése, kultúrája szempontjából fontos helyszínek azonosítása a térképen.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földrajzi környezet szerepe az egyes kultúrák és államok kialakulásában.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célországok fejlődése szempontjából fontos események időrendi sorrendbe állítása.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legfontosabb különbségek és egybeesések, a legjellemzőbb párhuzamok felismerése a célországok és Magyarország fejlődésében.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célországok fejlődését alakító tényezők feltárása</w:t>
            </w:r>
          </w:p>
        </w:tc>
        <w:tc>
          <w:tcPr>
            <w:tcW w:w="7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földrajzi adottságok, a gazdasági fejlődés, a politikai felépítmény és a kulturális fejlődés ok-okozati összefüggései, előzményei és következményei.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Aktuális események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célországok és hazájnk gazdasági, társadalmi, politikai és kulturális viszonyainak összehasonlítása.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0" w:type="dxa"/>
            <w:gridSpan w:val="2"/>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2. Témakörök</w:t>
            </w: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földrajza</w:t>
            </w:r>
          </w:p>
        </w:tc>
        <w:tc>
          <w:tcPr>
            <w:tcW w:w="71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földrajzi fekvése, felszíne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Nemzeti jelképek (zászlók, címerek)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főbb tájegységei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Közigazgatási régiók, autonómiák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Éghajlat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Népesség, nemzeti kisebbségek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Leghíresebb városok, turisztikai központok, nevezetességek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gazdasága</w:t>
            </w:r>
          </w:p>
        </w:tc>
        <w:tc>
          <w:tcPr>
            <w:tcW w:w="71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Gazdasági adottságok, lehetőségek, jellemzők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főbb gazdasági ágazatai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Nemzetközi viszonylatban is ismert termékek, márkák, nagyvállalatok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Magyarországon is jelenlévő nagyvállalatai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Fizetőeszközök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és az Európai Unió</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Politikai viszonyok</w:t>
            </w:r>
          </w:p>
        </w:tc>
        <w:tc>
          <w:tcPr>
            <w:tcW w:w="71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politikai és választási rendszere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törvényhozó és a végrehajtó hatalom működése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Kormány- és ellenzéki pártok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és Magyarország politikai rendszerének hasonlóságai, eltérései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Társadalmi viszonyok</w:t>
            </w:r>
          </w:p>
        </w:tc>
        <w:tc>
          <w:tcPr>
            <w:tcW w:w="71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Társadalmi csoportok, helyzetük, együttélési formáik, problémáik ( - A fiatalok helyzete és lehetőségei a célnyelvi országokban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 Nők a társadalomban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 Kisebbségek, nemzetiségek, bevándorlók)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oktatási rendszere, eltérések és hasonlóságok a célnyelvi országok és Magyarország oktatási rendszerében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Munkavállalás, munkanélküliség, szakszervezetek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Egészségügy, társadalombiztosítás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Súlyos társadalmi problémák, bűnözés, droghelyzet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vallás és az egyházak szerepe a társadalomban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Mindennapi élet, életmód</w:t>
            </w:r>
          </w:p>
        </w:tc>
        <w:tc>
          <w:tcPr>
            <w:tcW w:w="71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család szerepe, családi élet, családi ünnepek, mindennapi rítusok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Városi és vidéki élet, urbanizáció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szabadidő eltöltése, szórakozás, nyaralási és pihenési szokások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Gondolkodásmód, jellemző ideálok, értékek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Társadalmi érintkezés, etikett, gesztusnyelvek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Hagyományok, szokások, ünnepek</w:t>
            </w:r>
          </w:p>
        </w:tc>
        <w:tc>
          <w:tcPr>
            <w:tcW w:w="71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nemzeti ünnepei és jelképei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Népszokások, népzene, néptánc, népviselet, népi játékok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gasztronómiája, tipikus ételei és italai, étkezési szokásai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Tömegkommunikáció, média</w:t>
            </w:r>
          </w:p>
        </w:tc>
        <w:tc>
          <w:tcPr>
            <w:tcW w:w="71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sajtó, a TV és a rádió helyzete, szerepe a célnyelvi országokban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célnyelvi országok legjelentősebb sajtóorgánumai, TV- és rádióadói, ifjúsági és </w:t>
            </w:r>
            <w:r>
              <w:rPr>
                <w:rFonts w:ascii="Times New Roman" w:hAnsi="Times New Roman" w:cs="Times New Roman"/>
                <w:sz w:val="20"/>
                <w:szCs w:val="20"/>
              </w:rPr>
              <w:lastRenderedPageBreak/>
              <w:t>diáksajtója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Telefon- és mobiltelefon-használat, etikai kódex</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Környezetvédelem</w:t>
            </w:r>
          </w:p>
        </w:tc>
        <w:tc>
          <w:tcPr>
            <w:tcW w:w="71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Globális és regionális környezeti problémák a célnyelvi országokban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Környezetvédelem a mindennapokban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Zöld mozgalmak, állatvédők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Sport</w:t>
            </w:r>
          </w:p>
        </w:tc>
        <w:tc>
          <w:tcPr>
            <w:tcW w:w="71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sport szerepe, a legnépszerűbb sportágak a célnyelvi országokban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kiemelkedő sportolói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történelme, irodalma, művészete</w:t>
            </w:r>
          </w:p>
        </w:tc>
        <w:tc>
          <w:tcPr>
            <w:tcW w:w="715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történelmi fejlődésének főbb szakaszai, csomópontjai, eseményei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irodalom történetének főbb korszakai, kiemelkedő alkotók és művek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művészettörténetének legfontosabb korszakai, kiemelkedő művészek és műalkotások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tanult történelmi korszakok főbb művelődéstörténeti, civilizációs jellemzői, általános korrajz</w:t>
            </w:r>
          </w:p>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EMELT SZINT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97"/>
        <w:gridCol w:w="16"/>
        <w:gridCol w:w="7299"/>
      </w:tblGrid>
      <w:tr w:rsidR="004C2997">
        <w:tblPrEx>
          <w:tblCellMar>
            <w:top w:w="0" w:type="dxa"/>
            <w:bottom w:w="0" w:type="dxa"/>
          </w:tblCellMar>
        </w:tblPrEx>
        <w:tc>
          <w:tcPr>
            <w:tcW w:w="1897" w:type="dxa"/>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 kompetenciák</w:t>
            </w:r>
          </w:p>
        </w:tc>
        <w:tc>
          <w:tcPr>
            <w:tcW w:w="7315" w:type="dxa"/>
            <w:gridSpan w:val="2"/>
            <w:shd w:val="pct25" w:color="auto"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tc>
      </w:tr>
      <w:tr w:rsidR="004C2997">
        <w:tblPrEx>
          <w:tblCellMar>
            <w:top w:w="0" w:type="dxa"/>
            <w:bottom w:w="0" w:type="dxa"/>
          </w:tblCellMar>
        </w:tblPrEx>
        <w:trPr>
          <w:cantSplit/>
        </w:trPr>
        <w:tc>
          <w:tcPr>
            <w:tcW w:w="9212"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Kompetenciák</w:t>
            </w:r>
          </w:p>
        </w:tc>
      </w:tr>
      <w:tr w:rsidR="004C2997">
        <w:tblPrEx>
          <w:tblCellMar>
            <w:top w:w="0" w:type="dxa"/>
            <w:bottom w:w="0" w:type="dxa"/>
          </w:tblCellMar>
        </w:tblPrEx>
        <w:tc>
          <w:tcPr>
            <w:tcW w:w="189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Témakörök bemutatása</w:t>
            </w:r>
          </w:p>
        </w:tc>
        <w:tc>
          <w:tcPr>
            <w:tcW w:w="7315" w:type="dxa"/>
            <w:gridSpan w:val="2"/>
          </w:tcPr>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 xml:space="preserve">A témák komplex, elmélyült bemutatása 10-15 perces, árnyaltan megfogalmazott, szabadon, helyes hanglejtéssel érthetően előadott beszámolókban. </w:t>
            </w:r>
            <w:r>
              <w:rPr>
                <w:rFonts w:ascii="Times New Roman" w:hAnsi="Times New Roman" w:cs="Times New Roman"/>
                <w:i/>
                <w:iCs/>
                <w:sz w:val="20"/>
                <w:szCs w:val="20"/>
              </w:rPr>
              <w:t>(Tematikus pontok gördülékeny összekapcsolása, egyesek kifejtése, különböző álláspontok ismertetése a szakszókincs pontos felhasználásával.)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különbség a közép- és emelt szint között a megfogalmazás árnyaltságában, pontosságában van. A témák elemző, kritikai megközelítése nagyobb súlyt kap az emelt szintű vizsgán.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189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Szaknyelv</w:t>
            </w:r>
          </w:p>
        </w:tc>
        <w:tc>
          <w:tcPr>
            <w:tcW w:w="7315"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célországokra speciálisan jellemző fogalmak azonosítása, </w:t>
            </w:r>
            <w:r>
              <w:rPr>
                <w:rFonts w:ascii="Times New Roman" w:hAnsi="Times New Roman" w:cs="Times New Roman"/>
                <w:i/>
                <w:iCs/>
                <w:sz w:val="20"/>
                <w:szCs w:val="20"/>
              </w:rPr>
              <w:t xml:space="preserve">árnyalt </w:t>
            </w:r>
            <w:r>
              <w:rPr>
                <w:rFonts w:ascii="Times New Roman" w:hAnsi="Times New Roman" w:cs="Times New Roman"/>
                <w:sz w:val="20"/>
                <w:szCs w:val="20"/>
              </w:rPr>
              <w:t>és helyes használata.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189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Források</w:t>
            </w:r>
          </w:p>
        </w:tc>
        <w:tc>
          <w:tcPr>
            <w:tcW w:w="7315" w:type="dxa"/>
            <w:gridSpan w:val="2"/>
          </w:tcPr>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 xml:space="preserve">Konkrét és </w:t>
            </w:r>
            <w:r>
              <w:rPr>
                <w:rFonts w:ascii="Times New Roman" w:hAnsi="Times New Roman" w:cs="Times New Roman"/>
                <w:i/>
                <w:iCs/>
                <w:sz w:val="20"/>
                <w:szCs w:val="20"/>
              </w:rPr>
              <w:t>elvont</w:t>
            </w:r>
            <w:r>
              <w:rPr>
                <w:rFonts w:ascii="Times New Roman" w:hAnsi="Times New Roman" w:cs="Times New Roman"/>
                <w:sz w:val="20"/>
                <w:szCs w:val="20"/>
              </w:rPr>
              <w:t xml:space="preserve"> tartalmú, rövid, a célnyelven írt forrásokból merített ismeretek megértése, ismeretlen nyelvi elemek jelentésének kikövetkeztetése, lényeges és </w:t>
            </w:r>
            <w:r>
              <w:rPr>
                <w:rFonts w:ascii="Times New Roman" w:hAnsi="Times New Roman" w:cs="Times New Roman"/>
                <w:i/>
                <w:iCs/>
                <w:sz w:val="20"/>
                <w:szCs w:val="20"/>
              </w:rPr>
              <w:t>specifikus</w:t>
            </w:r>
            <w:r>
              <w:rPr>
                <w:rFonts w:ascii="Times New Roman" w:hAnsi="Times New Roman" w:cs="Times New Roman"/>
                <w:sz w:val="20"/>
                <w:szCs w:val="20"/>
              </w:rPr>
              <w:t xml:space="preserve"> információk felismerése, kiemelése és a lényegesek bemutatása folyékony, szabatos, a téma tartalmának megfelelő szókincs felhasználásával. </w:t>
            </w:r>
            <w:r>
              <w:rPr>
                <w:rFonts w:ascii="Times New Roman" w:hAnsi="Times New Roman" w:cs="Times New Roman"/>
                <w:i/>
                <w:iCs/>
                <w:sz w:val="20"/>
                <w:szCs w:val="20"/>
              </w:rPr>
              <w:t>Különböző típusú forrásokból származó információk összevetése.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Következtetések, önálló kérdések megfogalmazása tárgyi vagy írásos anyag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Térképek felhasználása az ismeretszerzéshez.</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Következtetések, elemzések és összehasonlítások bemutatása statisztikai táblázatokból, diagramokból, grafikonokból, ábrákról.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189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Tájékozódás térben és időben</w:t>
            </w:r>
          </w:p>
        </w:tc>
        <w:tc>
          <w:tcPr>
            <w:tcW w:w="7315"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célországok fejlődése, kultúrája szempontjából fontos helyszínek azonosítása a térképen.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földrajzi környezet szerepe az egyes kultúrák és államok kialakulásában.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Geopolitikai következtetések megfogalmazása.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célországok fejlődése szempontjából fontos események időrendi sorrendbe állítása.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Különbségek és egybeesések, legjellemzőbb párhuzamok felismerése a célországok és Magyarország fejlődésében. </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189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célországok fejlődését alakító tényezők feltárása</w:t>
            </w:r>
          </w:p>
        </w:tc>
        <w:tc>
          <w:tcPr>
            <w:tcW w:w="7315"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földrajzi adottságok, a gazdasági fejlődés, a politikai felépítmény és a kulturális fejlődés ok-okozati összefüggései, előzményei és következményei. Önálló kérdések megfogalmazása az okokról és következményekről.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Személyek, pártok, csoportok szerepének fölismerése a fejlődésben.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különböző régiók eltérő fejlődésének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Aktuális események és azok előzményeinek, okainak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célországok és hazánk gazdasági, társadalmi, politikai és kulturális viszonyainak összehasonlítása.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9210" w:type="dxa"/>
            <w:gridSpan w:val="3"/>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2. Témakörök</w:t>
            </w:r>
          </w:p>
        </w:tc>
      </w:tr>
      <w:tr w:rsidR="004C2997">
        <w:tblPrEx>
          <w:tblCellMar>
            <w:top w:w="0" w:type="dxa"/>
            <w:bottom w:w="0" w:type="dxa"/>
          </w:tblCellMar>
        </w:tblPrEx>
        <w:tc>
          <w:tcPr>
            <w:tcW w:w="191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földrajza</w:t>
            </w:r>
          </w:p>
        </w:tc>
        <w:tc>
          <w:tcPr>
            <w:tcW w:w="729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földrajzi fekvése, felszíne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Nemzeti jelképek (zászlók, címerek)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tájegységei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Közigazgatási régiók, autonómiák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Éghajlat, növény- és állatvilág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Népesség, nemzeti kisebbségek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Leghíresebb városok, turisztikai központok, nevezetességek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191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gazdasága</w:t>
            </w:r>
          </w:p>
        </w:tc>
        <w:tc>
          <w:tcPr>
            <w:tcW w:w="729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Gazdasági adottságok, lehetőségek, jellemzők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gazdasági ágazatai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Nemzetközi viszonylatban is ismert termékek, márkák, nagyvállalatok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Fogyasztóvédelem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Magyarországon is jelenlévő nagyvállalatai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Pénzügyek, fizetőeszközök, bankrendszer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és az Európai Unió, illetve más gazdasági integrációk kapcsolatai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191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Politikai viszonyok</w:t>
            </w:r>
          </w:p>
        </w:tc>
        <w:tc>
          <w:tcPr>
            <w:tcW w:w="729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politikai és választási rendszere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törvényhozó és a végrehajtó hatalom működése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államfő politikai szerepe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Kormány- és ellenzéki pártok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Kisebbségi problémák, politikai feszültségek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és Magyarország politikai rendszerének hasonlóságai, eltérései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191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Társadalmi viszonyok</w:t>
            </w:r>
          </w:p>
        </w:tc>
        <w:tc>
          <w:tcPr>
            <w:tcW w:w="729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Társadalmi csoportok, helyzetük, együttélési formáik, problémáik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fiatalok helyzete és lehetőségei a célnyelvi országokban, ifjúságpolitika, ifjúsági irányzatok)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 Nők a társadalomban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 Kisebbségek, nemzetiségek, bevándorlók)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Nők a társadalomban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Kisebbségek, nemzetiségek, bevándorlók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Célnyelvi dialektusok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oktatási rendszere, eltérések és hasonlóságok a célnyelvi országok és Magyarország oktatási rendszerében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Munkavállalás, munkanélküliség, szakszervezetek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Egészségügy, társadalombiztosítás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Társadalmi problémák, bűnözés, droghelyzet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vallás és az egyházak szerepe a társadalomban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191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Mindennapi élet, életmód</w:t>
            </w:r>
          </w:p>
        </w:tc>
        <w:tc>
          <w:tcPr>
            <w:tcW w:w="729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család szerepe, családi élet, családi ünnepek, mindennapi rítusok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gyerekek helyzete a családban és a társadalomban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Városi és vidéki élet, urbanizáció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szabadidő eltöltése, szórakozás, nyaralási és pihenési szokások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Gondolkodásmód, jellemző ideálok, értékek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Társadalmi érintkezés, etikett, gesztusnyelvek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191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Hagyományok, szokások, ünnepek</w:t>
            </w:r>
          </w:p>
        </w:tc>
        <w:tc>
          <w:tcPr>
            <w:tcW w:w="729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nemzeti ünnepei és jelképei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Népszokások, népzene, néptánc, népviselet, népi játékok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gasztronómiája, tipikus ételei és italai, étkezési szokásai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Tradicionális és modern konyhaművészet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191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Tömegkommunikáció, média</w:t>
            </w:r>
          </w:p>
        </w:tc>
        <w:tc>
          <w:tcPr>
            <w:tcW w:w="729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sajtó, a TV és a rádió helyzete, szerepe a célnyelvi országokban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Sajtószabadság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legjelentősebb sajtóorgánumai, TV- és rádióadói, ifjúsági és diáksajtója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Reklámok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Telefon- és mobiltelefon-használat, etikai kódex</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számítógép és az Internet szerepe a célnyelvi országokban, a virtuális világ</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191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Környezetvédelem</w:t>
            </w:r>
          </w:p>
        </w:tc>
        <w:tc>
          <w:tcPr>
            <w:tcW w:w="729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Globális és regionális környezeti problémák a célnyelvi országokban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Környezetvédelem a mindennapokban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környezetvédelmi politikája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Zöld mozgalmak, állatvédők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környezetvédelem és a gazdasági helyzet főbb összefüggései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191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Sport</w:t>
            </w:r>
          </w:p>
        </w:tc>
        <w:tc>
          <w:tcPr>
            <w:tcW w:w="729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sport szerepe, a legnépszerűbb sportágak a célnyelvi országokban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Tömegsport, szabadidősport, élsport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kiemelkedő sportolói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191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történelme, irodalma, művészete</w:t>
            </w:r>
          </w:p>
        </w:tc>
        <w:tc>
          <w:tcPr>
            <w:tcW w:w="729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történelmi fejlődésének szakaszai, csomópontjai, fontosabb eseményei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irodalom történetének korszakai, kiemelkedő alkotók és művek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célnyelvi országok művészettörténetének fontosabb korszakai, kiemelkedő művészek és műalkotások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tanult történelmi korszakok főbb művelődéstörténeti, civilizációs jellemzői, általános korrajz</w:t>
            </w:r>
          </w:p>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BELÜGYI RENDÉSZETI ISMERETEK ÉRETTSÉGI VIZSGATÁRGY</w:t>
      </w:r>
      <w:r>
        <w:rPr>
          <w:rFonts w:ascii="Times New Roman" w:hAnsi="Times New Roman" w:cs="Times New Roman"/>
          <w:i/>
          <w:iCs/>
          <w:sz w:val="20"/>
          <w:szCs w:val="20"/>
        </w:rPr>
        <w:br/>
        <w:t>ÁLTALÁNOS KÖVETELMÉNYEI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i/>
          <w:iCs/>
          <w:sz w:val="20"/>
          <w:szCs w:val="20"/>
        </w:rPr>
        <w:t>A vizsga formája</w:t>
      </w: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i/>
          <w:iCs/>
          <w:sz w:val="20"/>
          <w:szCs w:val="20"/>
        </w:rPr>
        <w:t>A Belügyi rendészeti ismeretek érettségi vizsga célja</w:t>
      </w: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vizsga azt hivatott megállapítani, hogy a vizsgázó</w:t>
      </w: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 ismeri-e a főbb rendészeti fogalmakat, a rendészeti szervek feladatrendszerét, szervezetét, erőit, eszközeit,</w:t>
      </w: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 tudja-e a rendészeti szerveket egymástól megkülönböztetni, rámutatni azok azonosságaira és különbözőségeire,</w:t>
      </w: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 képes-e a rendészeti szervekkel szemben támasztott elvárásokról önálló véleményt alkotni, véleményét érvekkel alátámasztani,</w:t>
      </w: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 ismeri-e az Igazságügyi és Rendészeti Minisztérium alá tartozó rendészeti szervek működését meghatározó jogszabályok főbb rendelkezéseit,</w:t>
      </w: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 elsajátította-e azokat az ismereteket, amelyekkel fel tudja ismerni a tanult szabálysértési és bűncselekményi tényállásokat, tudja-e azokat értelmezni,</w:t>
      </w: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 ki tudja-e választani az elsősegélynyújtáshoz, a terepen történő tájékozódáshoz, a szakmai feladatok ellátásához szükséges eszközöket,</w:t>
      </w: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 tudja-e az eszközöket szakszerűen és célszerűen használni,</w:t>
      </w: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 képes-e gondolatait szabatosan, szaknyelven megfogalmazni,</w:t>
      </w: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 teljesítményében kifejeződik-e önálló gondolkodása, problémalátása, lényegkiemelő és rendszerező képessége.</w:t>
      </w: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84"/>
        <w:rPr>
          <w:rFonts w:ascii="Times New Roman" w:hAnsi="Times New Roman" w:cs="Times New Roman"/>
          <w:i/>
          <w:iCs/>
          <w:sz w:val="20"/>
          <w:szCs w:val="20"/>
        </w:rPr>
      </w:pPr>
      <w:r>
        <w:rPr>
          <w:rFonts w:ascii="Times New Roman" w:hAnsi="Times New Roman" w:cs="Times New Roman"/>
          <w:i/>
          <w:iCs/>
          <w:sz w:val="20"/>
          <w:szCs w:val="20"/>
        </w:rPr>
        <w:t>Tartalmi követelmények</w:t>
      </w: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i/>
          <w:iCs/>
          <w:sz w:val="20"/>
          <w:szCs w:val="20"/>
        </w:rPr>
        <w:t>KÖZÉPSZINT</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839"/>
        <w:gridCol w:w="4831"/>
      </w:tblGrid>
      <w:tr w:rsidR="004C2997">
        <w:tblPrEx>
          <w:tblCellMar>
            <w:top w:w="0" w:type="dxa"/>
            <w:bottom w:w="0" w:type="dxa"/>
          </w:tblCellMar>
        </w:tblPrEx>
        <w:tc>
          <w:tcPr>
            <w:tcW w:w="4839" w:type="dxa"/>
            <w:vAlign w:val="center"/>
          </w:tcPr>
          <w:p w:rsidR="004C2997" w:rsidRDefault="004C2997">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Témakörök</w:t>
            </w:r>
          </w:p>
        </w:tc>
        <w:tc>
          <w:tcPr>
            <w:tcW w:w="4831" w:type="dxa"/>
            <w:vAlign w:val="center"/>
          </w:tcPr>
          <w:p w:rsidR="004C2997" w:rsidRDefault="004C2997">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Követelmények</w:t>
            </w:r>
          </w:p>
        </w:tc>
      </w:tr>
      <w:tr w:rsidR="004C2997" w:rsidTr="004C2997">
        <w:tblPrEx>
          <w:tblCellMar>
            <w:top w:w="0" w:type="dxa"/>
            <w:bottom w:w="0" w:type="dxa"/>
          </w:tblCellMar>
        </w:tblPrEx>
        <w:tc>
          <w:tcPr>
            <w:tcW w:w="9670" w:type="dxa"/>
            <w:gridSpan w:val="2"/>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1.</w:t>
            </w:r>
            <w:r>
              <w:rPr>
                <w:rFonts w:ascii="Times New Roman" w:hAnsi="Times New Roman" w:cs="Times New Roman"/>
                <w:sz w:val="20"/>
                <w:szCs w:val="20"/>
              </w:rPr>
              <w:t xml:space="preserve"> </w:t>
            </w:r>
            <w:r>
              <w:rPr>
                <w:rFonts w:ascii="Times New Roman" w:hAnsi="Times New Roman" w:cs="Times New Roman"/>
                <w:i/>
                <w:iCs/>
                <w:sz w:val="20"/>
                <w:szCs w:val="20"/>
              </w:rPr>
              <w:t>A rendészet alapjai</w:t>
            </w:r>
          </w:p>
        </w:tc>
      </w:tr>
      <w:tr w:rsidR="004C2997">
        <w:tblPrEx>
          <w:tblCellMar>
            <w:top w:w="0" w:type="dxa"/>
            <w:bottom w:w="0" w:type="dxa"/>
          </w:tblCellMar>
        </w:tblPrEx>
        <w:tc>
          <w:tcPr>
            <w:tcW w:w="483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1.1. Rendészet, rendészeti szervek</w:t>
            </w:r>
          </w:p>
        </w:tc>
        <w:tc>
          <w:tcPr>
            <w:tcW w:w="4831"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rend, a közrend (belső rend) és a határrend.</w:t>
            </w:r>
            <w:r>
              <w:rPr>
                <w:rFonts w:ascii="Times New Roman" w:hAnsi="Times New Roman" w:cs="Times New Roman"/>
                <w:sz w:val="20"/>
                <w:szCs w:val="20"/>
              </w:rPr>
              <w:br/>
              <w:t>A biztonság, a nemzetbiztonság és a közbiztonság.</w:t>
            </w:r>
            <w:r>
              <w:rPr>
                <w:rFonts w:ascii="Times New Roman" w:hAnsi="Times New Roman" w:cs="Times New Roman"/>
                <w:sz w:val="20"/>
                <w:szCs w:val="20"/>
              </w:rPr>
              <w:br/>
              <w:t>A rendvédelem, a közrend és a közbiztonság védelme, az államhatár rendjének védelme.</w:t>
            </w:r>
            <w:r>
              <w:rPr>
                <w:rFonts w:ascii="Times New Roman" w:hAnsi="Times New Roman" w:cs="Times New Roman"/>
                <w:sz w:val="20"/>
                <w:szCs w:val="20"/>
              </w:rPr>
              <w:br/>
              <w:t>A katasztrófavédelem és a polgári védelem.</w:t>
            </w:r>
            <w:r>
              <w:rPr>
                <w:rFonts w:ascii="Times New Roman" w:hAnsi="Times New Roman" w:cs="Times New Roman"/>
                <w:sz w:val="20"/>
                <w:szCs w:val="20"/>
              </w:rPr>
              <w:br/>
              <w:t>A katasztrófák felosztása.</w:t>
            </w:r>
            <w:r>
              <w:rPr>
                <w:rFonts w:ascii="Times New Roman" w:hAnsi="Times New Roman" w:cs="Times New Roman"/>
                <w:sz w:val="20"/>
                <w:szCs w:val="20"/>
              </w:rPr>
              <w:br/>
              <w:t>A rendészet szervei.</w:t>
            </w:r>
          </w:p>
        </w:tc>
      </w:tr>
      <w:tr w:rsidR="004C2997">
        <w:tblPrEx>
          <w:tblCellMar>
            <w:top w:w="0" w:type="dxa"/>
            <w:bottom w:w="0" w:type="dxa"/>
          </w:tblCellMar>
        </w:tblPrEx>
        <w:tc>
          <w:tcPr>
            <w:tcW w:w="483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1.2.  A rendészeti szervek általános jellemzése</w:t>
            </w:r>
          </w:p>
        </w:tc>
        <w:tc>
          <w:tcPr>
            <w:tcW w:w="4831"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rendészeti szervek működését meghatározó főbb jogszabályok.</w:t>
            </w:r>
            <w:r>
              <w:rPr>
                <w:rFonts w:ascii="Times New Roman" w:hAnsi="Times New Roman" w:cs="Times New Roman"/>
                <w:sz w:val="20"/>
                <w:szCs w:val="20"/>
              </w:rPr>
              <w:br/>
              <w:t>A rendészeti szervek rendeltetése, jogállása és feladatai.</w:t>
            </w:r>
            <w:r>
              <w:rPr>
                <w:rFonts w:ascii="Times New Roman" w:hAnsi="Times New Roman" w:cs="Times New Roman"/>
                <w:sz w:val="20"/>
                <w:szCs w:val="20"/>
              </w:rPr>
              <w:br/>
              <w:t>A rendőrség és a katasztrófavédelem szervezeti felépítése, erői (személyi állománya) és eszközei.</w:t>
            </w:r>
          </w:p>
        </w:tc>
      </w:tr>
      <w:tr w:rsidR="004C2997" w:rsidTr="004C2997">
        <w:tblPrEx>
          <w:tblCellMar>
            <w:top w:w="0" w:type="dxa"/>
            <w:bottom w:w="0" w:type="dxa"/>
          </w:tblCellMar>
        </w:tblPrEx>
        <w:tc>
          <w:tcPr>
            <w:tcW w:w="9670" w:type="dxa"/>
            <w:gridSpan w:val="2"/>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2.</w:t>
            </w:r>
            <w:r>
              <w:rPr>
                <w:rFonts w:ascii="Times New Roman" w:hAnsi="Times New Roman" w:cs="Times New Roman"/>
                <w:sz w:val="20"/>
                <w:szCs w:val="20"/>
              </w:rPr>
              <w:t xml:space="preserve"> </w:t>
            </w:r>
            <w:r>
              <w:rPr>
                <w:rFonts w:ascii="Times New Roman" w:hAnsi="Times New Roman" w:cs="Times New Roman"/>
                <w:i/>
                <w:iCs/>
                <w:sz w:val="20"/>
                <w:szCs w:val="20"/>
              </w:rPr>
              <w:t>A rendészeti szervek szakmai tevékenysége</w:t>
            </w:r>
          </w:p>
        </w:tc>
      </w:tr>
      <w:tr w:rsidR="004C2997">
        <w:tblPrEx>
          <w:tblCellMar>
            <w:top w:w="0" w:type="dxa"/>
            <w:bottom w:w="0" w:type="dxa"/>
          </w:tblCellMar>
        </w:tblPrEx>
        <w:tc>
          <w:tcPr>
            <w:tcW w:w="483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2.1. A szakmai tevékenység területei, az egyes szervek működése és irányítása</w:t>
            </w:r>
          </w:p>
        </w:tc>
        <w:tc>
          <w:tcPr>
            <w:tcW w:w="4831"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rendészeti szervek szolgálati tagozódása, szakmai tevékenységének területei.</w:t>
            </w:r>
            <w:r>
              <w:rPr>
                <w:rFonts w:ascii="Times New Roman" w:hAnsi="Times New Roman" w:cs="Times New Roman"/>
                <w:sz w:val="20"/>
                <w:szCs w:val="20"/>
              </w:rPr>
              <w:br/>
              <w:t>A rendőrség, a katasztrófavédelem működésének általános elvei és szabályai.</w:t>
            </w:r>
            <w:r>
              <w:rPr>
                <w:rFonts w:ascii="Times New Roman" w:hAnsi="Times New Roman" w:cs="Times New Roman"/>
                <w:sz w:val="20"/>
                <w:szCs w:val="20"/>
              </w:rPr>
              <w:br/>
              <w:t>A rendészeti szervek irányítása és vezetése.</w:t>
            </w:r>
          </w:p>
        </w:tc>
      </w:tr>
      <w:tr w:rsidR="004C2997">
        <w:tblPrEx>
          <w:tblCellMar>
            <w:top w:w="0" w:type="dxa"/>
            <w:bottom w:w="0" w:type="dxa"/>
          </w:tblCellMar>
        </w:tblPrEx>
        <w:tc>
          <w:tcPr>
            <w:tcW w:w="483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2.2. Intézkedések és kényszerítő eszközök</w:t>
            </w:r>
          </w:p>
        </w:tc>
        <w:tc>
          <w:tcPr>
            <w:tcW w:w="4831"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rendőri intézkedések, alkalmazásuk alapvető szabályai.</w:t>
            </w:r>
            <w:r>
              <w:rPr>
                <w:rFonts w:ascii="Times New Roman" w:hAnsi="Times New Roman" w:cs="Times New Roman"/>
                <w:sz w:val="20"/>
                <w:szCs w:val="20"/>
              </w:rPr>
              <w:br/>
              <w:t>A kényszerítő eszközök és alkalmazásuk legfontosabb szabályai.</w:t>
            </w:r>
          </w:p>
        </w:tc>
      </w:tr>
      <w:tr w:rsidR="004C2997">
        <w:tblPrEx>
          <w:tblCellMar>
            <w:top w:w="0" w:type="dxa"/>
            <w:bottom w:w="0" w:type="dxa"/>
          </w:tblCellMar>
        </w:tblPrEx>
        <w:tc>
          <w:tcPr>
            <w:tcW w:w="483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2.3. A katasztrófák felosztása</w:t>
            </w:r>
          </w:p>
        </w:tc>
        <w:tc>
          <w:tcPr>
            <w:tcW w:w="4831"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katasztrófa fogalma.</w:t>
            </w:r>
            <w:r>
              <w:rPr>
                <w:rFonts w:ascii="Times New Roman" w:hAnsi="Times New Roman" w:cs="Times New Roman"/>
                <w:sz w:val="20"/>
                <w:szCs w:val="20"/>
              </w:rPr>
              <w:br/>
              <w:t>A katasztrófák csoportosítása.</w:t>
            </w:r>
          </w:p>
        </w:tc>
      </w:tr>
      <w:tr w:rsidR="004C2997">
        <w:tblPrEx>
          <w:tblCellMar>
            <w:top w:w="0" w:type="dxa"/>
            <w:bottom w:w="0" w:type="dxa"/>
          </w:tblCellMar>
        </w:tblPrEx>
        <w:tc>
          <w:tcPr>
            <w:tcW w:w="483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2.4. Együttműködés, kapcsolatok és szolgálati </w:t>
            </w:r>
            <w:r>
              <w:rPr>
                <w:rFonts w:ascii="Times New Roman" w:hAnsi="Times New Roman" w:cs="Times New Roman"/>
                <w:sz w:val="20"/>
                <w:szCs w:val="20"/>
              </w:rPr>
              <w:lastRenderedPageBreak/>
              <w:t>tevékenységek</w:t>
            </w:r>
          </w:p>
        </w:tc>
        <w:tc>
          <w:tcPr>
            <w:tcW w:w="4831"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rendészeti szervek együttműködése, kapcsolata a </w:t>
            </w:r>
            <w:r>
              <w:rPr>
                <w:rFonts w:ascii="Times New Roman" w:hAnsi="Times New Roman" w:cs="Times New Roman"/>
                <w:sz w:val="20"/>
                <w:szCs w:val="20"/>
              </w:rPr>
              <w:lastRenderedPageBreak/>
              <w:t>társadalmi szervekkel, szervezetekkel, lakossággal és a civil kontroll.</w:t>
            </w:r>
            <w:r>
              <w:rPr>
                <w:rFonts w:ascii="Times New Roman" w:hAnsi="Times New Roman" w:cs="Times New Roman"/>
                <w:sz w:val="20"/>
                <w:szCs w:val="20"/>
              </w:rPr>
              <w:br/>
              <w:t>A rendészeti szervek filozófiája.</w:t>
            </w:r>
            <w:r>
              <w:rPr>
                <w:rFonts w:ascii="Times New Roman" w:hAnsi="Times New Roman" w:cs="Times New Roman"/>
                <w:sz w:val="20"/>
                <w:szCs w:val="20"/>
              </w:rPr>
              <w:br/>
              <w:t>A rendőrség által alkalmazott szolgálati tevékenységek jellemzése.</w:t>
            </w:r>
            <w:r>
              <w:rPr>
                <w:rFonts w:ascii="Times New Roman" w:hAnsi="Times New Roman" w:cs="Times New Roman"/>
                <w:sz w:val="20"/>
                <w:szCs w:val="20"/>
              </w:rPr>
              <w:br/>
              <w:t>A katasztrófavédelmi szolgálati tevékenységek jellemzői.</w:t>
            </w:r>
            <w:r>
              <w:rPr>
                <w:rFonts w:ascii="Times New Roman" w:hAnsi="Times New Roman" w:cs="Times New Roman"/>
                <w:sz w:val="20"/>
                <w:szCs w:val="20"/>
              </w:rPr>
              <w:br/>
              <w:t>A katasztrófavédelem tevékenysége egyes katasztrófahelyzetekben.</w:t>
            </w:r>
          </w:p>
        </w:tc>
      </w:tr>
      <w:tr w:rsidR="004C2997" w:rsidTr="004C2997">
        <w:tblPrEx>
          <w:tblCellMar>
            <w:top w:w="0" w:type="dxa"/>
            <w:bottom w:w="0" w:type="dxa"/>
          </w:tblCellMar>
        </w:tblPrEx>
        <w:tc>
          <w:tcPr>
            <w:tcW w:w="9670" w:type="dxa"/>
            <w:gridSpan w:val="2"/>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lastRenderedPageBreak/>
              <w:t>3.</w:t>
            </w:r>
            <w:r>
              <w:rPr>
                <w:rFonts w:ascii="Times New Roman" w:hAnsi="Times New Roman" w:cs="Times New Roman"/>
                <w:sz w:val="20"/>
                <w:szCs w:val="20"/>
              </w:rPr>
              <w:t xml:space="preserve"> </w:t>
            </w:r>
            <w:r>
              <w:rPr>
                <w:rFonts w:ascii="Times New Roman" w:hAnsi="Times New Roman" w:cs="Times New Roman"/>
                <w:i/>
                <w:iCs/>
                <w:sz w:val="20"/>
                <w:szCs w:val="20"/>
              </w:rPr>
              <w:t>A rendészeti szervek funkcionális tevékenysége</w:t>
            </w:r>
          </w:p>
        </w:tc>
      </w:tr>
      <w:tr w:rsidR="004C2997">
        <w:tblPrEx>
          <w:tblCellMar>
            <w:top w:w="0" w:type="dxa"/>
            <w:bottom w:w="0" w:type="dxa"/>
          </w:tblCellMar>
        </w:tblPrEx>
        <w:tc>
          <w:tcPr>
            <w:tcW w:w="483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 A személyzeti, munkaügyi és szociális tevékenység</w:t>
            </w:r>
          </w:p>
        </w:tc>
        <w:tc>
          <w:tcPr>
            <w:tcW w:w="4831"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személyzeti, munkaügyi és szociális tevékenység célja, feladatai.</w:t>
            </w:r>
            <w:r>
              <w:rPr>
                <w:rFonts w:ascii="Times New Roman" w:hAnsi="Times New Roman" w:cs="Times New Roman"/>
                <w:sz w:val="20"/>
                <w:szCs w:val="20"/>
              </w:rPr>
              <w:br/>
              <w:t>A rendészeti szervek tagjává válásának feltételei.</w:t>
            </w:r>
            <w:r>
              <w:rPr>
                <w:rFonts w:ascii="Times New Roman" w:hAnsi="Times New Roman" w:cs="Times New Roman"/>
                <w:sz w:val="20"/>
                <w:szCs w:val="20"/>
              </w:rPr>
              <w:br/>
              <w:t>A rendészeti szervek tagjait megillető alapvető pénzügyi és anyagi járandóságok, szociális juttatások.</w:t>
            </w:r>
          </w:p>
        </w:tc>
      </w:tr>
      <w:tr w:rsidR="004C2997">
        <w:tblPrEx>
          <w:tblCellMar>
            <w:top w:w="0" w:type="dxa"/>
            <w:bottom w:w="0" w:type="dxa"/>
          </w:tblCellMar>
        </w:tblPrEx>
        <w:tc>
          <w:tcPr>
            <w:tcW w:w="483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3.2. A szolgálattal összefüggő jogok és kötelességek</w:t>
            </w:r>
          </w:p>
        </w:tc>
        <w:tc>
          <w:tcPr>
            <w:tcW w:w="4831"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személyi állomány szolgálatellátással összefüggő jogai és kötelességei.</w:t>
            </w:r>
            <w:r>
              <w:rPr>
                <w:rFonts w:ascii="Times New Roman" w:hAnsi="Times New Roman" w:cs="Times New Roman"/>
                <w:sz w:val="20"/>
                <w:szCs w:val="20"/>
              </w:rPr>
              <w:br/>
              <w:t>A személyi állománnyal szemben támasztott társadalmi elvárások, jogi, szakmai és etikai követelmények.</w:t>
            </w:r>
          </w:p>
        </w:tc>
      </w:tr>
      <w:tr w:rsidR="004C2997">
        <w:tblPrEx>
          <w:tblCellMar>
            <w:top w:w="0" w:type="dxa"/>
            <w:bottom w:w="0" w:type="dxa"/>
          </w:tblCellMar>
        </w:tblPrEx>
        <w:tc>
          <w:tcPr>
            <w:tcW w:w="483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 A környezet-, a munka- és egészségvédelem</w:t>
            </w:r>
          </w:p>
        </w:tc>
        <w:tc>
          <w:tcPr>
            <w:tcW w:w="4831"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környezet-, a munka- és egészségvédelem célja és feladatai.</w:t>
            </w:r>
            <w:r>
              <w:rPr>
                <w:rFonts w:ascii="Times New Roman" w:hAnsi="Times New Roman" w:cs="Times New Roman"/>
                <w:sz w:val="20"/>
                <w:szCs w:val="20"/>
              </w:rPr>
              <w:br/>
              <w:t>Az elsősegélynyújtás alapelvei, az eszméletvesztés, mérgezés, vérzés, törés, égési sérülés elsődleges ellátásának gyakorlati feladatai.</w:t>
            </w:r>
          </w:p>
        </w:tc>
      </w:tr>
      <w:tr w:rsidR="004C2997">
        <w:tblPrEx>
          <w:tblCellMar>
            <w:top w:w="0" w:type="dxa"/>
            <w:bottom w:w="0" w:type="dxa"/>
          </w:tblCellMar>
        </w:tblPrEx>
        <w:tc>
          <w:tcPr>
            <w:tcW w:w="483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3.4. A szolgálati érintkezés</w:t>
            </w:r>
          </w:p>
        </w:tc>
        <w:tc>
          <w:tcPr>
            <w:tcW w:w="4831"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Rendfokozatok és állománycsoportok.</w:t>
            </w:r>
            <w:r>
              <w:rPr>
                <w:rFonts w:ascii="Times New Roman" w:hAnsi="Times New Roman" w:cs="Times New Roman"/>
                <w:sz w:val="20"/>
                <w:szCs w:val="20"/>
              </w:rPr>
              <w:br/>
              <w:t>Fegyelmi és függőségi viszonyok.</w:t>
            </w:r>
            <w:r>
              <w:rPr>
                <w:rFonts w:ascii="Times New Roman" w:hAnsi="Times New Roman" w:cs="Times New Roman"/>
                <w:sz w:val="20"/>
                <w:szCs w:val="20"/>
              </w:rPr>
              <w:br/>
              <w:t>A szolgálati érintkezés főbb szabályai.</w:t>
            </w:r>
          </w:p>
        </w:tc>
      </w:tr>
      <w:tr w:rsidR="004C2997">
        <w:tblPrEx>
          <w:tblCellMar>
            <w:top w:w="0" w:type="dxa"/>
            <w:bottom w:w="0" w:type="dxa"/>
          </w:tblCellMar>
        </w:tblPrEx>
        <w:tc>
          <w:tcPr>
            <w:tcW w:w="483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3.5. Az alaki magatartás</w:t>
            </w:r>
          </w:p>
        </w:tc>
        <w:tc>
          <w:tcPr>
            <w:tcW w:w="4831"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alakiság jelentősége.</w:t>
            </w:r>
            <w:r>
              <w:rPr>
                <w:rFonts w:ascii="Times New Roman" w:hAnsi="Times New Roman" w:cs="Times New Roman"/>
                <w:sz w:val="20"/>
                <w:szCs w:val="20"/>
              </w:rPr>
              <w:br/>
              <w:t>A főbb alaki elvárások és követelmények.</w:t>
            </w:r>
          </w:p>
        </w:tc>
      </w:tr>
      <w:tr w:rsidR="004C2997" w:rsidTr="004C2997">
        <w:tblPrEx>
          <w:tblCellMar>
            <w:top w:w="0" w:type="dxa"/>
            <w:bottom w:w="0" w:type="dxa"/>
          </w:tblCellMar>
        </w:tblPrEx>
        <w:tc>
          <w:tcPr>
            <w:tcW w:w="9670" w:type="dxa"/>
            <w:gridSpan w:val="2"/>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4.</w:t>
            </w:r>
            <w:r>
              <w:rPr>
                <w:rFonts w:ascii="Times New Roman" w:hAnsi="Times New Roman" w:cs="Times New Roman"/>
                <w:sz w:val="20"/>
                <w:szCs w:val="20"/>
              </w:rPr>
              <w:t xml:space="preserve"> </w:t>
            </w:r>
            <w:r>
              <w:rPr>
                <w:rFonts w:ascii="Times New Roman" w:hAnsi="Times New Roman" w:cs="Times New Roman"/>
                <w:i/>
                <w:iCs/>
                <w:sz w:val="20"/>
                <w:szCs w:val="20"/>
              </w:rPr>
              <w:t>Tereptan</w:t>
            </w:r>
          </w:p>
        </w:tc>
      </w:tr>
      <w:tr w:rsidR="004C2997">
        <w:tblPrEx>
          <w:tblCellMar>
            <w:top w:w="0" w:type="dxa"/>
            <w:bottom w:w="0" w:type="dxa"/>
          </w:tblCellMar>
        </w:tblPrEx>
        <w:tc>
          <w:tcPr>
            <w:tcW w:w="483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4.1. A tereptan alapjai</w:t>
            </w:r>
          </w:p>
        </w:tc>
        <w:tc>
          <w:tcPr>
            <w:tcW w:w="4831"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terep fogalma, fajtái, jellemzői, a világtájak meghatározása.</w:t>
            </w:r>
            <w:r>
              <w:rPr>
                <w:rFonts w:ascii="Times New Roman" w:hAnsi="Times New Roman" w:cs="Times New Roman"/>
                <w:sz w:val="20"/>
                <w:szCs w:val="20"/>
              </w:rPr>
              <w:br/>
              <w:t>A térkép fogalma, fajtái, méretaránya.</w:t>
            </w:r>
            <w:r>
              <w:rPr>
                <w:rFonts w:ascii="Times New Roman" w:hAnsi="Times New Roman" w:cs="Times New Roman"/>
                <w:sz w:val="20"/>
                <w:szCs w:val="20"/>
              </w:rPr>
              <w:br/>
              <w:t>A térképi jelek és jelzések.</w:t>
            </w:r>
            <w:r>
              <w:rPr>
                <w:rFonts w:ascii="Times New Roman" w:hAnsi="Times New Roman" w:cs="Times New Roman"/>
                <w:sz w:val="20"/>
                <w:szCs w:val="20"/>
              </w:rPr>
              <w:br/>
              <w:t>A térkép tájolása.</w:t>
            </w:r>
          </w:p>
        </w:tc>
      </w:tr>
      <w:tr w:rsidR="004C2997">
        <w:tblPrEx>
          <w:tblCellMar>
            <w:top w:w="0" w:type="dxa"/>
            <w:bottom w:w="0" w:type="dxa"/>
          </w:tblCellMar>
        </w:tblPrEx>
        <w:tc>
          <w:tcPr>
            <w:tcW w:w="483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4.2. A terepen történő tájékozódás</w:t>
            </w:r>
          </w:p>
        </w:tc>
        <w:tc>
          <w:tcPr>
            <w:tcW w:w="4831"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tájékozódás fogalma, szerepe az ember és a rendészeti szervek tevékenységében.</w:t>
            </w:r>
            <w:r>
              <w:rPr>
                <w:rFonts w:ascii="Times New Roman" w:hAnsi="Times New Roman" w:cs="Times New Roman"/>
                <w:sz w:val="20"/>
                <w:szCs w:val="20"/>
              </w:rPr>
              <w:br/>
              <w:t>Az iránytű, a tájoló és a távcső használata.</w:t>
            </w:r>
            <w:r>
              <w:rPr>
                <w:rFonts w:ascii="Times New Roman" w:hAnsi="Times New Roman" w:cs="Times New Roman"/>
                <w:sz w:val="20"/>
                <w:szCs w:val="20"/>
              </w:rPr>
              <w:br/>
              <w:t>A közúthálózat számozása, a közúti gépjárművek államjelzései, a magyar rendszámtáblák ismertető jegyei.</w:t>
            </w:r>
          </w:p>
        </w:tc>
      </w:tr>
      <w:tr w:rsidR="004C2997" w:rsidTr="004C2997">
        <w:tblPrEx>
          <w:tblCellMar>
            <w:top w:w="0" w:type="dxa"/>
            <w:bottom w:w="0" w:type="dxa"/>
          </w:tblCellMar>
        </w:tblPrEx>
        <w:tc>
          <w:tcPr>
            <w:tcW w:w="9670" w:type="dxa"/>
            <w:gridSpan w:val="2"/>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5.</w:t>
            </w:r>
            <w:r>
              <w:rPr>
                <w:rFonts w:ascii="Times New Roman" w:hAnsi="Times New Roman" w:cs="Times New Roman"/>
                <w:sz w:val="20"/>
                <w:szCs w:val="20"/>
              </w:rPr>
              <w:t xml:space="preserve"> </w:t>
            </w:r>
            <w:r>
              <w:rPr>
                <w:rFonts w:ascii="Times New Roman" w:hAnsi="Times New Roman" w:cs="Times New Roman"/>
                <w:i/>
                <w:iCs/>
                <w:sz w:val="20"/>
                <w:szCs w:val="20"/>
              </w:rPr>
              <w:t>A jogellenes cselekményekkel szembeni fellépés</w:t>
            </w:r>
          </w:p>
        </w:tc>
      </w:tr>
      <w:tr w:rsidR="004C2997">
        <w:tblPrEx>
          <w:tblCellMar>
            <w:top w:w="0" w:type="dxa"/>
            <w:bottom w:w="0" w:type="dxa"/>
          </w:tblCellMar>
        </w:tblPrEx>
        <w:tc>
          <w:tcPr>
            <w:tcW w:w="483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5.1. A jogellenes cselekmények</w:t>
            </w:r>
          </w:p>
        </w:tc>
        <w:tc>
          <w:tcPr>
            <w:tcW w:w="4831"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jogellenes cselekmények értelmezése, felosztása, a velük szembeni fellépést szabályozó jogszabályok.</w:t>
            </w:r>
          </w:p>
        </w:tc>
      </w:tr>
      <w:tr w:rsidR="004C2997">
        <w:tblPrEx>
          <w:tblCellMar>
            <w:top w:w="0" w:type="dxa"/>
            <w:bottom w:w="0" w:type="dxa"/>
          </w:tblCellMar>
        </w:tblPrEx>
        <w:tc>
          <w:tcPr>
            <w:tcW w:w="483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Szabálysértési alapismeretek</w:t>
            </w:r>
          </w:p>
        </w:tc>
        <w:tc>
          <w:tcPr>
            <w:tcW w:w="4831"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szabálysértés fogalma, elkövetői, a felróhatóság és a felróhatósági akadályok, az elkövetőkkel szemben alkalmazható szabálysértési szankciók.</w:t>
            </w:r>
            <w:r>
              <w:rPr>
                <w:rFonts w:ascii="Times New Roman" w:hAnsi="Times New Roman" w:cs="Times New Roman"/>
                <w:sz w:val="20"/>
                <w:szCs w:val="20"/>
              </w:rPr>
              <w:br/>
              <w:t>A szabálysértési ügyekben eljáró hatóságok, az eljárásban résztvevő személyek.</w:t>
            </w:r>
            <w:r>
              <w:rPr>
                <w:rFonts w:ascii="Times New Roman" w:hAnsi="Times New Roman" w:cs="Times New Roman"/>
                <w:sz w:val="20"/>
                <w:szCs w:val="20"/>
              </w:rPr>
              <w:br/>
              <w:t>A szabálysértési eljárás szakaszai, lefolytatásának rendje, főbb szabályai.</w:t>
            </w:r>
            <w:r>
              <w:rPr>
                <w:rFonts w:ascii="Times New Roman" w:hAnsi="Times New Roman" w:cs="Times New Roman"/>
                <w:sz w:val="20"/>
                <w:szCs w:val="20"/>
              </w:rPr>
              <w:br/>
              <w:t>A rendőrség tevékenysége során előforduló főbb szabálysértési tényállások köznapi értelmezése, gyakorlati jellemzői.</w:t>
            </w:r>
          </w:p>
        </w:tc>
      </w:tr>
      <w:tr w:rsidR="004C2997">
        <w:tblPrEx>
          <w:tblCellMar>
            <w:top w:w="0" w:type="dxa"/>
            <w:bottom w:w="0" w:type="dxa"/>
          </w:tblCellMar>
        </w:tblPrEx>
        <w:tc>
          <w:tcPr>
            <w:tcW w:w="483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5.3. Bűncselekményi alapismeretek</w:t>
            </w:r>
          </w:p>
        </w:tc>
        <w:tc>
          <w:tcPr>
            <w:tcW w:w="4831"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bűncselekmény fogalma, felosztása, elkövetői.</w:t>
            </w:r>
            <w:r>
              <w:rPr>
                <w:rFonts w:ascii="Times New Roman" w:hAnsi="Times New Roman" w:cs="Times New Roman"/>
                <w:sz w:val="20"/>
                <w:szCs w:val="20"/>
              </w:rPr>
              <w:br/>
              <w:t>A tényállások fajtái, az általános törvényi tényállás szerkezete.</w:t>
            </w:r>
            <w:r>
              <w:rPr>
                <w:rFonts w:ascii="Times New Roman" w:hAnsi="Times New Roman" w:cs="Times New Roman"/>
                <w:sz w:val="20"/>
                <w:szCs w:val="20"/>
              </w:rPr>
              <w:br/>
              <w:t>A büntethetőségi akadályok.</w:t>
            </w:r>
            <w:r>
              <w:rPr>
                <w:rFonts w:ascii="Times New Roman" w:hAnsi="Times New Roman" w:cs="Times New Roman"/>
                <w:sz w:val="20"/>
                <w:szCs w:val="20"/>
              </w:rPr>
              <w:br/>
              <w:t>Az elkövetőkkel szemben alkalmazható szankciók.</w:t>
            </w:r>
            <w:r>
              <w:rPr>
                <w:rFonts w:ascii="Times New Roman" w:hAnsi="Times New Roman" w:cs="Times New Roman"/>
                <w:sz w:val="20"/>
                <w:szCs w:val="20"/>
              </w:rPr>
              <w:br/>
              <w:t xml:space="preserve">A rendőrség tevékenysége során előforduló főbb </w:t>
            </w:r>
            <w:r>
              <w:rPr>
                <w:rFonts w:ascii="Times New Roman" w:hAnsi="Times New Roman" w:cs="Times New Roman"/>
                <w:sz w:val="20"/>
                <w:szCs w:val="20"/>
              </w:rPr>
              <w:lastRenderedPageBreak/>
              <w:t>bűncselekmények köznapi értelmezése, gyakorlati jellemzői.</w:t>
            </w:r>
          </w:p>
        </w:tc>
      </w:tr>
      <w:tr w:rsidR="004C2997">
        <w:tblPrEx>
          <w:tblCellMar>
            <w:top w:w="0" w:type="dxa"/>
            <w:bottom w:w="0" w:type="dxa"/>
          </w:tblCellMar>
        </w:tblPrEx>
        <w:tc>
          <w:tcPr>
            <w:tcW w:w="483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5.4. Nyomozási alapismeretek</w:t>
            </w:r>
          </w:p>
        </w:tc>
        <w:tc>
          <w:tcPr>
            <w:tcW w:w="4831"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büntetőeljárás elvei.</w:t>
            </w:r>
            <w:r>
              <w:rPr>
                <w:rFonts w:ascii="Times New Roman" w:hAnsi="Times New Roman" w:cs="Times New Roman"/>
                <w:sz w:val="20"/>
                <w:szCs w:val="20"/>
              </w:rPr>
              <w:br/>
              <w:t>A büntetőügyekben eljáró hatóságok, az eljárásban résztvevő személyek.</w:t>
            </w:r>
            <w:r>
              <w:rPr>
                <w:rFonts w:ascii="Times New Roman" w:hAnsi="Times New Roman" w:cs="Times New Roman"/>
                <w:sz w:val="20"/>
                <w:szCs w:val="20"/>
              </w:rPr>
              <w:br/>
              <w:t>A büntetőeljárás szakaszai.</w:t>
            </w:r>
            <w:r>
              <w:rPr>
                <w:rFonts w:ascii="Times New Roman" w:hAnsi="Times New Roman" w:cs="Times New Roman"/>
                <w:sz w:val="20"/>
                <w:szCs w:val="20"/>
              </w:rPr>
              <w:br/>
              <w:t>A bűncselekmény nyomozása során alkalmazható krimináltechnikai eszközök.</w:t>
            </w:r>
            <w:r>
              <w:rPr>
                <w:rFonts w:ascii="Times New Roman" w:hAnsi="Times New Roman" w:cs="Times New Roman"/>
                <w:sz w:val="20"/>
                <w:szCs w:val="20"/>
              </w:rPr>
              <w:br/>
              <w:t>A büntetőeljárási cselekmények és az azokkal kapcsolatos krimináltaktikai ajánlások és módszerek.</w:t>
            </w: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EMELT SZINT</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820"/>
        <w:gridCol w:w="4819"/>
      </w:tblGrid>
      <w:tr w:rsidR="004C2997">
        <w:tblPrEx>
          <w:tblCellMar>
            <w:top w:w="0" w:type="dxa"/>
            <w:bottom w:w="0" w:type="dxa"/>
          </w:tblCellMar>
        </w:tblPrEx>
        <w:tc>
          <w:tcPr>
            <w:tcW w:w="4820" w:type="dxa"/>
            <w:vAlign w:val="center"/>
          </w:tcPr>
          <w:p w:rsidR="004C2997" w:rsidRDefault="004C2997">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Témakörök</w:t>
            </w:r>
          </w:p>
        </w:tc>
        <w:tc>
          <w:tcPr>
            <w:tcW w:w="4819" w:type="dxa"/>
            <w:vAlign w:val="center"/>
          </w:tcPr>
          <w:p w:rsidR="004C2997" w:rsidRDefault="004C2997">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Követelmények</w:t>
            </w:r>
          </w:p>
        </w:tc>
      </w:tr>
      <w:tr w:rsidR="004C2997" w:rsidTr="004C2997">
        <w:tblPrEx>
          <w:tblCellMar>
            <w:top w:w="0" w:type="dxa"/>
            <w:bottom w:w="0" w:type="dxa"/>
          </w:tblCellMar>
        </w:tblPrEx>
        <w:tc>
          <w:tcPr>
            <w:tcW w:w="9639" w:type="dxa"/>
            <w:gridSpan w:val="2"/>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1.</w:t>
            </w:r>
            <w:r>
              <w:rPr>
                <w:rFonts w:ascii="Times New Roman" w:hAnsi="Times New Roman" w:cs="Times New Roman"/>
                <w:sz w:val="20"/>
                <w:szCs w:val="20"/>
              </w:rPr>
              <w:t xml:space="preserve"> </w:t>
            </w:r>
            <w:r>
              <w:rPr>
                <w:rFonts w:ascii="Times New Roman" w:hAnsi="Times New Roman" w:cs="Times New Roman"/>
                <w:i/>
                <w:iCs/>
                <w:sz w:val="20"/>
                <w:szCs w:val="20"/>
              </w:rPr>
              <w:t>A rendészet alapjai</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1.1. Rendészet, rendészeti szervek</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rend, a közrend (belső rend) és a határrend.</w:t>
            </w:r>
            <w:r>
              <w:rPr>
                <w:rFonts w:ascii="Times New Roman" w:hAnsi="Times New Roman" w:cs="Times New Roman"/>
                <w:sz w:val="20"/>
                <w:szCs w:val="20"/>
              </w:rPr>
              <w:br/>
              <w:t>A biztonság, a nemzetbiztonság és a közbiztonság.</w:t>
            </w:r>
            <w:r>
              <w:rPr>
                <w:rFonts w:ascii="Times New Roman" w:hAnsi="Times New Roman" w:cs="Times New Roman"/>
                <w:sz w:val="20"/>
                <w:szCs w:val="20"/>
              </w:rPr>
              <w:br/>
              <w:t>A rendvédelem, a közrend és a közbiztonság védelme, az államhatár rendjének védelme.</w:t>
            </w:r>
            <w:r>
              <w:rPr>
                <w:rFonts w:ascii="Times New Roman" w:hAnsi="Times New Roman" w:cs="Times New Roman"/>
                <w:sz w:val="20"/>
                <w:szCs w:val="20"/>
              </w:rPr>
              <w:br/>
              <w:t>A katasztrófavédelem és a polgári védelem.</w:t>
            </w:r>
            <w:r>
              <w:rPr>
                <w:rFonts w:ascii="Times New Roman" w:hAnsi="Times New Roman" w:cs="Times New Roman"/>
                <w:sz w:val="20"/>
                <w:szCs w:val="20"/>
              </w:rPr>
              <w:br/>
              <w:t>A katasztrófák felosztása.</w:t>
            </w:r>
            <w:r>
              <w:rPr>
                <w:rFonts w:ascii="Times New Roman" w:hAnsi="Times New Roman" w:cs="Times New Roman"/>
                <w:sz w:val="20"/>
                <w:szCs w:val="20"/>
              </w:rPr>
              <w:br/>
              <w:t>A rendészet szervei.</w:t>
            </w:r>
            <w:r>
              <w:rPr>
                <w:rFonts w:ascii="Times New Roman" w:hAnsi="Times New Roman" w:cs="Times New Roman"/>
                <w:sz w:val="20"/>
                <w:szCs w:val="20"/>
              </w:rPr>
              <w:br/>
              <w:t>A rendészet alapfogalmainak bemutatása ábrák segítségével.</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1.2. A rendészeti szervek általános jellemzése</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rendészeti szervek működését meghatározó főbb jogszabályok és azok hatálya.</w:t>
            </w:r>
            <w:r>
              <w:rPr>
                <w:rFonts w:ascii="Times New Roman" w:hAnsi="Times New Roman" w:cs="Times New Roman"/>
                <w:sz w:val="20"/>
                <w:szCs w:val="20"/>
              </w:rPr>
              <w:br/>
              <w:t>A rendészeti szervek rendeltetése, jogállása és feladatai.</w:t>
            </w:r>
            <w:r>
              <w:rPr>
                <w:rFonts w:ascii="Times New Roman" w:hAnsi="Times New Roman" w:cs="Times New Roman"/>
                <w:sz w:val="20"/>
                <w:szCs w:val="20"/>
              </w:rPr>
              <w:br/>
              <w:t>A rendőrség, a katasztrófavédelem szervezeti felépítése, erői (személyi állománya) és eszközei.</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1.3. A rendészeti szervek kialakulása</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rendészeti szervek kialakulása és társadalmi háttere.</w:t>
            </w:r>
            <w:r>
              <w:rPr>
                <w:rFonts w:ascii="Times New Roman" w:hAnsi="Times New Roman" w:cs="Times New Roman"/>
                <w:sz w:val="20"/>
                <w:szCs w:val="20"/>
              </w:rPr>
              <w:br/>
              <w:t>A rendészeti szervek specializálódásának állomásai.</w:t>
            </w:r>
            <w:r>
              <w:rPr>
                <w:rFonts w:ascii="Times New Roman" w:hAnsi="Times New Roman" w:cs="Times New Roman"/>
                <w:sz w:val="20"/>
                <w:szCs w:val="20"/>
              </w:rPr>
              <w:br/>
              <w:t>A társadalmi környezet hatása a rendészeti szervek működésére.</w:t>
            </w:r>
            <w:r>
              <w:rPr>
                <w:rFonts w:ascii="Times New Roman" w:hAnsi="Times New Roman" w:cs="Times New Roman"/>
                <w:sz w:val="20"/>
                <w:szCs w:val="20"/>
              </w:rPr>
              <w:br/>
              <w:t>Kontinentális és amerikai típusú rendészeti szervek.</w:t>
            </w:r>
          </w:p>
        </w:tc>
      </w:tr>
      <w:tr w:rsidR="004C2997" w:rsidTr="004C2997">
        <w:tblPrEx>
          <w:tblCellMar>
            <w:top w:w="0" w:type="dxa"/>
            <w:bottom w:w="0" w:type="dxa"/>
          </w:tblCellMar>
        </w:tblPrEx>
        <w:tc>
          <w:tcPr>
            <w:tcW w:w="9639" w:type="dxa"/>
            <w:gridSpan w:val="2"/>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2.</w:t>
            </w:r>
            <w:r>
              <w:rPr>
                <w:rFonts w:ascii="Times New Roman" w:hAnsi="Times New Roman" w:cs="Times New Roman"/>
                <w:sz w:val="20"/>
                <w:szCs w:val="20"/>
              </w:rPr>
              <w:t xml:space="preserve"> </w:t>
            </w:r>
            <w:r>
              <w:rPr>
                <w:rFonts w:ascii="Times New Roman" w:hAnsi="Times New Roman" w:cs="Times New Roman"/>
                <w:i/>
                <w:iCs/>
                <w:sz w:val="20"/>
                <w:szCs w:val="20"/>
              </w:rPr>
              <w:t>A rendészeti szervek szakmai tevékenysége</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2.1. A szakmai tevékenység területei, az egyes szervek működése és irányítása</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rendészeti szervek szolgálati tagozódása, szakmai tevékenységének területei.</w:t>
            </w:r>
            <w:r>
              <w:rPr>
                <w:rFonts w:ascii="Times New Roman" w:hAnsi="Times New Roman" w:cs="Times New Roman"/>
                <w:sz w:val="20"/>
                <w:szCs w:val="20"/>
              </w:rPr>
              <w:br/>
              <w:t>Az egyes rendészeti szervek szolgálati tagozódásának és szakmai tevékenységi területeinek eltérései.</w:t>
            </w:r>
            <w:r>
              <w:rPr>
                <w:rFonts w:ascii="Times New Roman" w:hAnsi="Times New Roman" w:cs="Times New Roman"/>
                <w:sz w:val="20"/>
                <w:szCs w:val="20"/>
              </w:rPr>
              <w:br/>
              <w:t>A rendőrség, a katasztrófavédelem működésének általános elvei és szabályai.</w:t>
            </w:r>
            <w:r>
              <w:rPr>
                <w:rFonts w:ascii="Times New Roman" w:hAnsi="Times New Roman" w:cs="Times New Roman"/>
                <w:sz w:val="20"/>
                <w:szCs w:val="20"/>
              </w:rPr>
              <w:br/>
              <w:t>A rendészeti szervek irányítása és vezetése.</w:t>
            </w:r>
            <w:r>
              <w:rPr>
                <w:rFonts w:ascii="Times New Roman" w:hAnsi="Times New Roman" w:cs="Times New Roman"/>
                <w:sz w:val="20"/>
                <w:szCs w:val="20"/>
              </w:rPr>
              <w:br/>
              <w:t>Az irányítás és vezetés közötti különbségek.</w:t>
            </w:r>
            <w:r>
              <w:rPr>
                <w:rFonts w:ascii="Times New Roman" w:hAnsi="Times New Roman" w:cs="Times New Roman"/>
                <w:sz w:val="20"/>
                <w:szCs w:val="20"/>
              </w:rPr>
              <w:br/>
              <w:t>Az irányítás és a vezetés jogi eszközei.</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2.2. Intézkedések és kényszerítő eszközök</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rendőri intézkedések és alkalmazásuk alapvető szabályai.</w:t>
            </w:r>
            <w:r>
              <w:rPr>
                <w:rFonts w:ascii="Times New Roman" w:hAnsi="Times New Roman" w:cs="Times New Roman"/>
                <w:sz w:val="20"/>
                <w:szCs w:val="20"/>
              </w:rPr>
              <w:br/>
              <w:t>A kényszerítő eszközök és alkalmazásuk legfontosabb szabályai.</w:t>
            </w:r>
            <w:r>
              <w:rPr>
                <w:rFonts w:ascii="Times New Roman" w:hAnsi="Times New Roman" w:cs="Times New Roman"/>
                <w:sz w:val="20"/>
                <w:szCs w:val="20"/>
              </w:rPr>
              <w:br/>
              <w:t>Az intézkedések és az alapvető állampolgári jogok korlátozásának összefüggései.</w:t>
            </w:r>
            <w:r>
              <w:rPr>
                <w:rFonts w:ascii="Times New Roman" w:hAnsi="Times New Roman" w:cs="Times New Roman"/>
                <w:sz w:val="20"/>
                <w:szCs w:val="20"/>
              </w:rPr>
              <w:br/>
              <w:t>A kényszerítő eszközök együttes alkalmazásának lehetőségei és korlátai.</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2.3. A katasztrófák felosztása</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katasztrófa fogalma.</w:t>
            </w:r>
            <w:r>
              <w:rPr>
                <w:rFonts w:ascii="Times New Roman" w:hAnsi="Times New Roman" w:cs="Times New Roman"/>
                <w:sz w:val="20"/>
                <w:szCs w:val="20"/>
              </w:rPr>
              <w:br/>
              <w:t>Katasztrófák csoportosítása kiterjedésük és eredetük szerint.</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2.4. Együttműködés, kapcsolatok és szolgálati tevékenységek</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rendészeti szervek együttműködése, kapcsolata a társadalmi szervekkel, szervezetekkel, lakossággal és a </w:t>
            </w:r>
            <w:r>
              <w:rPr>
                <w:rFonts w:ascii="Times New Roman" w:hAnsi="Times New Roman" w:cs="Times New Roman"/>
                <w:sz w:val="20"/>
                <w:szCs w:val="20"/>
              </w:rPr>
              <w:lastRenderedPageBreak/>
              <w:t>civil kontroll.</w:t>
            </w:r>
            <w:r>
              <w:rPr>
                <w:rFonts w:ascii="Times New Roman" w:hAnsi="Times New Roman" w:cs="Times New Roman"/>
                <w:sz w:val="20"/>
                <w:szCs w:val="20"/>
              </w:rPr>
              <w:br/>
              <w:t>A nyilvánosság és a média szerepe a rendészeti szervek életében.</w:t>
            </w:r>
            <w:r>
              <w:rPr>
                <w:rFonts w:ascii="Times New Roman" w:hAnsi="Times New Roman" w:cs="Times New Roman"/>
                <w:sz w:val="20"/>
                <w:szCs w:val="20"/>
              </w:rPr>
              <w:br/>
              <w:t>A magyar és a tanulmányok során megismert külföldi rendészeti szervek filozófiája.</w:t>
            </w:r>
            <w:r>
              <w:rPr>
                <w:rFonts w:ascii="Times New Roman" w:hAnsi="Times New Roman" w:cs="Times New Roman"/>
                <w:sz w:val="20"/>
                <w:szCs w:val="20"/>
              </w:rPr>
              <w:br/>
              <w:t>A rendőrség szervei által alkalmazott szolgálati tevékenységek jellemzése.</w:t>
            </w:r>
            <w:r>
              <w:rPr>
                <w:rFonts w:ascii="Times New Roman" w:hAnsi="Times New Roman" w:cs="Times New Roman"/>
                <w:sz w:val="20"/>
                <w:szCs w:val="20"/>
              </w:rPr>
              <w:br/>
              <w:t>Az egyes szolgálati formák alkalmazásának eltérései a különböző szolgálati ágaknál.</w:t>
            </w:r>
            <w:r>
              <w:rPr>
                <w:rFonts w:ascii="Times New Roman" w:hAnsi="Times New Roman" w:cs="Times New Roman"/>
                <w:sz w:val="20"/>
                <w:szCs w:val="20"/>
              </w:rPr>
              <w:br/>
              <w:t>A katasztrófavédelmi szolgálati tevékenységek jellemzői háború esetén és békeidőben.</w:t>
            </w:r>
            <w:r>
              <w:rPr>
                <w:rFonts w:ascii="Times New Roman" w:hAnsi="Times New Roman" w:cs="Times New Roman"/>
                <w:sz w:val="20"/>
                <w:szCs w:val="20"/>
              </w:rPr>
              <w:br/>
              <w:t>A katasztrófavédelem tevékenysége az egyes katasztrófahelyzetekben.</w:t>
            </w:r>
          </w:p>
        </w:tc>
      </w:tr>
      <w:tr w:rsidR="004C2997" w:rsidTr="004C2997">
        <w:tblPrEx>
          <w:tblCellMar>
            <w:top w:w="0" w:type="dxa"/>
            <w:bottom w:w="0" w:type="dxa"/>
          </w:tblCellMar>
        </w:tblPrEx>
        <w:tc>
          <w:tcPr>
            <w:tcW w:w="9639" w:type="dxa"/>
            <w:gridSpan w:val="2"/>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lastRenderedPageBreak/>
              <w:t>3.</w:t>
            </w:r>
            <w:r>
              <w:rPr>
                <w:rFonts w:ascii="Times New Roman" w:hAnsi="Times New Roman" w:cs="Times New Roman"/>
                <w:sz w:val="20"/>
                <w:szCs w:val="20"/>
              </w:rPr>
              <w:t xml:space="preserve"> </w:t>
            </w:r>
            <w:r>
              <w:rPr>
                <w:rFonts w:ascii="Times New Roman" w:hAnsi="Times New Roman" w:cs="Times New Roman"/>
                <w:i/>
                <w:iCs/>
                <w:sz w:val="20"/>
                <w:szCs w:val="20"/>
              </w:rPr>
              <w:t>A rendészeti szervek funkcionális tevékenysége</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 A személyzeti, munkaügyi és szociális tevékenység</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személyzeti, munkaügyi és szociális tevékenység célja, feladatai.</w:t>
            </w:r>
            <w:r>
              <w:rPr>
                <w:rFonts w:ascii="Times New Roman" w:hAnsi="Times New Roman" w:cs="Times New Roman"/>
                <w:sz w:val="20"/>
                <w:szCs w:val="20"/>
              </w:rPr>
              <w:br/>
              <w:t>A rendészeti szervek tagjává válásának feltételei.</w:t>
            </w:r>
            <w:r>
              <w:rPr>
                <w:rFonts w:ascii="Times New Roman" w:hAnsi="Times New Roman" w:cs="Times New Roman"/>
                <w:sz w:val="20"/>
                <w:szCs w:val="20"/>
              </w:rPr>
              <w:br/>
              <w:t>A személyi állománnyal szemben támasztott társadalmi elvárások, jogi, szakmai és etikai követelmények.</w:t>
            </w:r>
            <w:r>
              <w:rPr>
                <w:rFonts w:ascii="Times New Roman" w:hAnsi="Times New Roman" w:cs="Times New Roman"/>
                <w:sz w:val="20"/>
                <w:szCs w:val="20"/>
              </w:rPr>
              <w:br/>
              <w:t>A rendészeti szervek tagjait megillető alapvető pénzügyi és anyagi járandóságok, szociális juttatások.</w:t>
            </w:r>
            <w:r>
              <w:rPr>
                <w:rFonts w:ascii="Times New Roman" w:hAnsi="Times New Roman" w:cs="Times New Roman"/>
                <w:sz w:val="20"/>
                <w:szCs w:val="20"/>
              </w:rPr>
              <w:br/>
              <w:t>A rendészeti szervek eltérő állományviszonyú tagjainak jogállása.</w:t>
            </w:r>
            <w:r>
              <w:rPr>
                <w:rFonts w:ascii="Times New Roman" w:hAnsi="Times New Roman" w:cs="Times New Roman"/>
                <w:sz w:val="20"/>
                <w:szCs w:val="20"/>
              </w:rPr>
              <w:br/>
              <w:t>Az eltérő állományviszony alapján a rendészeti szervek tagjait megillető juttatások.</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3.2. A szolgálattal összefüggő jogok és kötelességek</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személyi állomány szolgálatellátással összefüggő jogai és kötelességei.</w:t>
            </w:r>
            <w:r>
              <w:rPr>
                <w:rFonts w:ascii="Times New Roman" w:hAnsi="Times New Roman" w:cs="Times New Roman"/>
                <w:sz w:val="20"/>
                <w:szCs w:val="20"/>
              </w:rPr>
              <w:br/>
              <w:t>A személyi állománnyal szemben támasztott társadalmi elvárások, jogi, szakmai és etikai követelmények.</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 A környezet-, a munka- és egészségvédelem</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környezet-, a munka- és egészségvédelem célja és feladatai.</w:t>
            </w:r>
            <w:r>
              <w:rPr>
                <w:rFonts w:ascii="Times New Roman" w:hAnsi="Times New Roman" w:cs="Times New Roman"/>
                <w:sz w:val="20"/>
                <w:szCs w:val="20"/>
              </w:rPr>
              <w:br/>
              <w:t>Az elsősegélynyújtás alapelvei, az eszméletvesztés, mérgezés, vérzés, törés, égési sérülés elsődleges ellátásának gyakorlati feladatai, eszközei és azok alkalmazásának szabályai.</w:t>
            </w:r>
            <w:r>
              <w:rPr>
                <w:rFonts w:ascii="Times New Roman" w:hAnsi="Times New Roman" w:cs="Times New Roman"/>
                <w:sz w:val="20"/>
                <w:szCs w:val="20"/>
              </w:rPr>
              <w:br/>
              <w:t>A szolgálati baleset fogalma, teendők bekövetkezése esetén.</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3.4. A szolgálati érintkezés</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Rendfokozatok és állománycsoportok.</w:t>
            </w:r>
            <w:r>
              <w:rPr>
                <w:rFonts w:ascii="Times New Roman" w:hAnsi="Times New Roman" w:cs="Times New Roman"/>
                <w:sz w:val="20"/>
                <w:szCs w:val="20"/>
              </w:rPr>
              <w:br/>
              <w:t>A rendfokozati és állományjelzések.</w:t>
            </w:r>
            <w:r>
              <w:rPr>
                <w:rFonts w:ascii="Times New Roman" w:hAnsi="Times New Roman" w:cs="Times New Roman"/>
                <w:sz w:val="20"/>
                <w:szCs w:val="20"/>
              </w:rPr>
              <w:br/>
              <w:t>Fegyelmi és függőségi viszonyok.</w:t>
            </w:r>
            <w:r>
              <w:rPr>
                <w:rFonts w:ascii="Times New Roman" w:hAnsi="Times New Roman" w:cs="Times New Roman"/>
                <w:sz w:val="20"/>
                <w:szCs w:val="20"/>
              </w:rPr>
              <w:br/>
              <w:t>Fegyelemsértés, fegyelmi büntetések.</w:t>
            </w:r>
            <w:r>
              <w:rPr>
                <w:rFonts w:ascii="Times New Roman" w:hAnsi="Times New Roman" w:cs="Times New Roman"/>
                <w:sz w:val="20"/>
                <w:szCs w:val="20"/>
              </w:rPr>
              <w:br/>
              <w:t>Jutalmazás és elismerés a rendészeti szerveknél.</w:t>
            </w:r>
            <w:r>
              <w:rPr>
                <w:rFonts w:ascii="Times New Roman" w:hAnsi="Times New Roman" w:cs="Times New Roman"/>
                <w:sz w:val="20"/>
                <w:szCs w:val="20"/>
              </w:rPr>
              <w:br/>
              <w:t>A szolgálati érintkezés főbb szabályai.</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3.5. Az alaki magatartás</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alakiság és alakiasság jelentősége.</w:t>
            </w:r>
            <w:r>
              <w:rPr>
                <w:rFonts w:ascii="Times New Roman" w:hAnsi="Times New Roman" w:cs="Times New Roman"/>
                <w:sz w:val="20"/>
                <w:szCs w:val="20"/>
              </w:rPr>
              <w:br/>
              <w:t>A főbb alaki elvárások és követelmények.</w:t>
            </w:r>
            <w:r>
              <w:rPr>
                <w:rFonts w:ascii="Times New Roman" w:hAnsi="Times New Roman" w:cs="Times New Roman"/>
                <w:sz w:val="20"/>
                <w:szCs w:val="20"/>
              </w:rPr>
              <w:br/>
              <w:t>Egyes alaki mozgásmódok.</w:t>
            </w:r>
          </w:p>
        </w:tc>
      </w:tr>
      <w:tr w:rsidR="004C2997" w:rsidTr="004C2997">
        <w:tblPrEx>
          <w:tblCellMar>
            <w:top w:w="0" w:type="dxa"/>
            <w:bottom w:w="0" w:type="dxa"/>
          </w:tblCellMar>
        </w:tblPrEx>
        <w:tc>
          <w:tcPr>
            <w:tcW w:w="9639" w:type="dxa"/>
            <w:gridSpan w:val="2"/>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4.</w:t>
            </w:r>
            <w:r>
              <w:rPr>
                <w:rFonts w:ascii="Times New Roman" w:hAnsi="Times New Roman" w:cs="Times New Roman"/>
                <w:sz w:val="20"/>
                <w:szCs w:val="20"/>
              </w:rPr>
              <w:t xml:space="preserve"> </w:t>
            </w:r>
            <w:r>
              <w:rPr>
                <w:rFonts w:ascii="Times New Roman" w:hAnsi="Times New Roman" w:cs="Times New Roman"/>
                <w:i/>
                <w:iCs/>
                <w:sz w:val="20"/>
                <w:szCs w:val="20"/>
              </w:rPr>
              <w:t>Tereptan</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4.1. A tereptan alapjai</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terep fogalma, fajtái, jellemzői, a világtájak meghatározása eszközökkel, illetve eszköz nélkül.</w:t>
            </w:r>
            <w:r>
              <w:rPr>
                <w:rFonts w:ascii="Times New Roman" w:hAnsi="Times New Roman" w:cs="Times New Roman"/>
                <w:sz w:val="20"/>
                <w:szCs w:val="20"/>
              </w:rPr>
              <w:br/>
              <w:t>A térkép fogalma, fajtái, méretaránya, a katonai térképek jellemzői.</w:t>
            </w:r>
            <w:r>
              <w:rPr>
                <w:rFonts w:ascii="Times New Roman" w:hAnsi="Times New Roman" w:cs="Times New Roman"/>
                <w:sz w:val="20"/>
                <w:szCs w:val="20"/>
              </w:rPr>
              <w:br/>
              <w:t>A térképi jelek és jelzések.</w:t>
            </w:r>
            <w:r>
              <w:rPr>
                <w:rFonts w:ascii="Times New Roman" w:hAnsi="Times New Roman" w:cs="Times New Roman"/>
                <w:sz w:val="20"/>
                <w:szCs w:val="20"/>
              </w:rPr>
              <w:br/>
              <w:t>A térkép tájolása.</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4.2. Terepen történő tájékozódás</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tájékozódás fogalma, szerepe az ember és a rendészeti szervek tevékenységében.</w:t>
            </w:r>
            <w:r>
              <w:rPr>
                <w:rFonts w:ascii="Times New Roman" w:hAnsi="Times New Roman" w:cs="Times New Roman"/>
                <w:sz w:val="20"/>
                <w:szCs w:val="20"/>
              </w:rPr>
              <w:br/>
              <w:t>Az iránytű, a tájoló és a távcső használata.</w:t>
            </w:r>
            <w:r>
              <w:rPr>
                <w:rFonts w:ascii="Times New Roman" w:hAnsi="Times New Roman" w:cs="Times New Roman"/>
                <w:sz w:val="20"/>
                <w:szCs w:val="20"/>
              </w:rPr>
              <w:br/>
              <w:t>Modern navigációs eszközök, azok alkalmazási területei.</w:t>
            </w:r>
            <w:r>
              <w:rPr>
                <w:rFonts w:ascii="Times New Roman" w:hAnsi="Times New Roman" w:cs="Times New Roman"/>
                <w:sz w:val="20"/>
                <w:szCs w:val="20"/>
              </w:rPr>
              <w:br/>
              <w:t>A közúthálózat számozása, a közúti gépjárművek államjelzései, a magyar rendszámtáblák ismertető jegyei.</w:t>
            </w:r>
            <w:r>
              <w:rPr>
                <w:rFonts w:ascii="Times New Roman" w:hAnsi="Times New Roman" w:cs="Times New Roman"/>
                <w:sz w:val="20"/>
                <w:szCs w:val="20"/>
              </w:rPr>
              <w:br/>
            </w:r>
            <w:r>
              <w:rPr>
                <w:rFonts w:ascii="Times New Roman" w:hAnsi="Times New Roman" w:cs="Times New Roman"/>
                <w:sz w:val="20"/>
                <w:szCs w:val="20"/>
              </w:rPr>
              <w:lastRenderedPageBreak/>
              <w:t>Az eltérő rendszámtáblák kiadásának feltételei.</w:t>
            </w:r>
          </w:p>
        </w:tc>
      </w:tr>
      <w:tr w:rsidR="004C2997" w:rsidTr="004C2997">
        <w:tblPrEx>
          <w:tblCellMar>
            <w:top w:w="0" w:type="dxa"/>
            <w:bottom w:w="0" w:type="dxa"/>
          </w:tblCellMar>
        </w:tblPrEx>
        <w:tc>
          <w:tcPr>
            <w:tcW w:w="9639" w:type="dxa"/>
            <w:gridSpan w:val="2"/>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lastRenderedPageBreak/>
              <w:t>5.</w:t>
            </w:r>
            <w:r>
              <w:rPr>
                <w:rFonts w:ascii="Times New Roman" w:hAnsi="Times New Roman" w:cs="Times New Roman"/>
                <w:sz w:val="20"/>
                <w:szCs w:val="20"/>
              </w:rPr>
              <w:t xml:space="preserve"> </w:t>
            </w:r>
            <w:r>
              <w:rPr>
                <w:rFonts w:ascii="Times New Roman" w:hAnsi="Times New Roman" w:cs="Times New Roman"/>
                <w:i/>
                <w:iCs/>
                <w:sz w:val="20"/>
                <w:szCs w:val="20"/>
              </w:rPr>
              <w:t>A jogellenes cselekményekkel szembeni fellépés</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5.1. A jogellenes cselekmények</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jogellenes cselekmények értelmezése, felosztása, a velük szembeni fellépést szabályozó jogszabályok.</w:t>
            </w:r>
            <w:r>
              <w:rPr>
                <w:rFonts w:ascii="Times New Roman" w:hAnsi="Times New Roman" w:cs="Times New Roman"/>
                <w:sz w:val="20"/>
                <w:szCs w:val="20"/>
              </w:rPr>
              <w:br/>
              <w:t>A jogértelmezés fogalma, módszerei.</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Szabálysértési alapismeretek</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szabálysértés fogalma, elkövetői, a felróhatóság és a felróhatósági akadályok, az elkövetőkkel szemben alkalmazható szabálysértési szankciók.</w:t>
            </w:r>
            <w:r>
              <w:rPr>
                <w:rFonts w:ascii="Times New Roman" w:hAnsi="Times New Roman" w:cs="Times New Roman"/>
                <w:sz w:val="20"/>
                <w:szCs w:val="20"/>
              </w:rPr>
              <w:br/>
              <w:t>Az egyes szabálysértési szankciók halmazati alkalmazása.</w:t>
            </w:r>
            <w:r>
              <w:rPr>
                <w:rFonts w:ascii="Times New Roman" w:hAnsi="Times New Roman" w:cs="Times New Roman"/>
                <w:sz w:val="20"/>
                <w:szCs w:val="20"/>
              </w:rPr>
              <w:br/>
              <w:t>A szabálysértési ügyekben eljáró hatóságok, az eljárásban résztvevő fő- és mellékszemélyek.</w:t>
            </w:r>
            <w:r>
              <w:rPr>
                <w:rFonts w:ascii="Times New Roman" w:hAnsi="Times New Roman" w:cs="Times New Roman"/>
                <w:sz w:val="20"/>
                <w:szCs w:val="20"/>
              </w:rPr>
              <w:br/>
              <w:t>A szabálysértési eljárás szakaszai, lefolytatásának rendje, főbb szabályai.</w:t>
            </w:r>
            <w:r>
              <w:rPr>
                <w:rFonts w:ascii="Times New Roman" w:hAnsi="Times New Roman" w:cs="Times New Roman"/>
                <w:sz w:val="20"/>
                <w:szCs w:val="20"/>
              </w:rPr>
              <w:br/>
              <w:t>Védelem, képviselet, jogorvoslat.</w:t>
            </w:r>
            <w:r>
              <w:rPr>
                <w:rFonts w:ascii="Times New Roman" w:hAnsi="Times New Roman" w:cs="Times New Roman"/>
                <w:sz w:val="20"/>
                <w:szCs w:val="20"/>
              </w:rPr>
              <w:br/>
              <w:t>Kényszerintézkedések és azok alkalmazásának szabályai.</w:t>
            </w:r>
            <w:r>
              <w:rPr>
                <w:rFonts w:ascii="Times New Roman" w:hAnsi="Times New Roman" w:cs="Times New Roman"/>
                <w:sz w:val="20"/>
                <w:szCs w:val="20"/>
              </w:rPr>
              <w:br/>
              <w:t>A rendőrség tevékenysége során előforduló főbb szabálysértési tényállások köznapi értelmezése, gyakorlati jellemzői.</w:t>
            </w:r>
            <w:r>
              <w:rPr>
                <w:rFonts w:ascii="Times New Roman" w:hAnsi="Times New Roman" w:cs="Times New Roman"/>
                <w:sz w:val="20"/>
                <w:szCs w:val="20"/>
              </w:rPr>
              <w:br/>
              <w:t>Kettős alakzatú jogsértések elhatárolása.</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5.3. Bűncselekményi alapismeretek</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bűncselekmény fogalma, felosztása, elkövetői.</w:t>
            </w:r>
            <w:r>
              <w:rPr>
                <w:rFonts w:ascii="Times New Roman" w:hAnsi="Times New Roman" w:cs="Times New Roman"/>
                <w:sz w:val="20"/>
                <w:szCs w:val="20"/>
              </w:rPr>
              <w:br/>
              <w:t>A bűncselekmény kialakulásának feltételei (társadalomra veszélyesség, bűnösség, büntethetőség, hatóképesség).</w:t>
            </w:r>
            <w:r>
              <w:rPr>
                <w:rFonts w:ascii="Times New Roman" w:hAnsi="Times New Roman" w:cs="Times New Roman"/>
                <w:sz w:val="20"/>
                <w:szCs w:val="20"/>
              </w:rPr>
              <w:br/>
              <w:t>A tényállás fogalma, fajtái.</w:t>
            </w:r>
            <w:r>
              <w:rPr>
                <w:rFonts w:ascii="Times New Roman" w:hAnsi="Times New Roman" w:cs="Times New Roman"/>
                <w:sz w:val="20"/>
                <w:szCs w:val="20"/>
              </w:rPr>
              <w:br/>
              <w:t>Az általános törvényi tényállás szerkezete, egyes elemeinek meghatározása, szerepük a bűncselekmény létrejöttében.</w:t>
            </w:r>
            <w:r>
              <w:rPr>
                <w:rFonts w:ascii="Times New Roman" w:hAnsi="Times New Roman" w:cs="Times New Roman"/>
                <w:sz w:val="20"/>
                <w:szCs w:val="20"/>
              </w:rPr>
              <w:br/>
              <w:t>A büntethetőségi akadályok rendszere.</w:t>
            </w:r>
            <w:r>
              <w:rPr>
                <w:rFonts w:ascii="Times New Roman" w:hAnsi="Times New Roman" w:cs="Times New Roman"/>
                <w:sz w:val="20"/>
                <w:szCs w:val="20"/>
              </w:rPr>
              <w:br/>
              <w:t>Az elkövetőkkel szemben alkalmazható szankciók.</w:t>
            </w:r>
            <w:r>
              <w:rPr>
                <w:rFonts w:ascii="Times New Roman" w:hAnsi="Times New Roman" w:cs="Times New Roman"/>
                <w:sz w:val="20"/>
                <w:szCs w:val="20"/>
              </w:rPr>
              <w:br/>
              <w:t>A mediáció és az elterelés.</w:t>
            </w:r>
            <w:r>
              <w:rPr>
                <w:rFonts w:ascii="Times New Roman" w:hAnsi="Times New Roman" w:cs="Times New Roman"/>
                <w:sz w:val="20"/>
                <w:szCs w:val="20"/>
              </w:rPr>
              <w:br/>
              <w:t>A rendőrség tevékenysége során előforduló főbb bűncselekmények köznapi értelmezése, gyakorlati jellemzői.</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Az elkövető és az áldozat</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elkövetővé és az áldozattá válás okai.</w:t>
            </w:r>
            <w:r>
              <w:rPr>
                <w:rFonts w:ascii="Times New Roman" w:hAnsi="Times New Roman" w:cs="Times New Roman"/>
                <w:sz w:val="20"/>
                <w:szCs w:val="20"/>
              </w:rPr>
              <w:br/>
              <w:t>A személyiség fejlődés és az elkövetővé válás összefüggései.</w:t>
            </w:r>
            <w:r>
              <w:rPr>
                <w:rFonts w:ascii="Times New Roman" w:hAnsi="Times New Roman" w:cs="Times New Roman"/>
                <w:sz w:val="20"/>
                <w:szCs w:val="20"/>
              </w:rPr>
              <w:br/>
              <w:t>A viktimológia fogalma, kutatási területei.</w:t>
            </w:r>
            <w:r>
              <w:rPr>
                <w:rFonts w:ascii="Times New Roman" w:hAnsi="Times New Roman" w:cs="Times New Roman"/>
                <w:sz w:val="20"/>
                <w:szCs w:val="20"/>
              </w:rPr>
              <w:br/>
              <w:t>Áldozatvédelem és az ezzel kapcsolatos állami feladatok.</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Az egyes bűncselekmény típusok kriminológiai jellemzői</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személy elleni, a közlekedési, a házasság, család, ifjúság, nemi erkölcs elleni, valamint a vagyon elleni bűncselekmények kriminológiai jellemzői.</w:t>
            </w:r>
            <w:r>
              <w:rPr>
                <w:rFonts w:ascii="Times New Roman" w:hAnsi="Times New Roman" w:cs="Times New Roman"/>
                <w:sz w:val="20"/>
                <w:szCs w:val="20"/>
              </w:rPr>
              <w:br/>
              <w:t>Modern bűnözési jelenségek, a nagyvárosi bűnözés formái.</w:t>
            </w:r>
            <w:r>
              <w:rPr>
                <w:rFonts w:ascii="Times New Roman" w:hAnsi="Times New Roman" w:cs="Times New Roman"/>
                <w:sz w:val="20"/>
                <w:szCs w:val="20"/>
              </w:rPr>
              <w:br/>
              <w:t>A szervezett bűnözés és a bűnszervezetek működésének jellemzői.</w:t>
            </w:r>
            <w:r>
              <w:rPr>
                <w:rFonts w:ascii="Times New Roman" w:hAnsi="Times New Roman" w:cs="Times New Roman"/>
                <w:sz w:val="20"/>
                <w:szCs w:val="20"/>
              </w:rPr>
              <w:br/>
              <w:t>A terrorizmus jellemzői, a terrorizmus és a szervezett bűnözés kapcsolata.</w:t>
            </w:r>
          </w:p>
        </w:tc>
      </w:tr>
      <w:tr w:rsidR="004C2997">
        <w:tblPrEx>
          <w:tblCellMar>
            <w:top w:w="0" w:type="dxa"/>
            <w:bottom w:w="0" w:type="dxa"/>
          </w:tblCellMar>
        </w:tblPrEx>
        <w:tc>
          <w:tcPr>
            <w:tcW w:w="4820"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5.6. Nyomozási alapismeretek</w:t>
            </w:r>
          </w:p>
        </w:tc>
        <w:tc>
          <w:tcPr>
            <w:tcW w:w="4819"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büntetőeljárás elvei.</w:t>
            </w:r>
            <w:r>
              <w:rPr>
                <w:rFonts w:ascii="Times New Roman" w:hAnsi="Times New Roman" w:cs="Times New Roman"/>
                <w:sz w:val="20"/>
                <w:szCs w:val="20"/>
              </w:rPr>
              <w:br/>
              <w:t>A büntetőügyekben eljáró hatóságok, az eljárásban résztvevő fő- és mellékszemélyek.</w:t>
            </w:r>
            <w:r>
              <w:rPr>
                <w:rFonts w:ascii="Times New Roman" w:hAnsi="Times New Roman" w:cs="Times New Roman"/>
                <w:sz w:val="20"/>
                <w:szCs w:val="20"/>
              </w:rPr>
              <w:br/>
              <w:t>A büntetőeljárás szakaszai.</w:t>
            </w:r>
            <w:r>
              <w:rPr>
                <w:rFonts w:ascii="Times New Roman" w:hAnsi="Times New Roman" w:cs="Times New Roman"/>
                <w:sz w:val="20"/>
                <w:szCs w:val="20"/>
              </w:rPr>
              <w:br/>
              <w:t>Jogorvoslati lehetőségek a büntetőeljárás során.</w:t>
            </w:r>
            <w:r>
              <w:rPr>
                <w:rFonts w:ascii="Times New Roman" w:hAnsi="Times New Roman" w:cs="Times New Roman"/>
                <w:sz w:val="20"/>
                <w:szCs w:val="20"/>
              </w:rPr>
              <w:br/>
              <w:t>A bűncselekmény nyomozása során alkalmazható krimináltechnikai eszközök.</w:t>
            </w:r>
            <w:r>
              <w:rPr>
                <w:rFonts w:ascii="Times New Roman" w:hAnsi="Times New Roman" w:cs="Times New Roman"/>
                <w:sz w:val="20"/>
                <w:szCs w:val="20"/>
              </w:rPr>
              <w:br/>
              <w:t>A kriminalisztikai azonosítás fogalma, menete, módszerei, jelentősége.</w:t>
            </w:r>
            <w:r>
              <w:rPr>
                <w:rFonts w:ascii="Times New Roman" w:hAnsi="Times New Roman" w:cs="Times New Roman"/>
                <w:sz w:val="20"/>
                <w:szCs w:val="20"/>
              </w:rPr>
              <w:br/>
              <w:t>Nyomok fogalma, csoportosítása, felkutatásuk és rögzítésük módszerei.</w:t>
            </w:r>
            <w:r>
              <w:rPr>
                <w:rFonts w:ascii="Times New Roman" w:hAnsi="Times New Roman" w:cs="Times New Roman"/>
                <w:sz w:val="20"/>
                <w:szCs w:val="20"/>
              </w:rPr>
              <w:br/>
              <w:t>A büntetőeljárási cselekmények és az azokkal kapcsolatos krimináltaktikai ajánlások és módszerek.</w:t>
            </w: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rPr>
          <w:rFonts w:ascii="Times New Roman" w:hAnsi="Times New Roman" w:cs="Times New Roman"/>
          <w:sz w:val="24"/>
          <w:szCs w:val="24"/>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A KATONAI ALAPISMERETEK</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VIZSGATÁRGY ÁLTALÁNOS KÖVETELMÉNYEI</w:t>
      </w:r>
    </w:p>
    <w:p w:rsidR="004C2997" w:rsidRDefault="004C2997" w:rsidP="004C2997">
      <w:pPr>
        <w:autoSpaceDE w:val="0"/>
        <w:autoSpaceDN w:val="0"/>
        <w:adjustRightInd w:val="0"/>
        <w:spacing w:after="0" w:line="240" w:lineRule="auto"/>
        <w:rPr>
          <w:rFonts w:ascii="Times New Roman" w:hAnsi="Times New Roman" w:cs="Times New Roman"/>
          <w:sz w:val="24"/>
          <w:szCs w:val="24"/>
        </w:rPr>
      </w:pPr>
    </w:p>
    <w:p w:rsidR="004C2997" w:rsidRDefault="004C2997" w:rsidP="004C299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Középszinten: írásbeli, szóbeli</w:t>
      </w:r>
    </w:p>
    <w:p w:rsidR="004C2997" w:rsidRDefault="004C2997" w:rsidP="004C299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Emelt szinten: írásbeli, szóbeli</w:t>
      </w:r>
    </w:p>
    <w:p w:rsidR="004C2997" w:rsidRDefault="004C2997" w:rsidP="004C299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Emelt szinten a szóbeli feleltetés időtartama 30 percnél nem lehet több.</w:t>
      </w:r>
    </w:p>
    <w:p w:rsidR="004C2997" w:rsidRDefault="004C2997" w:rsidP="004C2997">
      <w:pPr>
        <w:widowControl w:val="0"/>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katonai alapismeretek érettségi vizsga célja</w:t>
      </w:r>
    </w:p>
    <w:p w:rsidR="004C2997" w:rsidRDefault="004C2997" w:rsidP="004C299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 azt hivatott megállapítani, hogy a vizsgázó:</w:t>
      </w:r>
    </w:p>
    <w:p w:rsidR="004C2997" w:rsidRDefault="004C2997" w:rsidP="004C2997">
      <w:pPr>
        <w:widowControl w:val="0"/>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katonai terminológia szakszerű alkalmazására;</w:t>
      </w:r>
    </w:p>
    <w:p w:rsidR="004C2997" w:rsidRDefault="004C2997" w:rsidP="004C2997">
      <w:pPr>
        <w:widowControl w:val="0"/>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rendelkezésre bocsátott források használatára és értékelésére, abból megfelelő következtetések levonására;</w:t>
      </w:r>
    </w:p>
    <w:p w:rsidR="004C2997" w:rsidRDefault="004C2997" w:rsidP="004C2997">
      <w:pPr>
        <w:widowControl w:val="0"/>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hazánk biztonságpolitikai környezetét meghatározó tényezők és összefüggések feltárására, bemutatására;</w:t>
      </w:r>
    </w:p>
    <w:p w:rsidR="004C2997" w:rsidRDefault="004C2997" w:rsidP="004C2997">
      <w:pPr>
        <w:widowControl w:val="0"/>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NATO-ra jellemző, a tagállamok teljes körű szuverenitását figyelembe vevő, kormányközi alapon történő működés és döntéshozatal megértésére;</w:t>
      </w:r>
    </w:p>
    <w:p w:rsidR="004C2997" w:rsidRDefault="004C2997" w:rsidP="004C2997">
      <w:pPr>
        <w:widowControl w:val="0"/>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az Európai Unió kialakulási folyamatát, közös kül- és biztonságpolitikáját;</w:t>
      </w:r>
    </w:p>
    <w:p w:rsidR="004C2997" w:rsidRDefault="004C2997" w:rsidP="004C2997">
      <w:pPr>
        <w:widowControl w:val="0"/>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bemutatni a Magyar Honvédség felépítését, külföldi szerepvállalását a szövetségi feladatok rendszerében;</w:t>
      </w:r>
    </w:p>
    <w:p w:rsidR="004C2997" w:rsidRDefault="004C2997" w:rsidP="004C2997">
      <w:pPr>
        <w:widowControl w:val="0"/>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megbízhatóan végrehajtani a térképismeret, valamint a terepen történő tájékozódás alapműveleteit;</w:t>
      </w:r>
    </w:p>
    <w:p w:rsidR="004C2997" w:rsidRDefault="004C2997" w:rsidP="004C2997">
      <w:pPr>
        <w:widowControl w:val="0"/>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Magyarország honvédelmi rendszerének felépítésével és működésével kapcsolatos szabályzók lényegi elemeit, az alaki felkészítés, valamint az egészségügyi ismeretek gyakorlati feladatait;</w:t>
      </w:r>
    </w:p>
    <w:p w:rsidR="004C2997" w:rsidRDefault="004C2997" w:rsidP="004C2997">
      <w:pPr>
        <w:widowControl w:val="0"/>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vannak-e reális elképzelései arról, melyek azok az új feladatok és új kihívások, amelyekkel a honvédelemért dolgozók következő nemzedékének kell majd megbirkóznia;</w:t>
      </w:r>
    </w:p>
    <w:p w:rsidR="004C2997" w:rsidRDefault="004C2997" w:rsidP="004C2997">
      <w:pPr>
        <w:widowControl w:val="0"/>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kialakult-e benne valós kép arról, hogy a katonai feladatok magas szintű elsajátításához a későbbiekben még miről kell majd tanulniuk, illetve milyen gyakorlati képességekre és tudásra kell szert tenniük.</w:t>
      </w:r>
    </w:p>
    <w:p w:rsidR="004C2997" w:rsidRDefault="004C2997" w:rsidP="004C2997">
      <w:pPr>
        <w:widowControl w:val="0"/>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középszintű vizsgán a diákoknak az egyszerűbb ismeretszerzési eljárásokról, a rendszerezés és alkalmazás alapvető formáiról kell számot adniuk. A vizsgakövetelményekben megfogalmazott témakörök lényegi ismeretanyagának reprodukálása, a fontosabb összefüggések felismerése, a katonai terminológia használata, a gyakorlati ismeretek elsajátítása és az érettségin történő alkalmazása a követelmény.</w:t>
      </w:r>
    </w:p>
    <w:p w:rsidR="004C2997" w:rsidRDefault="004C2997" w:rsidP="004C299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emelt szintű vizsga elsősorban a katonai felsőoktatásba készülő diákok képességeit és ismereteit vizsgálja, ahol a vizsgázótól a középszintű követelményeket meghaladó bonyolultabb ismeretszerzési eljárásokat, kifejezőkészséget, összetettebb összehasonlítási és elemzési szempontokat követel meg, valamint a tények és az adatok tágabb körét kéri számon.</w:t>
      </w:r>
    </w:p>
    <w:p w:rsidR="004C2997" w:rsidRDefault="004C2997" w:rsidP="004C2997">
      <w:pPr>
        <w:widowControl w:val="0"/>
        <w:autoSpaceDE w:val="0"/>
        <w:autoSpaceDN w:val="0"/>
        <w:adjustRightInd w:val="0"/>
        <w:spacing w:after="0" w:line="240" w:lineRule="auto"/>
        <w:rPr>
          <w:rFonts w:ascii="Times New Roman" w:hAnsi="Times New Roman" w:cs="Times New Roman"/>
          <w:sz w:val="20"/>
          <w:szCs w:val="20"/>
        </w:rPr>
      </w:pPr>
    </w:p>
    <w:p w:rsidR="004C2997" w:rsidRDefault="004C2997" w:rsidP="004C2997">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widowControl w:val="0"/>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KÖZÉPSZINT</w:t>
      </w:r>
    </w:p>
    <w:p w:rsidR="004C2997" w:rsidRDefault="004C2997" w:rsidP="004C2997">
      <w:pPr>
        <w:widowControl w:val="0"/>
        <w:autoSpaceDE w:val="0"/>
        <w:autoSpaceDN w:val="0"/>
        <w:adjustRightInd w:val="0"/>
        <w:spacing w:after="0" w:line="240" w:lineRule="auto"/>
        <w:rPr>
          <w:rFonts w:ascii="Times New Roman" w:hAnsi="Times New Roman" w:cs="Times New Roman"/>
          <w:sz w:val="20"/>
          <w:szCs w:val="20"/>
        </w:rPr>
      </w:pPr>
    </w:p>
    <w:tbl>
      <w:tblPr>
        <w:tblW w:w="0" w:type="auto"/>
        <w:tblInd w:w="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10065"/>
      </w:tblGrid>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Témakörök</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 Magyarország biztonságpolitikai környezete</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1.1. Hazánkat fenyegető katonai és nem katonai kockázatok.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1.2. A biztonsági kihívás fogalma és a biztonsági kihívások típusai, biológia hadviselés kérdésköre.</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1.3. A NATO létrejötte, fontosabb szervei és feladataik.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1.4. Az EU létrejötte, biztonság- és védelempolitikája.</w:t>
            </w:r>
          </w:p>
          <w:p w:rsidR="004C2997" w:rsidRDefault="004C2997">
            <w:pPr>
              <w:widowControl w:val="0"/>
              <w:autoSpaceDE w:val="0"/>
              <w:autoSpaceDN w:val="0"/>
              <w:adjustRightInd w:val="0"/>
              <w:spacing w:before="40" w:after="20" w:line="240" w:lineRule="auto"/>
              <w:ind w:left="386"/>
              <w:rPr>
                <w:rFonts w:ascii="Myriad Pro" w:hAnsi="Myriad Pro" w:cs="Myriad Pro"/>
                <w:sz w:val="20"/>
                <w:szCs w:val="20"/>
              </w:rPr>
            </w:pPr>
            <w:r>
              <w:rPr>
                <w:rFonts w:ascii="Times New Roman" w:hAnsi="Times New Roman" w:cs="Times New Roman"/>
                <w:sz w:val="20"/>
                <w:szCs w:val="20"/>
              </w:rPr>
              <w:t>1.5. Az ENSZ létrejötte, szervezetei, tevékenysége a válságövezetekben.</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 A Magyar Honvédség felépítése, a katonai szervezetek jellemzői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2.1. A Magyar Honvédség feladatai.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2.2. A raj, a szakasz és a század felépítése.</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2.3. A harci erők általános feladatai.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2.4. A harci támogató erők általános feladatai.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2.5. A harci kiszolgáló-támogató erők általános jellemzői.</w:t>
            </w:r>
          </w:p>
          <w:p w:rsidR="004C2997" w:rsidRDefault="004C2997">
            <w:pPr>
              <w:widowControl w:val="0"/>
              <w:autoSpaceDE w:val="0"/>
              <w:autoSpaceDN w:val="0"/>
              <w:adjustRightInd w:val="0"/>
              <w:spacing w:before="40" w:after="20" w:line="240" w:lineRule="auto"/>
              <w:ind w:left="386"/>
              <w:rPr>
                <w:rFonts w:ascii="Myriad Pro" w:hAnsi="Myriad Pro" w:cs="Myriad Pro"/>
                <w:sz w:val="20"/>
                <w:szCs w:val="20"/>
              </w:rPr>
            </w:pPr>
            <w:r>
              <w:rPr>
                <w:rFonts w:ascii="Times New Roman" w:hAnsi="Times New Roman" w:cs="Times New Roman"/>
                <w:sz w:val="20"/>
                <w:szCs w:val="20"/>
              </w:rPr>
              <w:t>2.6. A szerződéses katonák kiképzési rendszerének elemei.</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A modern háborúk jellemzői, különleges egységek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3.1. A modern háborúk jellemző vonásai.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lastRenderedPageBreak/>
              <w:t>3.2. A különleges egységek jellemzői és feladatai.</w:t>
            </w:r>
          </w:p>
          <w:p w:rsidR="004C2997" w:rsidRDefault="004C2997">
            <w:pPr>
              <w:widowControl w:val="0"/>
              <w:autoSpaceDE w:val="0"/>
              <w:autoSpaceDN w:val="0"/>
              <w:adjustRightInd w:val="0"/>
              <w:spacing w:before="40" w:after="20" w:line="240" w:lineRule="auto"/>
              <w:ind w:left="386"/>
              <w:rPr>
                <w:rFonts w:ascii="Myriad Pro" w:hAnsi="Myriad Pro" w:cs="Myriad Pro"/>
                <w:sz w:val="20"/>
                <w:szCs w:val="20"/>
              </w:rPr>
            </w:pPr>
            <w:r>
              <w:rPr>
                <w:rFonts w:ascii="Times New Roman" w:hAnsi="Times New Roman" w:cs="Times New Roman"/>
                <w:sz w:val="20"/>
                <w:szCs w:val="20"/>
              </w:rPr>
              <w:t>3.3. A modern haditechnikai eszközök jellemzői.</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4. Térkép- és tereptani alapismeretek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4.1. A terep felosztása, tájtípusok.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4.2. Az UTM vetület koordinátarendszere.</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4.3. Földrajzi koordinátarendszer.</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4.4. Az MGRS és GEOREF azonosító rendszer jellemzői.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4.5. A domborzat ábrázolása a topográfiai térképeken.</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4.6. A világtájak meghatározásának módszerei.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4.7. Az álláspont meghatározásának módszerei.</w:t>
            </w:r>
          </w:p>
          <w:p w:rsidR="004C2997" w:rsidRDefault="004C2997">
            <w:pPr>
              <w:widowControl w:val="0"/>
              <w:autoSpaceDE w:val="0"/>
              <w:autoSpaceDN w:val="0"/>
              <w:adjustRightInd w:val="0"/>
              <w:spacing w:before="40" w:after="20" w:line="240" w:lineRule="auto"/>
              <w:ind w:left="386"/>
              <w:rPr>
                <w:rFonts w:ascii="Myriad Pro" w:hAnsi="Myriad Pro" w:cs="Myriad Pro"/>
                <w:sz w:val="20"/>
                <w:szCs w:val="20"/>
              </w:rPr>
            </w:pPr>
            <w:r>
              <w:rPr>
                <w:rFonts w:ascii="Times New Roman" w:hAnsi="Times New Roman" w:cs="Times New Roman"/>
                <w:sz w:val="20"/>
                <w:szCs w:val="20"/>
              </w:rPr>
              <w:t>4.8. A GPS gyakorlati alkalmazási lehetőségei.</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Általános katonai ismeretek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5.1. Az általános harcászat alapjai.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5.2. A béketámogató műveletek jellemzői.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5.3. A lőelmélet alapjai.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5.4. A túlélés alapjai.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5.5. Az ABV védelmi alapismeretek alapjai.</w:t>
            </w:r>
          </w:p>
          <w:p w:rsidR="004C2997" w:rsidRDefault="004C2997">
            <w:pPr>
              <w:widowControl w:val="0"/>
              <w:autoSpaceDE w:val="0"/>
              <w:autoSpaceDN w:val="0"/>
              <w:adjustRightInd w:val="0"/>
              <w:spacing w:before="40" w:after="20" w:line="240" w:lineRule="auto"/>
              <w:ind w:left="386"/>
              <w:rPr>
                <w:rFonts w:ascii="Myriad Pro" w:hAnsi="Myriad Pro" w:cs="Myriad Pro"/>
                <w:sz w:val="20"/>
                <w:szCs w:val="20"/>
              </w:rPr>
            </w:pPr>
            <w:r>
              <w:rPr>
                <w:rFonts w:ascii="Times New Roman" w:hAnsi="Times New Roman" w:cs="Times New Roman"/>
                <w:sz w:val="20"/>
                <w:szCs w:val="20"/>
              </w:rPr>
              <w:t>5.6. Haditechnikai ismeretek.</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 Alaki ismeretek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6.1. Az alakiság alapfogalmai.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6.2. Alaki mozdulatok állóhelyben.</w:t>
            </w:r>
          </w:p>
          <w:p w:rsidR="004C2997" w:rsidRDefault="004C2997">
            <w:pPr>
              <w:widowControl w:val="0"/>
              <w:autoSpaceDE w:val="0"/>
              <w:autoSpaceDN w:val="0"/>
              <w:adjustRightInd w:val="0"/>
              <w:spacing w:before="40" w:after="20" w:line="240" w:lineRule="auto"/>
              <w:ind w:left="386"/>
              <w:rPr>
                <w:rFonts w:ascii="Myriad Pro" w:hAnsi="Myriad Pro" w:cs="Myriad Pro"/>
                <w:sz w:val="20"/>
                <w:szCs w:val="20"/>
              </w:rPr>
            </w:pPr>
            <w:r>
              <w:rPr>
                <w:rFonts w:ascii="Times New Roman" w:hAnsi="Times New Roman" w:cs="Times New Roman"/>
                <w:sz w:val="20"/>
                <w:szCs w:val="20"/>
              </w:rPr>
              <w:t>6.3. A katonai rendezvények alaki tartalma.</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7. A honvédelem rendszere, honvédelmi kötelezettségek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7.1. A minősített időszakok jellemzői.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7.2. Az állampolgárok személyes honvédelmi kötelezettségei.</w:t>
            </w:r>
          </w:p>
          <w:p w:rsidR="004C2997" w:rsidRDefault="004C2997">
            <w:pPr>
              <w:widowControl w:val="0"/>
              <w:autoSpaceDE w:val="0"/>
              <w:autoSpaceDN w:val="0"/>
              <w:adjustRightInd w:val="0"/>
              <w:spacing w:before="40" w:after="20" w:line="240" w:lineRule="auto"/>
              <w:ind w:left="386"/>
              <w:rPr>
                <w:rFonts w:ascii="Myriad Pro" w:hAnsi="Myriad Pro" w:cs="Myriad Pro"/>
                <w:sz w:val="20"/>
                <w:szCs w:val="20"/>
              </w:rPr>
            </w:pPr>
            <w:r>
              <w:rPr>
                <w:rFonts w:ascii="Times New Roman" w:hAnsi="Times New Roman" w:cs="Times New Roman"/>
                <w:sz w:val="20"/>
                <w:szCs w:val="20"/>
              </w:rPr>
              <w:t>7.3. A Magyar Honvédség tényleges állománya.</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8. Hadijogi alapismeretek</w:t>
            </w:r>
          </w:p>
          <w:p w:rsidR="004C2997" w:rsidRDefault="004C2997">
            <w:pPr>
              <w:widowControl w:val="0"/>
              <w:autoSpaceDE w:val="0"/>
              <w:autoSpaceDN w:val="0"/>
              <w:adjustRightInd w:val="0"/>
              <w:spacing w:before="40" w:after="20" w:line="240" w:lineRule="auto"/>
              <w:ind w:left="386"/>
              <w:rPr>
                <w:rFonts w:ascii="Myriad Pro" w:hAnsi="Myriad Pro" w:cs="Myriad Pro"/>
                <w:sz w:val="20"/>
                <w:szCs w:val="20"/>
              </w:rPr>
            </w:pPr>
            <w:r>
              <w:rPr>
                <w:rFonts w:ascii="Times New Roman" w:hAnsi="Times New Roman" w:cs="Times New Roman"/>
                <w:sz w:val="20"/>
                <w:szCs w:val="20"/>
              </w:rPr>
              <w:t>8.1. A genfi és a hágai egyezmények létrejöttének körülményei.</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9. A szerződéses katonák élete a Magyar Honvédségben</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9.1. A függelmi viszonyok.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9.2. A napirend és az ügyeleti szolgálatok.</w:t>
            </w:r>
          </w:p>
          <w:p w:rsidR="004C2997" w:rsidRDefault="004C2997">
            <w:pPr>
              <w:widowControl w:val="0"/>
              <w:autoSpaceDE w:val="0"/>
              <w:autoSpaceDN w:val="0"/>
              <w:adjustRightInd w:val="0"/>
              <w:spacing w:before="40" w:after="20" w:line="240" w:lineRule="auto"/>
              <w:ind w:left="386"/>
              <w:rPr>
                <w:rFonts w:ascii="Myriad Pro" w:hAnsi="Myriad Pro" w:cs="Myriad Pro"/>
                <w:sz w:val="20"/>
                <w:szCs w:val="20"/>
              </w:rPr>
            </w:pPr>
            <w:r>
              <w:rPr>
                <w:rFonts w:ascii="Times New Roman" w:hAnsi="Times New Roman" w:cs="Times New Roman"/>
                <w:sz w:val="20"/>
                <w:szCs w:val="20"/>
              </w:rPr>
              <w:t>9.3. A katonák járandóságai.</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10. Egészségügyi ismeretek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10.1. Teendők a baleseti helyszínen.</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10.2. Az újraélesztés végrehajtása.</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10.3. A vérzések és törések, mérgezések ellátása.</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10.4. A harctéren megsérült katonák ellátásának szakaszai.</w:t>
            </w:r>
          </w:p>
        </w:tc>
      </w:tr>
    </w:tbl>
    <w:p w:rsidR="004C2997" w:rsidRDefault="004C2997" w:rsidP="004C2997">
      <w:pPr>
        <w:widowControl w:val="0"/>
        <w:autoSpaceDE w:val="0"/>
        <w:autoSpaceDN w:val="0"/>
        <w:adjustRightInd w:val="0"/>
        <w:spacing w:after="0" w:line="240" w:lineRule="auto"/>
        <w:rPr>
          <w:rFonts w:ascii="Times New Roman" w:hAnsi="Times New Roman" w:cs="Times New Roman"/>
          <w:sz w:val="18"/>
          <w:szCs w:val="18"/>
        </w:rPr>
      </w:pPr>
    </w:p>
    <w:p w:rsidR="004C2997" w:rsidRDefault="004C2997" w:rsidP="004C2997">
      <w:pPr>
        <w:widowControl w:val="0"/>
        <w:autoSpaceDE w:val="0"/>
        <w:autoSpaceDN w:val="0"/>
        <w:adjustRightInd w:val="0"/>
        <w:spacing w:after="0" w:line="260" w:lineRule="atLeast"/>
        <w:jc w:val="center"/>
        <w:rPr>
          <w:rFonts w:ascii="Times New Roman" w:hAnsi="Times New Roman" w:cs="Times New Roman"/>
          <w:color w:val="000000"/>
          <w:sz w:val="18"/>
          <w:szCs w:val="18"/>
        </w:rPr>
      </w:pPr>
      <w:r>
        <w:rPr>
          <w:rFonts w:ascii="Times New Roman" w:hAnsi="Times New Roman" w:cs="Times New Roman"/>
          <w:color w:val="000000"/>
          <w:sz w:val="18"/>
          <w:szCs w:val="18"/>
        </w:rPr>
        <w:t>EMELT SZINT</w:t>
      </w:r>
    </w:p>
    <w:p w:rsidR="004C2997" w:rsidRDefault="004C2997" w:rsidP="004C2997">
      <w:pPr>
        <w:widowControl w:val="0"/>
        <w:autoSpaceDE w:val="0"/>
        <w:autoSpaceDN w:val="0"/>
        <w:adjustRightInd w:val="0"/>
        <w:spacing w:after="0" w:line="240" w:lineRule="auto"/>
        <w:rPr>
          <w:rFonts w:ascii="Times New Roman" w:hAnsi="Times New Roman" w:cs="Times New Roman"/>
          <w:color w:val="000000"/>
          <w:sz w:val="18"/>
          <w:szCs w:val="18"/>
        </w:rPr>
      </w:pPr>
    </w:p>
    <w:tbl>
      <w:tblPr>
        <w:tblW w:w="0" w:type="auto"/>
        <w:tblInd w:w="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10065"/>
      </w:tblGrid>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Témakörök</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 Magyarország biztonságpolitikai környezete</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1.1. Hazánkat fenyegető katonai és nem katonai kockázatok.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1.2. A biztonsági kihívás fogalma és a biztonsági kihívások típusai, biológia hadviselés kérdésköre.</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1.3. Magyarország biztonságpolitikai környezetének jellemzése.</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1.4. Hazánk katonai stratégiájának fontosabb elemei.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1.5. A NATO létrejötte, fontosabb szervei és feladataik.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1.6. A NATO-doktrínák jellemzői.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1.7. A NATO válasza a XXI. század biztonságpolitikai kihívásaira.</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1.8. Az EU létrejötte, biztonság- és védelempolitikája.</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1.9. Az ENSZ létrejötte, szervezetei, tevékenysége a válságövezetekben.</w:t>
            </w:r>
          </w:p>
          <w:p w:rsidR="004C2997" w:rsidRDefault="004C2997">
            <w:pPr>
              <w:widowControl w:val="0"/>
              <w:autoSpaceDE w:val="0"/>
              <w:autoSpaceDN w:val="0"/>
              <w:adjustRightInd w:val="0"/>
              <w:spacing w:before="40" w:after="20" w:line="240" w:lineRule="auto"/>
              <w:ind w:left="386"/>
              <w:rPr>
                <w:rFonts w:ascii="Myriad Pro" w:hAnsi="Myriad Pro" w:cs="Myriad Pro"/>
                <w:sz w:val="20"/>
                <w:szCs w:val="20"/>
              </w:rPr>
            </w:pPr>
            <w:r>
              <w:rPr>
                <w:rFonts w:ascii="Times New Roman" w:hAnsi="Times New Roman" w:cs="Times New Roman"/>
                <w:sz w:val="20"/>
                <w:szCs w:val="20"/>
              </w:rPr>
              <w:t>1.10. Az ENSZ tevékenysége a világ válságövezeteiben 1945 óta.</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2. A Magyar Honvédség felépítése, a katonai szervezetek jellemzői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2.1. A Magyar Honvédség feladatai és felépítése.</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2.2. A haderőnemek, a fegyvernemek és a szakcsapatok jellemzői.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2.3. A raj, a szakasz és a század felépítése.</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2.4. A harci erők általános feladatai.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2.5. A harci támogató erők általános feladatai.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2.6. A harci kiszolgáló-támogató erők általános jellemzői.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2.7. A szerződéses katonák kiképzési rendszerének elemei.</w:t>
            </w:r>
          </w:p>
          <w:p w:rsidR="004C2997" w:rsidRDefault="004C2997">
            <w:pPr>
              <w:widowControl w:val="0"/>
              <w:autoSpaceDE w:val="0"/>
              <w:autoSpaceDN w:val="0"/>
              <w:adjustRightInd w:val="0"/>
              <w:spacing w:before="40" w:after="20" w:line="240" w:lineRule="auto"/>
              <w:ind w:left="386"/>
              <w:rPr>
                <w:rFonts w:ascii="Myriad Pro" w:hAnsi="Myriad Pro" w:cs="Myriad Pro"/>
                <w:sz w:val="20"/>
                <w:szCs w:val="20"/>
              </w:rPr>
            </w:pPr>
            <w:r>
              <w:rPr>
                <w:rFonts w:ascii="Times New Roman" w:hAnsi="Times New Roman" w:cs="Times New Roman"/>
                <w:sz w:val="20"/>
                <w:szCs w:val="20"/>
              </w:rPr>
              <w:t>2.8. A Magyar Honvédség külföldi misszióinak feladatrendszere.</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A modern háborúk jellemzői, különleges egységek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3.1. A modern háborúk jellemző vonásai.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3.2. A globalizáció és a modern hadviselés kapcsolata.</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3.3. A különleges egységek jellemzői és feladatai.</w:t>
            </w:r>
          </w:p>
          <w:p w:rsidR="004C2997" w:rsidRDefault="004C2997">
            <w:pPr>
              <w:widowControl w:val="0"/>
              <w:autoSpaceDE w:val="0"/>
              <w:autoSpaceDN w:val="0"/>
              <w:adjustRightInd w:val="0"/>
              <w:spacing w:before="40" w:after="20" w:line="240" w:lineRule="auto"/>
              <w:ind w:left="386"/>
              <w:rPr>
                <w:rFonts w:ascii="Myriad Pro" w:hAnsi="Myriad Pro" w:cs="Myriad Pro"/>
                <w:sz w:val="20"/>
                <w:szCs w:val="20"/>
              </w:rPr>
            </w:pPr>
            <w:r>
              <w:rPr>
                <w:rFonts w:ascii="Times New Roman" w:hAnsi="Times New Roman" w:cs="Times New Roman"/>
                <w:sz w:val="20"/>
                <w:szCs w:val="20"/>
              </w:rPr>
              <w:t>3.4. A modern haditechnikai eszközök jellemzői.</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 Térkép- és tereptani alapismeretek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4.1. A terep felosztása, tájtípusok.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4.2. Az UTM vetület koordinátarendszere.</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4.3. A földrajzi koordinátarendszer.</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4.4. Az MGRS és GEOREF azonosító rendszer jellemzői.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4.5. Egy adott pont UTM koordinátájának meghatározása.</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4.6. Egy adott pont földrajzi koordinátájának meghatározása.</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4.7. Egy adott pont MGRS azonosítójának meghatározása.</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4.8. Egy adott pont GEOREF azonosítójának meghatározása.</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4.9. A domborzat ábrázolása a topográfiai térképeken.</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4.10. A világtájak meghatározásának módszerei.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4.11. Az álláspont meghatározásának módszerei.</w:t>
            </w:r>
          </w:p>
          <w:p w:rsidR="004C2997" w:rsidRDefault="004C2997">
            <w:pPr>
              <w:widowControl w:val="0"/>
              <w:autoSpaceDE w:val="0"/>
              <w:autoSpaceDN w:val="0"/>
              <w:adjustRightInd w:val="0"/>
              <w:spacing w:before="40" w:after="20" w:line="240" w:lineRule="auto"/>
              <w:ind w:left="386"/>
              <w:rPr>
                <w:rFonts w:ascii="Myriad Pro" w:hAnsi="Myriad Pro" w:cs="Myriad Pro"/>
                <w:sz w:val="20"/>
                <w:szCs w:val="20"/>
              </w:rPr>
            </w:pPr>
            <w:r>
              <w:rPr>
                <w:rFonts w:ascii="Times New Roman" w:hAnsi="Times New Roman" w:cs="Times New Roman"/>
                <w:sz w:val="20"/>
                <w:szCs w:val="20"/>
              </w:rPr>
              <w:t>4.12. A GPS működési elve és gyakorlati alkalmazási lehetőségei.</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Általános katonai ismeretek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5.1. Az általános harcászat alapjai.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5.2. A béketámogató műveletek jellemzői.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5.3. Az egyes békefenntartó eljárásmódok bemutatása.</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5.4. A lőelmélet alapjai.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5.5. A túlélés alapjai.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5.6. A katonákat érhető rendkívüli helyzetek jellemzése.</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5.7. A túlélés érdekében szükséges teendők bemutatása.</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5.8. Az ABV védelmi alapismeretek alapjai.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5.9. A nukleáris fegyverek jellemzői, alkalmazásuk hatásai.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5.10. A vegyi fegyverek csoportosítása és jellemzése.</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5.11. A biológiai fegyverek csoportosítása és jellemzése.</w:t>
            </w:r>
          </w:p>
          <w:p w:rsidR="004C2997" w:rsidRDefault="004C2997">
            <w:pPr>
              <w:widowControl w:val="0"/>
              <w:autoSpaceDE w:val="0"/>
              <w:autoSpaceDN w:val="0"/>
              <w:adjustRightInd w:val="0"/>
              <w:spacing w:before="40" w:after="20" w:line="240" w:lineRule="auto"/>
              <w:ind w:left="386"/>
              <w:rPr>
                <w:rFonts w:ascii="Myriad Pro" w:hAnsi="Myriad Pro" w:cs="Myriad Pro"/>
                <w:sz w:val="20"/>
                <w:szCs w:val="20"/>
              </w:rPr>
            </w:pPr>
            <w:r>
              <w:rPr>
                <w:rFonts w:ascii="Times New Roman" w:hAnsi="Times New Roman" w:cs="Times New Roman"/>
                <w:sz w:val="20"/>
                <w:szCs w:val="20"/>
              </w:rPr>
              <w:t>5.12. Haditechnikai ismeretek.</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 Alaki ismeretek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6.1. Az alakiság alapfogalmai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6.2. Az alaki tevékenység kialakulása.</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6.3. Az alakiság jelentősége a katonai fegyelem fenntartásában.</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6.4. Alaki mozdulatok állóhelyben.</w:t>
            </w:r>
          </w:p>
          <w:p w:rsidR="004C2997" w:rsidRDefault="004C2997">
            <w:pPr>
              <w:widowControl w:val="0"/>
              <w:autoSpaceDE w:val="0"/>
              <w:autoSpaceDN w:val="0"/>
              <w:adjustRightInd w:val="0"/>
              <w:spacing w:before="40" w:after="20" w:line="240" w:lineRule="auto"/>
              <w:ind w:left="386"/>
              <w:rPr>
                <w:rFonts w:ascii="Myriad Pro" w:hAnsi="Myriad Pro" w:cs="Myriad Pro"/>
                <w:sz w:val="20"/>
                <w:szCs w:val="20"/>
              </w:rPr>
            </w:pPr>
            <w:r>
              <w:rPr>
                <w:rFonts w:ascii="Times New Roman" w:hAnsi="Times New Roman" w:cs="Times New Roman"/>
                <w:sz w:val="20"/>
                <w:szCs w:val="20"/>
              </w:rPr>
              <w:t>6.5. A katonai rendezvények alaki tartalma.</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7. A honvédelem rendszere, honvédelmi kötelezettségek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7.1. A honvédelem rendszerének irányítása minősített időszakokban.</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7.2. A Honvédelmi Tanács összetétele és feladatai.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7.3. A minősített időszakok jellemzői.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7.4. Az állampolgárok személyes honvédelmi kötelezettségei.</w:t>
            </w:r>
          </w:p>
          <w:p w:rsidR="004C2997" w:rsidRDefault="004C2997">
            <w:pPr>
              <w:widowControl w:val="0"/>
              <w:autoSpaceDE w:val="0"/>
              <w:autoSpaceDN w:val="0"/>
              <w:adjustRightInd w:val="0"/>
              <w:spacing w:before="40" w:after="20" w:line="240" w:lineRule="auto"/>
              <w:ind w:left="386"/>
              <w:rPr>
                <w:rFonts w:ascii="Myriad Pro" w:hAnsi="Myriad Pro" w:cs="Myriad Pro"/>
                <w:sz w:val="20"/>
                <w:szCs w:val="20"/>
              </w:rPr>
            </w:pPr>
            <w:r>
              <w:rPr>
                <w:rFonts w:ascii="Times New Roman" w:hAnsi="Times New Roman" w:cs="Times New Roman"/>
                <w:sz w:val="20"/>
                <w:szCs w:val="20"/>
              </w:rPr>
              <w:t>7.5. A Magyar Honvédség tényleges állománya.</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8. Hadijogi alapismeretek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8.1. A genfi és a hágai egyezmények létrejöttének körülményei.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8.2. A genfi és a hágai egyezmények fontosabb előírásai.</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8.3. A harcos jellemzői.</w:t>
            </w:r>
          </w:p>
          <w:p w:rsidR="004C2997" w:rsidRDefault="004C2997">
            <w:pPr>
              <w:widowControl w:val="0"/>
              <w:autoSpaceDE w:val="0"/>
              <w:autoSpaceDN w:val="0"/>
              <w:adjustRightInd w:val="0"/>
              <w:spacing w:before="40" w:after="20" w:line="240" w:lineRule="auto"/>
              <w:ind w:left="386"/>
              <w:rPr>
                <w:rFonts w:ascii="Myriad Pro" w:hAnsi="Myriad Pro" w:cs="Myriad Pro"/>
                <w:sz w:val="20"/>
                <w:szCs w:val="20"/>
              </w:rPr>
            </w:pPr>
            <w:r>
              <w:rPr>
                <w:rFonts w:ascii="Times New Roman" w:hAnsi="Times New Roman" w:cs="Times New Roman"/>
                <w:sz w:val="20"/>
                <w:szCs w:val="20"/>
              </w:rPr>
              <w:t>8.4. A hadifoglyokra vonatkozó előírások.</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9. A szerződéses katonák élete a Magyar Honvédségben</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9.1. A függelmi viszonyok.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9.2. A napirend és az ügyeletei szolgálatok.</w:t>
            </w:r>
          </w:p>
          <w:p w:rsidR="004C2997" w:rsidRDefault="004C2997">
            <w:pPr>
              <w:widowControl w:val="0"/>
              <w:autoSpaceDE w:val="0"/>
              <w:autoSpaceDN w:val="0"/>
              <w:adjustRightInd w:val="0"/>
              <w:spacing w:before="40" w:after="20" w:line="240" w:lineRule="auto"/>
              <w:ind w:left="386"/>
              <w:rPr>
                <w:rFonts w:ascii="Myriad Pro" w:hAnsi="Myriad Pro" w:cs="Myriad Pro"/>
                <w:sz w:val="20"/>
                <w:szCs w:val="20"/>
              </w:rPr>
            </w:pPr>
            <w:r>
              <w:rPr>
                <w:rFonts w:ascii="Times New Roman" w:hAnsi="Times New Roman" w:cs="Times New Roman"/>
                <w:sz w:val="20"/>
                <w:szCs w:val="20"/>
              </w:rPr>
              <w:t>9.3. A katonák járandóságai.</w:t>
            </w:r>
          </w:p>
        </w:tc>
      </w:tr>
      <w:tr w:rsidR="004C2997">
        <w:tblPrEx>
          <w:tblCellMar>
            <w:top w:w="0" w:type="dxa"/>
            <w:bottom w:w="0" w:type="dxa"/>
          </w:tblCellMar>
        </w:tblPrEx>
        <w:tc>
          <w:tcPr>
            <w:tcW w:w="10065" w:type="dxa"/>
          </w:tcPr>
          <w:p w:rsidR="004C2997" w:rsidRDefault="004C2997">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10. Egészségügyi ismeretek</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10.1. Teendők a baleseti helyszínen.</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10.2. Az újraélesztés végrehajtása.</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10.3. A vérzések és törések, mérgezések ellátása.</w:t>
            </w:r>
          </w:p>
          <w:p w:rsidR="004C2997" w:rsidRDefault="004C2997">
            <w:pPr>
              <w:widowControl w:val="0"/>
              <w:autoSpaceDE w:val="0"/>
              <w:autoSpaceDN w:val="0"/>
              <w:adjustRightInd w:val="0"/>
              <w:spacing w:before="40" w:after="20" w:line="240" w:lineRule="auto"/>
              <w:ind w:left="386"/>
              <w:rPr>
                <w:rFonts w:ascii="Times New Roman" w:hAnsi="Times New Roman" w:cs="Times New Roman"/>
                <w:sz w:val="20"/>
                <w:szCs w:val="20"/>
              </w:rPr>
            </w:pPr>
            <w:r>
              <w:rPr>
                <w:rFonts w:ascii="Times New Roman" w:hAnsi="Times New Roman" w:cs="Times New Roman"/>
                <w:sz w:val="20"/>
                <w:szCs w:val="20"/>
              </w:rPr>
              <w:t>10.4. A harctéren megsérült katonák ellátásának szakaszai.</w:t>
            </w:r>
          </w:p>
        </w:tc>
      </w:tr>
    </w:tbl>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AZ UTAZÁS ÉS TURIZMUS</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VIZSGATÁRGY ÁLTALÁNOS KÖVETELMÉNYEI</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Az utazás és turizmus középszinten letehető érettségi vizsga.</w:t>
      </w:r>
    </w:p>
    <w:p w:rsidR="004C2997" w:rsidRDefault="004C2997" w:rsidP="004C2997">
      <w:pPr>
        <w:autoSpaceDE w:val="0"/>
        <w:autoSpaceDN w:val="0"/>
        <w:adjustRightInd w:val="0"/>
        <w:spacing w:after="0" w:line="40" w:lineRule="atLeast"/>
        <w:rPr>
          <w:rFonts w:ascii="Times New Roman" w:hAnsi="Times New Roman" w:cs="Times New Roman"/>
          <w:sz w:val="20"/>
          <w:szCs w:val="20"/>
        </w:rPr>
      </w:pPr>
    </w:p>
    <w:p w:rsidR="004C2997" w:rsidRDefault="004C2997" w:rsidP="004C2997">
      <w:pPr>
        <w:autoSpaceDE w:val="0"/>
        <w:autoSpaceDN w:val="0"/>
        <w:adjustRightInd w:val="0"/>
        <w:spacing w:after="100" w:line="240" w:lineRule="atLeast"/>
        <w:ind w:firstLine="215"/>
        <w:rPr>
          <w:rFonts w:ascii="Times New Roman" w:hAnsi="Times New Roman" w:cs="Times New Roman"/>
          <w:sz w:val="20"/>
          <w:szCs w:val="20"/>
        </w:rPr>
      </w:pPr>
      <w:r>
        <w:rPr>
          <w:rFonts w:ascii="Times New Roman" w:hAnsi="Times New Roman" w:cs="Times New Roman"/>
          <w:i/>
          <w:iCs/>
          <w:sz w:val="20"/>
          <w:szCs w:val="20"/>
        </w:rPr>
        <w:t xml:space="preserve">A középszintű érettségi vizsga célja </w:t>
      </w:r>
      <w:r>
        <w:rPr>
          <w:rFonts w:ascii="Times New Roman" w:hAnsi="Times New Roman" w:cs="Times New Roman"/>
          <w:sz w:val="20"/>
          <w:szCs w:val="20"/>
        </w:rPr>
        <w:t>annak megállapítása, hogy a vizsgázó</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i/>
          <w:iCs/>
          <w:sz w:val="20"/>
          <w:szCs w:val="20"/>
        </w:rPr>
        <w:t>ismereteit tekintve ismeri-, tudja-e:</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a tanterv 1–4. modulja alapján</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a magyar és nemzetközi idegenforgalom fejlődési tendenciáit, főbb jellemzőit,</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az idegenforgalom hatását a gazdasági, társadalmi és természeti környezetre,</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az utazási döntéseket befolyásoló tényezőket,</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a szervezett utak típusait és jellemzőiket,</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a szálláshelyek típusait és jellemzőiket,</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a közlekedés és idegenforgalom kapcsolatát,</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a vendéglátás szolgáltató egységeinek típusait, jellemzőiket,</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a programszervezés alapfogalmait;</w:t>
      </w:r>
    </w:p>
    <w:p w:rsidR="004C2997" w:rsidRDefault="004C2997" w:rsidP="004C2997">
      <w:pPr>
        <w:autoSpaceDE w:val="0"/>
        <w:autoSpaceDN w:val="0"/>
        <w:adjustRightInd w:val="0"/>
        <w:spacing w:before="100" w:after="0" w:line="240" w:lineRule="atLeast"/>
        <w:ind w:firstLine="215"/>
        <w:rPr>
          <w:rFonts w:ascii="Times New Roman" w:hAnsi="Times New Roman" w:cs="Times New Roman"/>
          <w:sz w:val="20"/>
          <w:szCs w:val="20"/>
        </w:rPr>
      </w:pPr>
      <w:r>
        <w:rPr>
          <w:rFonts w:ascii="Times New Roman" w:hAnsi="Times New Roman" w:cs="Times New Roman"/>
          <w:sz w:val="20"/>
          <w:szCs w:val="20"/>
        </w:rPr>
        <w:t>ezen kívül az iskola helyi tantervében szereplő választott moduloknak megfelelően:</w:t>
      </w:r>
    </w:p>
    <w:p w:rsidR="004C2997" w:rsidRDefault="004C2997" w:rsidP="004C2997">
      <w:pPr>
        <w:autoSpaceDE w:val="0"/>
        <w:autoSpaceDN w:val="0"/>
        <w:adjustRightInd w:val="0"/>
        <w:spacing w:after="0" w:line="40" w:lineRule="atLeast"/>
        <w:rPr>
          <w:rFonts w:ascii="Times New Roman" w:hAnsi="Times New Roman" w:cs="Times New Roman"/>
          <w:sz w:val="20"/>
          <w:szCs w:val="20"/>
        </w:rPr>
      </w:pP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5. modul</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a fenntartható fejlődés idegenforgalomban történő értelmezését,</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a levegő- és vízminőség kölcsönhatását az idegenforgalom területén,</w:t>
      </w:r>
    </w:p>
    <w:p w:rsidR="004C2997" w:rsidRDefault="004C2997" w:rsidP="004C2997">
      <w:pPr>
        <w:autoSpaceDE w:val="0"/>
        <w:autoSpaceDN w:val="0"/>
        <w:adjustRightInd w:val="0"/>
        <w:spacing w:after="0" w:line="40" w:lineRule="atLeast"/>
        <w:rPr>
          <w:rFonts w:ascii="Times New Roman" w:hAnsi="Times New Roman" w:cs="Times New Roman"/>
          <w:sz w:val="20"/>
          <w:szCs w:val="20"/>
        </w:rPr>
      </w:pP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6–7. modul</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a vállalkozási formákat,</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az idegenforgalmi marketing alapfogalmait,</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reklám lényegét és szerepét,</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a vállalkozások indításának alapfeltételeit,</w:t>
      </w:r>
    </w:p>
    <w:p w:rsidR="004C2997" w:rsidRDefault="004C2997" w:rsidP="004C2997">
      <w:pPr>
        <w:autoSpaceDE w:val="0"/>
        <w:autoSpaceDN w:val="0"/>
        <w:adjustRightInd w:val="0"/>
        <w:spacing w:after="0" w:line="40" w:lineRule="atLeast"/>
        <w:rPr>
          <w:rFonts w:ascii="Times New Roman" w:hAnsi="Times New Roman" w:cs="Times New Roman"/>
          <w:sz w:val="20"/>
          <w:szCs w:val="20"/>
        </w:rPr>
      </w:pP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8. modul</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a falusi turizmus jellemzőit,</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a falusi települések idegenforgalmi potenciálját;</w:t>
      </w:r>
    </w:p>
    <w:p w:rsidR="004C2997" w:rsidRDefault="004C2997" w:rsidP="004C2997">
      <w:pPr>
        <w:autoSpaceDE w:val="0"/>
        <w:autoSpaceDN w:val="0"/>
        <w:adjustRightInd w:val="0"/>
        <w:spacing w:after="0" w:line="120" w:lineRule="atLeast"/>
        <w:rPr>
          <w:rFonts w:ascii="Times New Roman" w:hAnsi="Times New Roman" w:cs="Times New Roman"/>
          <w:sz w:val="20"/>
          <w:szCs w:val="20"/>
        </w:rPr>
      </w:pP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i/>
          <w:iCs/>
          <w:sz w:val="20"/>
          <w:szCs w:val="20"/>
        </w:rPr>
        <w:t>képességeit tekintve képes-e:</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szolgáltatói attitűddel szemlélni környezetét,</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önálló, mérlegelő döntéshozásra,</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önálló információ gyűjtésre, feldolgozásra, alkalmazásra,</w:t>
      </w:r>
    </w:p>
    <w:p w:rsidR="004C2997" w:rsidRDefault="004C2997" w:rsidP="004C2997">
      <w:pPr>
        <w:autoSpaceDE w:val="0"/>
        <w:autoSpaceDN w:val="0"/>
        <w:adjustRightInd w:val="0"/>
        <w:spacing w:after="0" w:line="240" w:lineRule="atLeast"/>
        <w:ind w:firstLine="215"/>
        <w:rPr>
          <w:rFonts w:ascii="Times New Roman" w:hAnsi="Times New Roman" w:cs="Times New Roman"/>
          <w:sz w:val="20"/>
          <w:szCs w:val="20"/>
        </w:rPr>
      </w:pPr>
      <w:r>
        <w:rPr>
          <w:rFonts w:ascii="Times New Roman" w:hAnsi="Times New Roman" w:cs="Times New Roman"/>
          <w:sz w:val="20"/>
          <w:szCs w:val="20"/>
        </w:rPr>
        <w:t>– véleményalkotásra és véleményének, álláspontjának megvédésére.</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A GAZDASÁGI ISMERETEK</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VIZSGATÁRGY ÁLTALÁNOS KÖVETELMÉNYEI</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i/>
          <w:iCs/>
          <w:sz w:val="20"/>
          <w:szCs w:val="20"/>
        </w:rPr>
        <w:t>A vizsga formája: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Középszinten az írásbeli vizsga a hagyományos számonkérési rendszertől eltérően projektmunka készítése. (Egy nagyobb téma feldolgozása, amely részletezve és a gyakorlatra adaptálva tartalmazza a modultárgy több részelemét.)</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Középszinten a szóbeli vizsga a fentieknek megfelelően két részből áll: a projektmunka megvédéséből (a dolgozattal kapcsolatos általános elméleti kérdésből és a dolgozathoz kapcsolódó konkrét gyakorlati kérdésből), valamint egy, a vizsgakövetelményeknek megfelelő témakörből kihúzott tétel kifejtése.</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Emelt szinten az írásbeli vizsga kétféle módon történhet. A tanulóknak lehetősége van a középszinttel formailag megegyező (tartalmilag mélyebb, átfogóbb ismereteket bemutató) projektmunka elkészítésére, vagy ennek alternatívájaként az emelt szinten meghatározott témakörökhöz (makroökonómia, a mikroökonómia és a nemzetközi gazdasági ismeretek) kapcsolódó feladatok megoldására.</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xml:space="preserve">Emelt szinten a szóbeli vizsga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tételrészekből áll.</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vizsgakövetelményeknek megfelelő témakörből kihúzott tétel kifejtése.</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Vagy a projektmunka megvédéséből, vagy egy aktuális probléma (globalizáció, privatizáció, fogyasztóvédelem stb.) értelmezéséből, elemzéséből egy megadott forrás alapján.</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i/>
          <w:iCs/>
          <w:sz w:val="20"/>
          <w:szCs w:val="20"/>
        </w:rPr>
        <w:t>A gazdasági ismeretek érettségi vizsga célja: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Az érettségi vizsga célja annak megállapítása, hogy a vizsgázó</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megismerkedett a közgazdaságtan tudomány fogalmaival, azokat egyértelműen képes azonosítani, helyesen használja. Emelt szinten a fogalmak jelentésváltozatait is képes megkülönböztetni;</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képes önállóan is új ismereteket gyűjteni az őt körülvevő gazdasági környezetről, gazdálkodási szabályokról, a háztartások, üzleti élet gazdálkodási szokásairól;</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képes megszerzett ismereteit személyes formában – önálló véleményeként – elmondani;</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tud a felvetődő általánosabb kérdésekre és problémákra konkrét példákat és eseteket mondani;</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jártas a modellalkotásban, elvonatkoztatásban annyira, hogy saját élményeit és tapasztalatait képes általános formában is megfogalmazni;</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meg tudja különböztetni a lényeges és lényegtelen információkat, és ez alapján képes adott forrásokból információk gyűjtésére és következtetések levonására;</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felismeri azokat a különbségeket és azonosságokat, amelyek alapján képes meglátni, szintetizálni a gazdasági ismeretek és a hozzá kapcsolódó tudományterületek összefüggéseit, amelyekről már hallott, tanult;</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jártas a problémák felismerésében, a feladatok helyes értelmezésében és megoldások keresésében;</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képes a gazdasági jellegű problémák alternatív megoldásainak értékelésére, otthonosan mozog a várható eredmények becslésében;</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egyszerű, emelt szinten bonyolultabb mutatószámok kiszámítását elsajátította, azokat képes gazdasági értelemben használni;</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képes egy adathalmazból többféle feladat megoldására.</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15"/>
        <w:rPr>
          <w:rFonts w:ascii="Times New Roman" w:hAnsi="Times New Roman" w:cs="Times New Roman"/>
          <w:i/>
          <w:iCs/>
          <w:sz w:val="20"/>
          <w:szCs w:val="20"/>
        </w:rPr>
      </w:pPr>
      <w:r>
        <w:rPr>
          <w:rFonts w:ascii="Times New Roman" w:hAnsi="Times New Roman" w:cs="Times New Roman"/>
          <w:i/>
          <w:iCs/>
          <w:sz w:val="20"/>
          <w:szCs w:val="20"/>
        </w:rPr>
        <w:t>Tartalmi követelmények:</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p>
    <w:tbl>
      <w:tblPr>
        <w:tblW w:w="0" w:type="auto"/>
        <w:tblInd w:w="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6" w:type="dxa"/>
          <w:right w:w="56" w:type="dxa"/>
        </w:tblCellMar>
        <w:tblLook w:val="0000" w:firstRow="0" w:lastRow="0" w:firstColumn="0" w:lastColumn="0" w:noHBand="0" w:noVBand="0"/>
      </w:tblPr>
      <w:tblGrid>
        <w:gridCol w:w="3326"/>
        <w:gridCol w:w="3326"/>
        <w:gridCol w:w="3326"/>
      </w:tblGrid>
      <w:tr w:rsidR="004C2997" w:rsidTr="004C2997">
        <w:tblPrEx>
          <w:tblCellMar>
            <w:top w:w="0" w:type="dxa"/>
            <w:bottom w:w="0" w:type="dxa"/>
          </w:tblCellMar>
        </w:tblPrEx>
        <w:trPr>
          <w:cantSplit/>
        </w:trPr>
        <w:tc>
          <w:tcPr>
            <w:tcW w:w="3326" w:type="dxa"/>
            <w:vMerge w:val="restart"/>
            <w:vAlign w:val="center"/>
          </w:tcPr>
          <w:p w:rsidR="004C2997" w:rsidRDefault="004C2997">
            <w:pPr>
              <w:autoSpaceDE w:val="0"/>
              <w:autoSpaceDN w:val="0"/>
              <w:adjustRightInd w:val="0"/>
              <w:spacing w:before="60" w:after="60" w:line="240" w:lineRule="auto"/>
              <w:jc w:val="center"/>
              <w:rPr>
                <w:rFonts w:ascii="Times New Roman" w:hAnsi="Times New Roman" w:cs="Times New Roman"/>
                <w:sz w:val="16"/>
                <w:szCs w:val="16"/>
              </w:rPr>
            </w:pPr>
            <w:r>
              <w:rPr>
                <w:rFonts w:ascii="Times New Roman" w:hAnsi="Times New Roman" w:cs="Times New Roman"/>
                <w:sz w:val="16"/>
                <w:szCs w:val="16"/>
              </w:rPr>
              <w:t>Témák</w:t>
            </w:r>
          </w:p>
        </w:tc>
        <w:tc>
          <w:tcPr>
            <w:tcW w:w="6652" w:type="dxa"/>
            <w:gridSpan w:val="2"/>
            <w:vAlign w:val="center"/>
          </w:tcPr>
          <w:p w:rsidR="004C2997" w:rsidRDefault="004C2997">
            <w:pPr>
              <w:autoSpaceDE w:val="0"/>
              <w:autoSpaceDN w:val="0"/>
              <w:adjustRightInd w:val="0"/>
              <w:spacing w:before="60" w:after="60" w:line="240" w:lineRule="auto"/>
              <w:jc w:val="center"/>
              <w:rPr>
                <w:rFonts w:ascii="Times New Roman" w:hAnsi="Times New Roman" w:cs="Times New Roman"/>
                <w:sz w:val="16"/>
                <w:szCs w:val="16"/>
              </w:rPr>
            </w:pPr>
            <w:r>
              <w:rPr>
                <w:rFonts w:ascii="Times New Roman" w:hAnsi="Times New Roman" w:cs="Times New Roman"/>
                <w:sz w:val="16"/>
                <w:szCs w:val="16"/>
              </w:rPr>
              <w:t>Vizsgaszintek</w:t>
            </w:r>
          </w:p>
        </w:tc>
      </w:tr>
      <w:tr w:rsidR="004C2997">
        <w:tblPrEx>
          <w:tblCellMar>
            <w:top w:w="0" w:type="dxa"/>
            <w:bottom w:w="0" w:type="dxa"/>
          </w:tblCellMar>
        </w:tblPrEx>
        <w:trPr>
          <w:cantSplit/>
        </w:trPr>
        <w:tc>
          <w:tcPr>
            <w:tcW w:w="3326" w:type="dxa"/>
            <w:vMerge/>
            <w:vAlign w:val="center"/>
          </w:tcPr>
          <w:p w:rsidR="004C2997" w:rsidRDefault="004C2997">
            <w:pPr>
              <w:autoSpaceDE w:val="0"/>
              <w:autoSpaceDN w:val="0"/>
              <w:adjustRightInd w:val="0"/>
              <w:spacing w:before="60" w:after="60" w:line="240" w:lineRule="auto"/>
              <w:jc w:val="center"/>
              <w:rPr>
                <w:rFonts w:ascii="Times New Roman" w:hAnsi="Times New Roman" w:cs="Times New Roman"/>
                <w:sz w:val="16"/>
                <w:szCs w:val="16"/>
              </w:rPr>
            </w:pPr>
          </w:p>
        </w:tc>
        <w:tc>
          <w:tcPr>
            <w:tcW w:w="3326" w:type="dxa"/>
            <w:vAlign w:val="center"/>
          </w:tcPr>
          <w:p w:rsidR="004C2997" w:rsidRDefault="004C2997">
            <w:pPr>
              <w:autoSpaceDE w:val="0"/>
              <w:autoSpaceDN w:val="0"/>
              <w:adjustRightInd w:val="0"/>
              <w:spacing w:before="60" w:after="60" w:line="240" w:lineRule="auto"/>
              <w:jc w:val="center"/>
              <w:rPr>
                <w:rFonts w:ascii="Times New Roman" w:hAnsi="Times New Roman" w:cs="Times New Roman"/>
                <w:sz w:val="16"/>
                <w:szCs w:val="16"/>
              </w:rPr>
            </w:pPr>
            <w:r>
              <w:rPr>
                <w:rFonts w:ascii="Times New Roman" w:hAnsi="Times New Roman" w:cs="Times New Roman"/>
                <w:sz w:val="16"/>
                <w:szCs w:val="16"/>
              </w:rPr>
              <w:t>Középszint</w:t>
            </w:r>
          </w:p>
        </w:tc>
        <w:tc>
          <w:tcPr>
            <w:tcW w:w="3326" w:type="dxa"/>
            <w:vAlign w:val="center"/>
          </w:tcPr>
          <w:p w:rsidR="004C2997" w:rsidRDefault="004C2997">
            <w:pPr>
              <w:autoSpaceDE w:val="0"/>
              <w:autoSpaceDN w:val="0"/>
              <w:adjustRightInd w:val="0"/>
              <w:spacing w:before="60" w:after="60" w:line="240" w:lineRule="auto"/>
              <w:jc w:val="center"/>
              <w:rPr>
                <w:rFonts w:ascii="Times New Roman" w:hAnsi="Times New Roman" w:cs="Times New Roman"/>
                <w:sz w:val="16"/>
                <w:szCs w:val="16"/>
              </w:rPr>
            </w:pPr>
            <w:r>
              <w:rPr>
                <w:rFonts w:ascii="Times New Roman" w:hAnsi="Times New Roman" w:cs="Times New Roman"/>
                <w:sz w:val="16"/>
                <w:szCs w:val="16"/>
              </w:rPr>
              <w:t>Emelt szint</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közgazdaságtan alapfogalmai, főbb kérdései, vizsgálódási módszerei</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közgazdaságtan tárgya, elhelyezése a tudományok rendszerében. A közgazdaságtan tudomány részei. Alap problémája, alapvető kérdései.</w:t>
            </w:r>
            <w:r>
              <w:rPr>
                <w:rFonts w:ascii="Times New Roman" w:hAnsi="Times New Roman" w:cs="Times New Roman"/>
                <w:sz w:val="20"/>
                <w:szCs w:val="20"/>
              </w:rPr>
              <w:br/>
              <w:t>A gazdasági gondolkodás alapvető elvei.</w:t>
            </w:r>
            <w:r>
              <w:rPr>
                <w:rFonts w:ascii="Times New Roman" w:hAnsi="Times New Roman" w:cs="Times New Roman"/>
                <w:sz w:val="20"/>
                <w:szCs w:val="20"/>
              </w:rPr>
              <w:br/>
            </w:r>
            <w:r>
              <w:rPr>
                <w:rFonts w:ascii="Times New Roman" w:hAnsi="Times New Roman" w:cs="Times New Roman"/>
                <w:sz w:val="20"/>
                <w:szCs w:val="20"/>
              </w:rPr>
              <w:lastRenderedPageBreak/>
              <w:t>A szűkösség problémája.</w:t>
            </w:r>
            <w:r>
              <w:rPr>
                <w:rFonts w:ascii="Times New Roman" w:hAnsi="Times New Roman" w:cs="Times New Roman"/>
                <w:sz w:val="20"/>
                <w:szCs w:val="20"/>
              </w:rPr>
              <w:br/>
              <w:t>Főbb gazdasági szereplők jellemzése, helyük a gazdálkodási folyamatban.</w:t>
            </w:r>
            <w:r>
              <w:rPr>
                <w:rFonts w:ascii="Times New Roman" w:hAnsi="Times New Roman" w:cs="Times New Roman"/>
                <w:sz w:val="20"/>
                <w:szCs w:val="20"/>
              </w:rPr>
              <w:br/>
              <w:t>A gazdasági körforgás.</w:t>
            </w:r>
            <w:r>
              <w:rPr>
                <w:rFonts w:ascii="Times New Roman" w:hAnsi="Times New Roman" w:cs="Times New Roman"/>
                <w:sz w:val="20"/>
                <w:szCs w:val="20"/>
              </w:rPr>
              <w:br/>
              <w:t>Aktuális kérdések, amelyekre keresi a választ.</w:t>
            </w:r>
            <w:r>
              <w:rPr>
                <w:rFonts w:ascii="Times New Roman" w:hAnsi="Times New Roman" w:cs="Times New Roman"/>
                <w:sz w:val="20"/>
                <w:szCs w:val="20"/>
              </w:rPr>
              <w:br/>
              <w:t>Vizsgálódási módszereinek lényegi elemei, és ezek példákon keresztül történő bemutatása.</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közgazdaságtan történelmének fő korszakai (közgazdasági elődök – merkantilizmus, fiziokraták, Adam Smith munkássága, klasszikus közgazdaságtan, Keynes munkássága, neoklasszikus közgazdaságtan, polgári </w:t>
            </w:r>
            <w:r>
              <w:rPr>
                <w:rFonts w:ascii="Times New Roman" w:hAnsi="Times New Roman" w:cs="Times New Roman"/>
                <w:sz w:val="20"/>
                <w:szCs w:val="20"/>
              </w:rPr>
              <w:lastRenderedPageBreak/>
              <w:t>közgazdaságtan és marxizmus, gazdasági liberalizmus), az egyes korszakok jellemzői és neves képviselői.</w:t>
            </w:r>
            <w:r>
              <w:rPr>
                <w:rFonts w:ascii="Times New Roman" w:hAnsi="Times New Roman" w:cs="Times New Roman"/>
                <w:sz w:val="20"/>
                <w:szCs w:val="20"/>
              </w:rPr>
              <w:br/>
              <w:t>A modellezés, mint vizsgálati eszköz előnyei, hátrányai.</w:t>
            </w:r>
            <w:r>
              <w:rPr>
                <w:rFonts w:ascii="Times New Roman" w:hAnsi="Times New Roman" w:cs="Times New Roman"/>
                <w:sz w:val="20"/>
                <w:szCs w:val="20"/>
              </w:rPr>
              <w:br/>
              <w:t>A határelemzés, mint alapvető eszköz.</w:t>
            </w:r>
            <w:r>
              <w:rPr>
                <w:rFonts w:ascii="Times New Roman" w:hAnsi="Times New Roman" w:cs="Times New Roman"/>
                <w:sz w:val="20"/>
                <w:szCs w:val="20"/>
              </w:rPr>
              <w:br/>
              <w:t>Határelemzés versus átlagelemzés.</w:t>
            </w:r>
            <w:r>
              <w:rPr>
                <w:rFonts w:ascii="Times New Roman" w:hAnsi="Times New Roman" w:cs="Times New Roman"/>
                <w:sz w:val="20"/>
                <w:szCs w:val="20"/>
              </w:rPr>
              <w:br/>
              <w:t>A gazdasági racionalitás értelmezése.</w:t>
            </w:r>
            <w:r>
              <w:rPr>
                <w:rFonts w:ascii="Times New Roman" w:hAnsi="Times New Roman" w:cs="Times New Roman"/>
                <w:sz w:val="20"/>
                <w:szCs w:val="20"/>
              </w:rPr>
              <w:br/>
              <w:t>A ceteris paribus elv alkalmazása.</w:t>
            </w:r>
            <w:r>
              <w:rPr>
                <w:rFonts w:ascii="Times New Roman" w:hAnsi="Times New Roman" w:cs="Times New Roman"/>
                <w:sz w:val="20"/>
                <w:szCs w:val="20"/>
              </w:rPr>
              <w:br/>
              <w:t>Az alternatív költség fogalmának meghatározása, értelmezése.</w:t>
            </w:r>
            <w:r>
              <w:rPr>
                <w:rFonts w:ascii="Times New Roman" w:hAnsi="Times New Roman" w:cs="Times New Roman"/>
                <w:sz w:val="20"/>
                <w:szCs w:val="20"/>
              </w:rPr>
              <w:br/>
              <w:t>Gazdasági rendszerek.</w:t>
            </w:r>
            <w:r>
              <w:rPr>
                <w:rFonts w:ascii="Times New Roman" w:hAnsi="Times New Roman" w:cs="Times New Roman"/>
                <w:sz w:val="20"/>
                <w:szCs w:val="20"/>
              </w:rPr>
              <w:br/>
              <w:t>Magyarország gazdasága, mint piacgazdaság.</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lastRenderedPageBreak/>
              <w:t>A piaci mechanizmus alapvető elemei, működése, a piacgazdaság jellemzői</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piac fogalma, típusai, a piaci szereplők meghatározása.</w:t>
            </w:r>
            <w:r>
              <w:rPr>
                <w:rFonts w:ascii="Times New Roman" w:hAnsi="Times New Roman" w:cs="Times New Roman"/>
                <w:sz w:val="20"/>
                <w:szCs w:val="20"/>
              </w:rPr>
              <w:br/>
              <w:t>A kereslet, a keresleti függvény és a kínálat, kínálati függvény értelmezése.</w:t>
            </w:r>
            <w:r>
              <w:rPr>
                <w:rFonts w:ascii="Times New Roman" w:hAnsi="Times New Roman" w:cs="Times New Roman"/>
                <w:sz w:val="20"/>
                <w:szCs w:val="20"/>
              </w:rPr>
              <w:br/>
              <w:t>Marshall-kereszt segítségével a piaci egyensúly, a túlkereslet és túlkínálat értelmezése.</w:t>
            </w:r>
            <w:r>
              <w:rPr>
                <w:rFonts w:ascii="Times New Roman" w:hAnsi="Times New Roman" w:cs="Times New Roman"/>
                <w:sz w:val="20"/>
                <w:szCs w:val="20"/>
              </w:rPr>
              <w:br/>
              <w:t>A „láthatatlan kéz” működésének, a piaci önszabályozásnak a bemutatása.</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piacgazdaság alappillérei – magántulajdon, elosztási rendszerek, munkamegosztás, verseny.</w:t>
            </w:r>
            <w:r>
              <w:rPr>
                <w:rFonts w:ascii="Times New Roman" w:hAnsi="Times New Roman" w:cs="Times New Roman"/>
                <w:sz w:val="20"/>
                <w:szCs w:val="20"/>
              </w:rPr>
              <w:br/>
              <w:t>Az árak szerepe a piacon.</w:t>
            </w:r>
            <w:r>
              <w:rPr>
                <w:rFonts w:ascii="Times New Roman" w:hAnsi="Times New Roman" w:cs="Times New Roman"/>
                <w:sz w:val="20"/>
                <w:szCs w:val="20"/>
              </w:rPr>
              <w:br/>
              <w:t>Piaci folyamatok magyarázata a Marshall-kereszt segítségével.</w:t>
            </w:r>
            <w:r>
              <w:rPr>
                <w:rFonts w:ascii="Times New Roman" w:hAnsi="Times New Roman" w:cs="Times New Roman"/>
                <w:sz w:val="20"/>
                <w:szCs w:val="20"/>
              </w:rPr>
              <w:br/>
              <w:t>Specializáció és a komparatív előnyök tana.</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pénz kialakulása és funkciói</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különböző pénztörténeti korszakok bemutatása a munkamegosztás és a csereformák fejlődésén keresztül.</w:t>
            </w:r>
            <w:r>
              <w:rPr>
                <w:rFonts w:ascii="Times New Roman" w:hAnsi="Times New Roman" w:cs="Times New Roman"/>
                <w:sz w:val="20"/>
                <w:szCs w:val="20"/>
              </w:rPr>
              <w:br/>
              <w:t>A pénz funkciók meghatározása, és annak szemléltetése, hogy a különböző pénzformák, hogyan töltötték be a pénz szerepkörét.</w:t>
            </w:r>
            <w:r>
              <w:rPr>
                <w:rFonts w:ascii="Times New Roman" w:hAnsi="Times New Roman" w:cs="Times New Roman"/>
                <w:sz w:val="20"/>
                <w:szCs w:val="20"/>
              </w:rPr>
              <w:br/>
              <w:t>A pénz szerepe a gazdálkodásban.</w:t>
            </w:r>
            <w:r>
              <w:rPr>
                <w:rFonts w:ascii="Times New Roman" w:hAnsi="Times New Roman" w:cs="Times New Roman"/>
                <w:sz w:val="20"/>
                <w:szCs w:val="20"/>
              </w:rPr>
              <w:br/>
              <w:t>A váltó fogalma, szerepe a bankjegy kialakulásában.</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Bankok és a hitelezés kialakulása.</w:t>
            </w:r>
            <w:r>
              <w:rPr>
                <w:rFonts w:ascii="Times New Roman" w:hAnsi="Times New Roman" w:cs="Times New Roman"/>
                <w:sz w:val="20"/>
                <w:szCs w:val="20"/>
              </w:rPr>
              <w:br/>
              <w:t>Egyszintű, kétszintű bankrendszer, pénzintézetek fajtái, azok főbb jellemzői.</w:t>
            </w:r>
            <w:r>
              <w:rPr>
                <w:rFonts w:ascii="Times New Roman" w:hAnsi="Times New Roman" w:cs="Times New Roman"/>
                <w:sz w:val="20"/>
                <w:szCs w:val="20"/>
              </w:rPr>
              <w:br/>
              <w:t>A magyar bankrendszer kialakulása.</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fogyasztó, mint a gazdaság egyik kulcsszereplője, döntési mechanizmusai, illetve a fogyasztói magatartás elemzése</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háztartás, mint fogyasztó helye, szerepe a modern gazdaságban.</w:t>
            </w:r>
            <w:r>
              <w:rPr>
                <w:rFonts w:ascii="Times New Roman" w:hAnsi="Times New Roman" w:cs="Times New Roman"/>
                <w:sz w:val="20"/>
                <w:szCs w:val="20"/>
              </w:rPr>
              <w:br/>
              <w:t>A szűkösség értelmezése a háztartás esetén.</w:t>
            </w:r>
            <w:r>
              <w:rPr>
                <w:rFonts w:ascii="Times New Roman" w:hAnsi="Times New Roman" w:cs="Times New Roman"/>
                <w:sz w:val="20"/>
                <w:szCs w:val="20"/>
              </w:rPr>
              <w:br/>
              <w:t>A racionalitás értelmezése a fogyasztóra, s ennek modellezése.</w:t>
            </w:r>
            <w:r>
              <w:rPr>
                <w:rFonts w:ascii="Times New Roman" w:hAnsi="Times New Roman" w:cs="Times New Roman"/>
                <w:sz w:val="20"/>
                <w:szCs w:val="20"/>
              </w:rPr>
              <w:br/>
              <w:t>A szükséglet fogalma, csoportosítása, rangsorolása (preferencia rendszer).</w:t>
            </w:r>
            <w:r>
              <w:rPr>
                <w:rFonts w:ascii="Times New Roman" w:hAnsi="Times New Roman" w:cs="Times New Roman"/>
                <w:sz w:val="20"/>
                <w:szCs w:val="20"/>
              </w:rPr>
              <w:br/>
              <w:t>Háztartás költségvetésének összeállítása.</w:t>
            </w:r>
            <w:r>
              <w:rPr>
                <w:rFonts w:ascii="Times New Roman" w:hAnsi="Times New Roman" w:cs="Times New Roman"/>
                <w:sz w:val="20"/>
                <w:szCs w:val="20"/>
              </w:rPr>
              <w:br/>
              <w:t>A háztartás megtakarítása, befektetési szempontjai.</w:t>
            </w:r>
            <w:r>
              <w:rPr>
                <w:rFonts w:ascii="Times New Roman" w:hAnsi="Times New Roman" w:cs="Times New Roman"/>
                <w:sz w:val="20"/>
                <w:szCs w:val="20"/>
              </w:rPr>
              <w:br/>
              <w:t>A piaci keresleti függvény ábrázolása és jellemzése.</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fogyasztás, család, háztartás, szükséglet, igény és kereslet fogalma, az egyes fogalmak közötti különbségek, illetve összefüggések.</w:t>
            </w:r>
            <w:r>
              <w:rPr>
                <w:rFonts w:ascii="Times New Roman" w:hAnsi="Times New Roman" w:cs="Times New Roman"/>
                <w:sz w:val="20"/>
                <w:szCs w:val="20"/>
              </w:rPr>
              <w:br/>
              <w:t>A hasznosság kardinális és ordinális megközelítése.</w:t>
            </w:r>
            <w:r>
              <w:rPr>
                <w:rFonts w:ascii="Times New Roman" w:hAnsi="Times New Roman" w:cs="Times New Roman"/>
                <w:sz w:val="20"/>
                <w:szCs w:val="20"/>
              </w:rPr>
              <w:br/>
              <w:t>Hasznossági függvények ábrájának elemzése. Telítettségi pont jelentése és felismerése.</w:t>
            </w:r>
            <w:r>
              <w:rPr>
                <w:rFonts w:ascii="Times New Roman" w:hAnsi="Times New Roman" w:cs="Times New Roman"/>
                <w:sz w:val="20"/>
                <w:szCs w:val="20"/>
              </w:rPr>
              <w:br/>
              <w:t>A határhaszon és a csökkenő határhaszon értelmezése.</w:t>
            </w:r>
            <w:r>
              <w:rPr>
                <w:rFonts w:ascii="Times New Roman" w:hAnsi="Times New Roman" w:cs="Times New Roman"/>
                <w:sz w:val="20"/>
                <w:szCs w:val="20"/>
              </w:rPr>
              <w:br/>
              <w:t>A fogyasztók preferenciáinak bemutatása közömbösségi görbék rendszerén keresztül.</w:t>
            </w:r>
            <w:r>
              <w:rPr>
                <w:rFonts w:ascii="Times New Roman" w:hAnsi="Times New Roman" w:cs="Times New Roman"/>
                <w:sz w:val="20"/>
                <w:szCs w:val="20"/>
              </w:rPr>
              <w:br/>
              <w:t>A fogyasztói döntést korlátozó tényezők, a jövedelem és az árak változásának hatása a fogyasztói döntésekre.</w:t>
            </w:r>
            <w:r>
              <w:rPr>
                <w:rFonts w:ascii="Times New Roman" w:hAnsi="Times New Roman" w:cs="Times New Roman"/>
                <w:sz w:val="20"/>
                <w:szCs w:val="20"/>
              </w:rPr>
              <w:br/>
              <w:t>A költségvetési egyenes értelmezése.</w:t>
            </w:r>
            <w:r>
              <w:rPr>
                <w:rFonts w:ascii="Times New Roman" w:hAnsi="Times New Roman" w:cs="Times New Roman"/>
                <w:sz w:val="20"/>
                <w:szCs w:val="20"/>
              </w:rPr>
              <w:br/>
              <w:t>A piaci keresleti függvény levezetése.</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fogyasztói magatartást befolyásoló tényezők</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fogyasztói magatartást befolyásoló tényezők. A marketing eszközök hatása a fogyasztói döntésekre.</w:t>
            </w:r>
            <w:r>
              <w:rPr>
                <w:rFonts w:ascii="Times New Roman" w:hAnsi="Times New Roman" w:cs="Times New Roman"/>
                <w:sz w:val="20"/>
                <w:szCs w:val="20"/>
              </w:rPr>
              <w:br/>
              <w:t>A fogyasztó jogai, fogyasztóvédelem.</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kereslet rugalmasságának többoldalú megközelítése, értelmezése.</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vállalkozások fogalma, célrendszere, vállalkozási formák</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A vállalkozó fogalma. </w:t>
            </w:r>
            <w:r>
              <w:rPr>
                <w:rFonts w:ascii="Times New Roman" w:hAnsi="Times New Roman" w:cs="Times New Roman"/>
                <w:sz w:val="20"/>
                <w:szCs w:val="20"/>
              </w:rPr>
              <w:br/>
              <w:t>Vállalkozói tulajdonságok.</w:t>
            </w:r>
            <w:r>
              <w:rPr>
                <w:rFonts w:ascii="Times New Roman" w:hAnsi="Times New Roman" w:cs="Times New Roman"/>
                <w:sz w:val="20"/>
                <w:szCs w:val="20"/>
              </w:rPr>
              <w:br/>
              <w:t xml:space="preserve">A vállalkozások fogalma és céljai. </w:t>
            </w:r>
            <w:r>
              <w:rPr>
                <w:rFonts w:ascii="Times New Roman" w:hAnsi="Times New Roman" w:cs="Times New Roman"/>
                <w:sz w:val="20"/>
                <w:szCs w:val="20"/>
              </w:rPr>
              <w:br/>
            </w:r>
            <w:r>
              <w:rPr>
                <w:rFonts w:ascii="Times New Roman" w:hAnsi="Times New Roman" w:cs="Times New Roman"/>
                <w:sz w:val="20"/>
                <w:szCs w:val="20"/>
              </w:rPr>
              <w:lastRenderedPageBreak/>
              <w:t>A vállalkozás alapításának, működésének külső és belső feltételei, érintettjei.</w:t>
            </w:r>
            <w:r>
              <w:rPr>
                <w:rFonts w:ascii="Times New Roman" w:hAnsi="Times New Roman" w:cs="Times New Roman"/>
                <w:sz w:val="20"/>
                <w:szCs w:val="20"/>
              </w:rPr>
              <w:br/>
              <w:t>Vállalkozások csoportosítása különböző szempontok alapján.</w:t>
            </w:r>
            <w:r>
              <w:rPr>
                <w:rFonts w:ascii="Times New Roman" w:hAnsi="Times New Roman" w:cs="Times New Roman"/>
                <w:sz w:val="20"/>
                <w:szCs w:val="20"/>
              </w:rPr>
              <w:br/>
              <w:t>Vállalkozási formák jellemzése.</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lastRenderedPageBreak/>
              <w:t>Vállalkozói és a menedzseri szerepkör összehasonlítása.</w:t>
            </w:r>
            <w:r>
              <w:rPr>
                <w:rFonts w:ascii="Times New Roman" w:hAnsi="Times New Roman" w:cs="Times New Roman"/>
                <w:sz w:val="20"/>
                <w:szCs w:val="20"/>
              </w:rPr>
              <w:br/>
              <w:t xml:space="preserve">Vállalkozási forma megválasztásának </w:t>
            </w:r>
            <w:r>
              <w:rPr>
                <w:rFonts w:ascii="Times New Roman" w:hAnsi="Times New Roman" w:cs="Times New Roman"/>
                <w:sz w:val="20"/>
                <w:szCs w:val="20"/>
              </w:rPr>
              <w:lastRenderedPageBreak/>
              <w:t>szempontjai, a különböző vállalkozási formák előnyei és hátrányai.</w:t>
            </w:r>
            <w:r>
              <w:rPr>
                <w:rFonts w:ascii="Times New Roman" w:hAnsi="Times New Roman" w:cs="Times New Roman"/>
                <w:sz w:val="20"/>
                <w:szCs w:val="20"/>
              </w:rPr>
              <w:br/>
              <w:t>Tulajdonosi szerkezet alakulása az utóbbi években Magyarországon.</w:t>
            </w:r>
            <w:r>
              <w:rPr>
                <w:rFonts w:ascii="Times New Roman" w:hAnsi="Times New Roman" w:cs="Times New Roman"/>
                <w:sz w:val="20"/>
                <w:szCs w:val="20"/>
              </w:rPr>
              <w:br/>
              <w:t>A privatizáció fogalma, alapvető formái, jelentősége, szerepe a magyarországi átalakulás során a 90-es évektől kezdődően.</w:t>
            </w:r>
            <w:r>
              <w:rPr>
                <w:rFonts w:ascii="Times New Roman" w:hAnsi="Times New Roman" w:cs="Times New Roman"/>
                <w:sz w:val="20"/>
                <w:szCs w:val="20"/>
              </w:rPr>
              <w:br/>
              <w:t>A nonprofit szféra főbb területei és sajátosságai.</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lastRenderedPageBreak/>
              <w:t>A termelés erőforrásai és felhasználási lehetőségeik</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Termelési tényezők megnevezése, jellemzése.</w:t>
            </w:r>
            <w:r>
              <w:rPr>
                <w:rFonts w:ascii="Times New Roman" w:hAnsi="Times New Roman" w:cs="Times New Roman"/>
                <w:sz w:val="20"/>
                <w:szCs w:val="20"/>
              </w:rPr>
              <w:br/>
              <w:t>A termelési tényezők szerepe a vállalkozás döntéseiben. A munkamegosztás jelentősége, fejlődése a termelésben.</w:t>
            </w:r>
            <w:r>
              <w:rPr>
                <w:rFonts w:ascii="Times New Roman" w:hAnsi="Times New Roman" w:cs="Times New Roman"/>
                <w:sz w:val="20"/>
                <w:szCs w:val="20"/>
              </w:rPr>
              <w:br/>
              <w:t>Termelékenységet befolyásoló tényezők.</w:t>
            </w:r>
            <w:r>
              <w:rPr>
                <w:rFonts w:ascii="Times New Roman" w:hAnsi="Times New Roman" w:cs="Times New Roman"/>
                <w:sz w:val="20"/>
                <w:szCs w:val="20"/>
              </w:rPr>
              <w:br/>
              <w:t>A vállalkozás működése során felmerülő költségek típusai.</w:t>
            </w:r>
            <w:r>
              <w:rPr>
                <w:rFonts w:ascii="Times New Roman" w:hAnsi="Times New Roman" w:cs="Times New Roman"/>
                <w:sz w:val="20"/>
                <w:szCs w:val="20"/>
              </w:rPr>
              <w:br/>
              <w:t>A termelői racionalitás értelmezése és a profit alakulása.</w:t>
            </w:r>
            <w:r>
              <w:rPr>
                <w:rFonts w:ascii="Times New Roman" w:hAnsi="Times New Roman" w:cs="Times New Roman"/>
                <w:sz w:val="20"/>
                <w:szCs w:val="20"/>
              </w:rPr>
              <w:br/>
              <w:t>Az idő szerepe és értelmezése a közgazdaságtanban.</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Az erőforrások és a termelés kapcsolata. A technológiai és gazdasági hatékonyság.</w:t>
            </w:r>
            <w:r>
              <w:rPr>
                <w:rFonts w:ascii="Times New Roman" w:hAnsi="Times New Roman" w:cs="Times New Roman"/>
                <w:sz w:val="20"/>
                <w:szCs w:val="20"/>
              </w:rPr>
              <w:br/>
              <w:t>A termelési függvény elemzése, meghatározói, ábrázolása.</w:t>
            </w:r>
            <w:r>
              <w:rPr>
                <w:rFonts w:ascii="Times New Roman" w:hAnsi="Times New Roman" w:cs="Times New Roman"/>
                <w:sz w:val="20"/>
                <w:szCs w:val="20"/>
              </w:rPr>
              <w:br/>
              <w:t>Kiadás versus költség és bevétel versus haszon.</w:t>
            </w:r>
            <w:r>
              <w:rPr>
                <w:rFonts w:ascii="Times New Roman" w:hAnsi="Times New Roman" w:cs="Times New Roman"/>
                <w:sz w:val="20"/>
                <w:szCs w:val="20"/>
              </w:rPr>
              <w:br/>
              <w:t xml:space="preserve">A vállalkozás működése során felmerülő költségek jellemzői és a köztük érvényesülő összefüggések. </w:t>
            </w:r>
            <w:r>
              <w:rPr>
                <w:rFonts w:ascii="Times New Roman" w:hAnsi="Times New Roman" w:cs="Times New Roman"/>
                <w:sz w:val="20"/>
                <w:szCs w:val="20"/>
              </w:rPr>
              <w:br/>
              <w:t>A különböző profitkategóriák meghatározása, értelmezése.</w:t>
            </w:r>
            <w:r>
              <w:rPr>
                <w:rFonts w:ascii="Times New Roman" w:hAnsi="Times New Roman" w:cs="Times New Roman"/>
                <w:sz w:val="20"/>
                <w:szCs w:val="20"/>
              </w:rPr>
              <w:br/>
              <w:t>A különböző bevételi, költség- és profitfüggvények elemzése, meghatározói, ábrázolásuk.</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Piaci formák és jellemzőik. A racionális vállalkozói magatartás különböző piaci viszonyok között</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A piaci formák és jellemzőik. </w:t>
            </w:r>
            <w:r>
              <w:rPr>
                <w:rFonts w:ascii="Times New Roman" w:hAnsi="Times New Roman" w:cs="Times New Roman"/>
                <w:sz w:val="20"/>
                <w:szCs w:val="20"/>
              </w:rPr>
              <w:br/>
              <w:t>A vállalkozás piaci helyzetének, döntéseinek szerepe az árbevétel alakulásában.</w:t>
            </w:r>
            <w:r>
              <w:rPr>
                <w:rFonts w:ascii="Times New Roman" w:hAnsi="Times New Roman" w:cs="Times New Roman"/>
                <w:sz w:val="20"/>
                <w:szCs w:val="20"/>
              </w:rPr>
              <w:br/>
              <w:t xml:space="preserve">A profitorientáció értelmezése. </w:t>
            </w:r>
            <w:r>
              <w:rPr>
                <w:rFonts w:ascii="Times New Roman" w:hAnsi="Times New Roman" w:cs="Times New Roman"/>
                <w:sz w:val="20"/>
                <w:szCs w:val="20"/>
              </w:rPr>
              <w:br/>
              <w:t>A fedezeti pont jelentősége a vállalkozási döntésekben.</w:t>
            </w:r>
            <w:r>
              <w:rPr>
                <w:rFonts w:ascii="Times New Roman" w:hAnsi="Times New Roman" w:cs="Times New Roman"/>
                <w:sz w:val="20"/>
                <w:szCs w:val="20"/>
              </w:rPr>
              <w:br/>
              <w:t>A tisztességes piaci magatartás és verseny védelmének állami eszközei és a versenyszabályozás.</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tökéletes verseny viszonyai között működő vállalkozások döntéseinek sajátosságai, a profitmaximum helyének meghatározása. A verseny „torzulásai” és azok szükségszerűsége.</w:t>
            </w:r>
            <w:r>
              <w:rPr>
                <w:rFonts w:ascii="Times New Roman" w:hAnsi="Times New Roman" w:cs="Times New Roman"/>
                <w:sz w:val="20"/>
                <w:szCs w:val="20"/>
              </w:rPr>
              <w:br/>
              <w:t>A monopolhelyzet kialakulásának okai.</w:t>
            </w:r>
            <w:r>
              <w:rPr>
                <w:rFonts w:ascii="Times New Roman" w:hAnsi="Times New Roman" w:cs="Times New Roman"/>
                <w:sz w:val="20"/>
                <w:szCs w:val="20"/>
              </w:rPr>
              <w:br/>
              <w:t>A monopólium, mint piaci forma jellemzői, döntéseinek sajátosságai, a profitmaximum helyének meghatározása.</w:t>
            </w:r>
            <w:r>
              <w:rPr>
                <w:rFonts w:ascii="Times New Roman" w:hAnsi="Times New Roman" w:cs="Times New Roman"/>
                <w:sz w:val="20"/>
                <w:szCs w:val="20"/>
              </w:rPr>
              <w:br/>
              <w:t>A fedezeti pont és az üzembezárási pont értelmezése és számítása különböző piaci formák esetén.</w:t>
            </w:r>
            <w:r>
              <w:rPr>
                <w:rFonts w:ascii="Times New Roman" w:hAnsi="Times New Roman" w:cs="Times New Roman"/>
                <w:sz w:val="20"/>
                <w:szCs w:val="20"/>
              </w:rPr>
              <w:br/>
              <w:t>A természetes monopólium kialakulása, működésének szabályozási lehetőségei.</w:t>
            </w:r>
            <w:r>
              <w:rPr>
                <w:rFonts w:ascii="Times New Roman" w:hAnsi="Times New Roman" w:cs="Times New Roman"/>
                <w:sz w:val="20"/>
                <w:szCs w:val="20"/>
              </w:rPr>
              <w:br/>
              <w:t>Az árdiszkrimináció értelmezése, fajtái.</w:t>
            </w:r>
            <w:r>
              <w:rPr>
                <w:rFonts w:ascii="Times New Roman" w:hAnsi="Times New Roman" w:cs="Times New Roman"/>
                <w:sz w:val="20"/>
                <w:szCs w:val="20"/>
              </w:rPr>
              <w:br/>
              <w:t>A monopolhelyzet társadalmi előnyei és hátrányai, különös tekintettel a jóléti szempontokra.</w:t>
            </w:r>
            <w:r>
              <w:rPr>
                <w:rFonts w:ascii="Times New Roman" w:hAnsi="Times New Roman" w:cs="Times New Roman"/>
                <w:sz w:val="20"/>
                <w:szCs w:val="20"/>
              </w:rPr>
              <w:br/>
              <w:t>A fogyasztói és a termelői többlet, illetve a holtteherveszteség értelmezése.</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vállalkozás finanszírozása, működését és vagyoni helyzetét befolyásoló tényezők.</w:t>
            </w:r>
            <w:r>
              <w:rPr>
                <w:rFonts w:ascii="Times New Roman" w:hAnsi="Times New Roman" w:cs="Times New Roman"/>
                <w:sz w:val="20"/>
                <w:szCs w:val="20"/>
              </w:rPr>
              <w:br/>
              <w:t>A tőkepiac</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Az induló tőke, a pótlólagos tőkebefektetések és az eredmény hatása a vállalkozás vagyoni helyzetére.</w:t>
            </w:r>
            <w:r>
              <w:rPr>
                <w:rFonts w:ascii="Times New Roman" w:hAnsi="Times New Roman" w:cs="Times New Roman"/>
                <w:sz w:val="20"/>
                <w:szCs w:val="20"/>
              </w:rPr>
              <w:br/>
              <w:t>A vállalkozás eredményét befolyásoló tényezők.</w:t>
            </w:r>
            <w:r>
              <w:rPr>
                <w:rFonts w:ascii="Times New Roman" w:hAnsi="Times New Roman" w:cs="Times New Roman"/>
                <w:sz w:val="20"/>
                <w:szCs w:val="20"/>
              </w:rPr>
              <w:br/>
              <w:t>Finanszírozási források: saját forrás, idegen forrás.</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jövedelem és a vagyon kapcsolata.</w:t>
            </w:r>
            <w:r>
              <w:rPr>
                <w:rFonts w:ascii="Times New Roman" w:hAnsi="Times New Roman" w:cs="Times New Roman"/>
                <w:sz w:val="20"/>
                <w:szCs w:val="20"/>
              </w:rPr>
              <w:br/>
              <w:t>A vagyonértékelés módozatai.</w:t>
            </w:r>
            <w:r>
              <w:rPr>
                <w:rFonts w:ascii="Times New Roman" w:hAnsi="Times New Roman" w:cs="Times New Roman"/>
                <w:sz w:val="20"/>
                <w:szCs w:val="20"/>
              </w:rPr>
              <w:br/>
              <w:t>A jelenérték számítás.</w:t>
            </w:r>
            <w:r>
              <w:rPr>
                <w:rFonts w:ascii="Times New Roman" w:hAnsi="Times New Roman" w:cs="Times New Roman"/>
                <w:sz w:val="20"/>
                <w:szCs w:val="20"/>
              </w:rPr>
              <w:br/>
              <w:t>A tőkekínálat jellemzői, alakulására ható tényezők.</w:t>
            </w:r>
            <w:r>
              <w:rPr>
                <w:rFonts w:ascii="Times New Roman" w:hAnsi="Times New Roman" w:cs="Times New Roman"/>
                <w:sz w:val="20"/>
                <w:szCs w:val="20"/>
              </w:rPr>
              <w:br/>
              <w:t>A tőkekereslet jellemzése, alakulására ható tényezők.</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tőke ára.</w:t>
            </w:r>
            <w:r>
              <w:rPr>
                <w:rFonts w:ascii="Times New Roman" w:hAnsi="Times New Roman" w:cs="Times New Roman"/>
                <w:sz w:val="20"/>
                <w:szCs w:val="20"/>
              </w:rPr>
              <w:br/>
              <w:t>A kereskedelmi bankok ezzel kapcsolatos feladatai.</w:t>
            </w:r>
            <w:r>
              <w:rPr>
                <w:rFonts w:ascii="Times New Roman" w:hAnsi="Times New Roman" w:cs="Times New Roman"/>
                <w:sz w:val="20"/>
                <w:szCs w:val="20"/>
              </w:rPr>
              <w:br/>
              <w:t>Folyószámla hitelek; Rövid, közép- és hosszú lejáratú bankhitelek. Hitelezéssel kapcsolatos alapfogalmak (kamat, futamidő, fedezet, jelzálog, sajáterő).</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Értékpapírok fajtái és jellemzői.</w:t>
            </w:r>
            <w:r>
              <w:rPr>
                <w:rFonts w:ascii="Times New Roman" w:hAnsi="Times New Roman" w:cs="Times New Roman"/>
                <w:sz w:val="20"/>
                <w:szCs w:val="20"/>
              </w:rPr>
              <w:br/>
              <w:t>A tőzsdék fajtái, működésük.</w:t>
            </w:r>
            <w:r>
              <w:rPr>
                <w:rFonts w:ascii="Times New Roman" w:hAnsi="Times New Roman" w:cs="Times New Roman"/>
                <w:sz w:val="20"/>
                <w:szCs w:val="20"/>
              </w:rPr>
              <w:br/>
              <w:t>Részvények adásvételének gyakorlata, jelentősége.</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lastRenderedPageBreak/>
              <w:t>A piaci mechanizmus működési zavarai</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vállalat működését befolyásoló „külső környezet” főbb összetevői.</w:t>
            </w:r>
            <w:r>
              <w:rPr>
                <w:rFonts w:ascii="Times New Roman" w:hAnsi="Times New Roman" w:cs="Times New Roman"/>
                <w:sz w:val="20"/>
                <w:szCs w:val="20"/>
              </w:rPr>
              <w:br/>
              <w:t>Az externáliák fogalma, elemzése, hatása a vállalkozás életére, különös tekintettel a környezetgazdálkodás jelentőségének növekedésére.</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Közjavak, magánjavak, vegyes javak.</w:t>
            </w:r>
            <w:r>
              <w:rPr>
                <w:rFonts w:ascii="Times New Roman" w:hAnsi="Times New Roman" w:cs="Times New Roman"/>
                <w:sz w:val="20"/>
                <w:szCs w:val="20"/>
              </w:rPr>
              <w:br/>
              <w:t>A potyautas magatartás.</w:t>
            </w:r>
            <w:r>
              <w:rPr>
                <w:rFonts w:ascii="Times New Roman" w:hAnsi="Times New Roman" w:cs="Times New Roman"/>
                <w:sz w:val="20"/>
                <w:szCs w:val="20"/>
              </w:rPr>
              <w:br/>
              <w:t>Piaci mechanizmus kritikája, működési elégtelenségei.</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munka, mint termelési tényező a gazdálkodás folyamatában</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A munkaerő, mint termelési tényező bemutatása. </w:t>
            </w:r>
            <w:r>
              <w:rPr>
                <w:rFonts w:ascii="Times New Roman" w:hAnsi="Times New Roman" w:cs="Times New Roman"/>
                <w:sz w:val="20"/>
                <w:szCs w:val="20"/>
              </w:rPr>
              <w:br/>
              <w:t>Az emberi erőforrás helye, szerepe a vállalkozások életében.</w:t>
            </w:r>
            <w:r>
              <w:rPr>
                <w:rFonts w:ascii="Times New Roman" w:hAnsi="Times New Roman" w:cs="Times New Roman"/>
                <w:sz w:val="20"/>
                <w:szCs w:val="20"/>
              </w:rPr>
              <w:br/>
              <w:t>A munkaerő-piaci elhelyezkedést segítő kompetenciák.</w:t>
            </w:r>
            <w:r>
              <w:rPr>
                <w:rFonts w:ascii="Times New Roman" w:hAnsi="Times New Roman" w:cs="Times New Roman"/>
                <w:sz w:val="20"/>
                <w:szCs w:val="20"/>
              </w:rPr>
              <w:br/>
              <w:t>A bérmeghatározó tényezők, a piaci és a nem piaci erők hatása. A szociális párbeszéd a munkáltatók és a munkavállalók között.</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munkakínálat jellemzői, alakulására ható tényezők.</w:t>
            </w:r>
            <w:r>
              <w:rPr>
                <w:rFonts w:ascii="Times New Roman" w:hAnsi="Times New Roman" w:cs="Times New Roman"/>
                <w:sz w:val="20"/>
                <w:szCs w:val="20"/>
              </w:rPr>
              <w:br/>
              <w:t>A munkakereslet jellemzése, alakulására ható tényezők.</w:t>
            </w:r>
            <w:r>
              <w:rPr>
                <w:rFonts w:ascii="Times New Roman" w:hAnsi="Times New Roman" w:cs="Times New Roman"/>
                <w:sz w:val="20"/>
                <w:szCs w:val="20"/>
              </w:rPr>
              <w:br/>
              <w:t>A humán tőkebefektetés megtérülése.</w:t>
            </w:r>
            <w:r>
              <w:rPr>
                <w:rFonts w:ascii="Times New Roman" w:hAnsi="Times New Roman" w:cs="Times New Roman"/>
                <w:sz w:val="20"/>
                <w:szCs w:val="20"/>
              </w:rPr>
              <w:br/>
              <w:t>A munkabérek alsó és felső korlátja.</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makrogazdaság szereplői és a makrojövedelem keletkezése</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makrogazdaság szereplői és a makrogazdasági körforgás.</w:t>
            </w:r>
            <w:r>
              <w:rPr>
                <w:rFonts w:ascii="Times New Roman" w:hAnsi="Times New Roman" w:cs="Times New Roman"/>
                <w:sz w:val="20"/>
                <w:szCs w:val="20"/>
              </w:rPr>
              <w:br/>
              <w:t>A nemzetgazdaság kibocsátásának mérésének problémái.</w:t>
            </w:r>
            <w:r>
              <w:rPr>
                <w:rFonts w:ascii="Times New Roman" w:hAnsi="Times New Roman" w:cs="Times New Roman"/>
                <w:sz w:val="20"/>
                <w:szCs w:val="20"/>
              </w:rPr>
              <w:br/>
              <w:t>Makrogazdasági mutatók értelmezése, számításuk.</w:t>
            </w:r>
            <w:r>
              <w:rPr>
                <w:rFonts w:ascii="Times New Roman" w:hAnsi="Times New Roman" w:cs="Times New Roman"/>
                <w:sz w:val="20"/>
                <w:szCs w:val="20"/>
              </w:rPr>
              <w:br/>
              <w:t>A háztartások jövedelmének keletkezési forrásai.</w:t>
            </w:r>
            <w:r>
              <w:rPr>
                <w:rFonts w:ascii="Times New Roman" w:hAnsi="Times New Roman" w:cs="Times New Roman"/>
                <w:sz w:val="20"/>
                <w:szCs w:val="20"/>
              </w:rPr>
              <w:br/>
              <w:t>A jövedelem felhasználása.</w:t>
            </w:r>
            <w:r>
              <w:rPr>
                <w:rFonts w:ascii="Times New Roman" w:hAnsi="Times New Roman" w:cs="Times New Roman"/>
                <w:sz w:val="20"/>
                <w:szCs w:val="20"/>
              </w:rPr>
              <w:br/>
              <w:t>A háztartások megtakarítási attitűdjei, formái.</w:t>
            </w:r>
            <w:r>
              <w:rPr>
                <w:rFonts w:ascii="Times New Roman" w:hAnsi="Times New Roman" w:cs="Times New Roman"/>
                <w:sz w:val="20"/>
                <w:szCs w:val="20"/>
              </w:rPr>
              <w:br/>
              <w:t>A megtakarítások szerepe a makrogazdaságban.</w:t>
            </w:r>
            <w:r>
              <w:rPr>
                <w:rFonts w:ascii="Times New Roman" w:hAnsi="Times New Roman" w:cs="Times New Roman"/>
                <w:sz w:val="20"/>
                <w:szCs w:val="20"/>
              </w:rPr>
              <w:br/>
              <w:t>A fogyasztás, a megtakarítások, a beruházások közötti makrogazdasági összefüggés.</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nemzetgazdasági fogyasztási és a beruházási függvény ismerete, elemzése, meghatározóik, ábrázolásuk.</w:t>
            </w:r>
            <w:r>
              <w:rPr>
                <w:rFonts w:ascii="Times New Roman" w:hAnsi="Times New Roman" w:cs="Times New Roman"/>
                <w:sz w:val="20"/>
                <w:szCs w:val="20"/>
              </w:rPr>
              <w:br/>
              <w:t>A fogyasztás részesedése a nemzetgazdaság által megtermelt jövedelemből.</w:t>
            </w:r>
            <w:r>
              <w:rPr>
                <w:rFonts w:ascii="Times New Roman" w:hAnsi="Times New Roman" w:cs="Times New Roman"/>
                <w:sz w:val="20"/>
                <w:szCs w:val="20"/>
              </w:rPr>
              <w:br/>
              <w:t>Életszínvonal.</w:t>
            </w:r>
            <w:r>
              <w:rPr>
                <w:rFonts w:ascii="Times New Roman" w:hAnsi="Times New Roman" w:cs="Times New Roman"/>
                <w:sz w:val="20"/>
                <w:szCs w:val="20"/>
              </w:rPr>
              <w:br/>
              <w:t>A hazai fogyasztás összehasonlítása nemzetközi példákkal.</w:t>
            </w:r>
            <w:r>
              <w:rPr>
                <w:rFonts w:ascii="Times New Roman" w:hAnsi="Times New Roman" w:cs="Times New Roman"/>
                <w:sz w:val="20"/>
                <w:szCs w:val="20"/>
              </w:rPr>
              <w:br/>
              <w:t>Az árupiaci kereslet a tervezett jövedelem függvényében.</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modern pénz teremtése és a pénzpiac</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modern pénz fogalma, a pénzteremtés folyamata, mechanizmusa.</w:t>
            </w:r>
            <w:r>
              <w:rPr>
                <w:rFonts w:ascii="Times New Roman" w:hAnsi="Times New Roman" w:cs="Times New Roman"/>
                <w:sz w:val="20"/>
                <w:szCs w:val="20"/>
              </w:rPr>
              <w:br/>
              <w:t>Pénzkímélő eszközök használata a gyakorlatban.</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pénzkeresletre ható tényezők.</w:t>
            </w:r>
            <w:r>
              <w:rPr>
                <w:rFonts w:ascii="Times New Roman" w:hAnsi="Times New Roman" w:cs="Times New Roman"/>
                <w:sz w:val="20"/>
                <w:szCs w:val="20"/>
              </w:rPr>
              <w:br/>
              <w:t>A pénzkínálat alakulása és a jegybank szerepe ebben.</w:t>
            </w:r>
            <w:r>
              <w:rPr>
                <w:rFonts w:ascii="Times New Roman" w:hAnsi="Times New Roman" w:cs="Times New Roman"/>
                <w:sz w:val="20"/>
                <w:szCs w:val="20"/>
              </w:rPr>
              <w:br/>
              <w:t>A pénzkeresleti és a pénzkínálati függvény ismerete, elemzése, ábrázolása.</w:t>
            </w:r>
            <w:r>
              <w:rPr>
                <w:rFonts w:ascii="Times New Roman" w:hAnsi="Times New Roman" w:cs="Times New Roman"/>
                <w:sz w:val="20"/>
                <w:szCs w:val="20"/>
              </w:rPr>
              <w:br/>
              <w:t>A gazdaság pénzszükségletét meghatározó tényezők.</w:t>
            </w:r>
            <w:r>
              <w:rPr>
                <w:rFonts w:ascii="Times New Roman" w:hAnsi="Times New Roman" w:cs="Times New Roman"/>
                <w:sz w:val="20"/>
                <w:szCs w:val="20"/>
              </w:rPr>
              <w:br/>
              <w:t>Az egyensúlyi kamatláb.</w:t>
            </w:r>
            <w:r>
              <w:rPr>
                <w:rFonts w:ascii="Times New Roman" w:hAnsi="Times New Roman" w:cs="Times New Roman"/>
                <w:sz w:val="20"/>
                <w:szCs w:val="20"/>
              </w:rPr>
              <w:br/>
              <w:t>Pénzügyi intézmények rendszere Magyarországon – szereplők, feladatuk és tevékenységük.</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munkapiac és a munkanélküliség problémájának elemzése</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munkapiaci szereplők meghatározása, a kereslet és kínálat értelmezése.</w:t>
            </w:r>
            <w:r>
              <w:rPr>
                <w:rFonts w:ascii="Times New Roman" w:hAnsi="Times New Roman" w:cs="Times New Roman"/>
                <w:sz w:val="20"/>
                <w:szCs w:val="20"/>
              </w:rPr>
              <w:br/>
              <w:t>A munkapiac szemléltetése a keresleti és kínálati függvény segítségével.</w:t>
            </w:r>
            <w:r>
              <w:rPr>
                <w:rFonts w:ascii="Times New Roman" w:hAnsi="Times New Roman" w:cs="Times New Roman"/>
                <w:sz w:val="20"/>
                <w:szCs w:val="20"/>
              </w:rPr>
              <w:br/>
              <w:t>A munkapiaci helyzetek értelmezése.</w:t>
            </w:r>
            <w:r>
              <w:rPr>
                <w:rFonts w:ascii="Times New Roman" w:hAnsi="Times New Roman" w:cs="Times New Roman"/>
                <w:sz w:val="20"/>
                <w:szCs w:val="20"/>
              </w:rPr>
              <w:br/>
              <w:t xml:space="preserve">A munkanélküliség fogalma, típusai, mérése. </w:t>
            </w:r>
            <w:r>
              <w:rPr>
                <w:rFonts w:ascii="Times New Roman" w:hAnsi="Times New Roman" w:cs="Times New Roman"/>
                <w:sz w:val="20"/>
                <w:szCs w:val="20"/>
              </w:rPr>
              <w:br/>
              <w:t>Munkanélküliségi ráta értelmezése.</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munkakeresleti és a munkakínálati függvény ismerete, elemzése, ábrázolása.</w:t>
            </w:r>
            <w:r>
              <w:rPr>
                <w:rFonts w:ascii="Times New Roman" w:hAnsi="Times New Roman" w:cs="Times New Roman"/>
                <w:sz w:val="20"/>
                <w:szCs w:val="20"/>
              </w:rPr>
              <w:br/>
              <w:t>Foglalkoztatottság és munkanélküliség Magyarországon.</w:t>
            </w:r>
            <w:r>
              <w:rPr>
                <w:rFonts w:ascii="Times New Roman" w:hAnsi="Times New Roman" w:cs="Times New Roman"/>
                <w:sz w:val="20"/>
                <w:szCs w:val="20"/>
              </w:rPr>
              <w:br/>
              <w:t>A hazai és a nemzetközi foglalkoztatottsági és munkanélküliségi adatok összehasonlítása.</w:t>
            </w:r>
            <w:r>
              <w:rPr>
                <w:rFonts w:ascii="Times New Roman" w:hAnsi="Times New Roman" w:cs="Times New Roman"/>
                <w:sz w:val="20"/>
                <w:szCs w:val="20"/>
              </w:rPr>
              <w:br/>
              <w:t>A tőkeállomány és a foglalkoztatottság hatása a nemzetgazdasági jövedelem alakulására.</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Az állam gazdasági szerepvállalásának megjelenése, oka, fejlődési szakaszai, a gazdasági válságok</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klasszikus újratermelési ciklus sajátosságainak bemutatása.</w:t>
            </w:r>
            <w:r>
              <w:rPr>
                <w:rFonts w:ascii="Times New Roman" w:hAnsi="Times New Roman" w:cs="Times New Roman"/>
                <w:sz w:val="20"/>
                <w:szCs w:val="20"/>
              </w:rPr>
              <w:br/>
              <w:t>A modern állam szerepvállalásának közvetlen előzményei.</w:t>
            </w:r>
            <w:r>
              <w:rPr>
                <w:rFonts w:ascii="Times New Roman" w:hAnsi="Times New Roman" w:cs="Times New Roman"/>
                <w:sz w:val="20"/>
                <w:szCs w:val="20"/>
              </w:rPr>
              <w:br/>
              <w:t xml:space="preserve">Az állami beavatkozás oka, célja, </w:t>
            </w:r>
            <w:r>
              <w:rPr>
                <w:rFonts w:ascii="Times New Roman" w:hAnsi="Times New Roman" w:cs="Times New Roman"/>
                <w:sz w:val="20"/>
                <w:szCs w:val="20"/>
              </w:rPr>
              <w:lastRenderedPageBreak/>
              <w:t>eszközei.</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lastRenderedPageBreak/>
              <w:t>A makrogazdasági egyensúly meghatározása és a válságciklusok jellemzői az állami szerepvállalás megjelenése előtt és után.</w:t>
            </w:r>
            <w:r>
              <w:rPr>
                <w:rFonts w:ascii="Times New Roman" w:hAnsi="Times New Roman" w:cs="Times New Roman"/>
                <w:sz w:val="20"/>
                <w:szCs w:val="20"/>
              </w:rPr>
              <w:br/>
              <w:t>Az állami újraelosztás mértékének összehasonlítása.</w:t>
            </w:r>
            <w:r>
              <w:rPr>
                <w:rFonts w:ascii="Times New Roman" w:hAnsi="Times New Roman" w:cs="Times New Roman"/>
                <w:sz w:val="20"/>
                <w:szCs w:val="20"/>
              </w:rPr>
              <w:br/>
            </w:r>
            <w:r>
              <w:rPr>
                <w:rFonts w:ascii="Times New Roman" w:hAnsi="Times New Roman" w:cs="Times New Roman"/>
                <w:sz w:val="20"/>
                <w:szCs w:val="20"/>
              </w:rPr>
              <w:lastRenderedPageBreak/>
              <w:t>Magyarország, nyugat-európai országok és az Egyesült Államok példái alapján.</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Költségvetés politika </w:t>
            </w:r>
            <w:r>
              <w:rPr>
                <w:rFonts w:ascii="Times New Roman" w:hAnsi="Times New Roman" w:cs="Times New Roman"/>
                <w:sz w:val="20"/>
                <w:szCs w:val="20"/>
              </w:rPr>
              <w:br/>
              <w:t>jellemzői</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fiskális politika fogalma, a költségvetés felépítése, egyenlege, a deficit finanszírozás módjai.</w:t>
            </w:r>
            <w:r>
              <w:rPr>
                <w:rFonts w:ascii="Times New Roman" w:hAnsi="Times New Roman" w:cs="Times New Roman"/>
                <w:sz w:val="20"/>
                <w:szCs w:val="20"/>
              </w:rPr>
              <w:br/>
              <w:t>A költségvetési politika eszközrendszere, különös tekintettel az adózásra. A költségvetési politika hatásmechanizmusa, veszélyei.</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Az állami újraelosztás hatása a GDP alakulására.</w:t>
            </w:r>
            <w:r>
              <w:rPr>
                <w:rFonts w:ascii="Times New Roman" w:hAnsi="Times New Roman" w:cs="Times New Roman"/>
                <w:sz w:val="20"/>
                <w:szCs w:val="20"/>
              </w:rPr>
              <w:br/>
              <w:t>A feketegazdaság és a költségvetési hiány problémái Magyarországon.</w:t>
            </w:r>
            <w:r>
              <w:rPr>
                <w:rFonts w:ascii="Times New Roman" w:hAnsi="Times New Roman" w:cs="Times New Roman"/>
                <w:sz w:val="20"/>
                <w:szCs w:val="20"/>
              </w:rPr>
              <w:br/>
              <w:t>Adónemek.</w:t>
            </w:r>
            <w:r>
              <w:rPr>
                <w:rFonts w:ascii="Times New Roman" w:hAnsi="Times New Roman" w:cs="Times New Roman"/>
                <w:sz w:val="20"/>
                <w:szCs w:val="20"/>
              </w:rPr>
              <w:br/>
              <w:t>Adópolitika és adómorál Magyarországon.</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Az infláció és a monetáris gazdaságpolitika jellemzői</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Az infláció fogalma, mérése, típusai, okai.</w:t>
            </w:r>
            <w:r>
              <w:rPr>
                <w:rFonts w:ascii="Times New Roman" w:hAnsi="Times New Roman" w:cs="Times New Roman"/>
                <w:sz w:val="20"/>
                <w:szCs w:val="20"/>
              </w:rPr>
              <w:br/>
              <w:t>Infláció hatása a gazdaságra és az egyes gazdasági szereplőkre.</w:t>
            </w:r>
            <w:r>
              <w:rPr>
                <w:rFonts w:ascii="Times New Roman" w:hAnsi="Times New Roman" w:cs="Times New Roman"/>
                <w:sz w:val="20"/>
                <w:szCs w:val="20"/>
              </w:rPr>
              <w:br/>
              <w:t xml:space="preserve">A monetáris politika fogalma, céljai. </w:t>
            </w:r>
            <w:r>
              <w:rPr>
                <w:rFonts w:ascii="Times New Roman" w:hAnsi="Times New Roman" w:cs="Times New Roman"/>
                <w:sz w:val="20"/>
                <w:szCs w:val="20"/>
              </w:rPr>
              <w:br/>
              <w:t>A monetáris szabályozás jegybanki eszközei, működésének mechanizmusa.</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fogyasztási szokások és a profitvárakozások hatása az infláció alakulására.</w:t>
            </w:r>
            <w:r>
              <w:rPr>
                <w:rFonts w:ascii="Times New Roman" w:hAnsi="Times New Roman" w:cs="Times New Roman"/>
                <w:sz w:val="20"/>
                <w:szCs w:val="20"/>
              </w:rPr>
              <w:br/>
              <w:t>A pénzkínálat alakulása és az infláció kapcsolata.</w:t>
            </w:r>
            <w:r>
              <w:rPr>
                <w:rFonts w:ascii="Times New Roman" w:hAnsi="Times New Roman" w:cs="Times New Roman"/>
                <w:sz w:val="20"/>
                <w:szCs w:val="20"/>
              </w:rPr>
              <w:br/>
              <w:t>Az ár-bér spirál értelmezése.</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nemzetgazdaság külgazdasági kapcsolatai</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A kereskedelmi és fizetési mérleg felépítése és a közöttük lévő kapcsolat. </w:t>
            </w:r>
            <w:r>
              <w:rPr>
                <w:rFonts w:ascii="Times New Roman" w:hAnsi="Times New Roman" w:cs="Times New Roman"/>
                <w:sz w:val="20"/>
                <w:szCs w:val="20"/>
              </w:rPr>
              <w:br/>
              <w:t>A valutakereslet és valutakínálat értelmezése, jellemzése.</w:t>
            </w:r>
            <w:r>
              <w:rPr>
                <w:rFonts w:ascii="Times New Roman" w:hAnsi="Times New Roman" w:cs="Times New Roman"/>
                <w:sz w:val="20"/>
                <w:szCs w:val="20"/>
              </w:rPr>
              <w:br/>
              <w:t>A különböző valutaárfolyamok.</w:t>
            </w:r>
            <w:r>
              <w:rPr>
                <w:rFonts w:ascii="Times New Roman" w:hAnsi="Times New Roman" w:cs="Times New Roman"/>
                <w:sz w:val="20"/>
                <w:szCs w:val="20"/>
              </w:rPr>
              <w:br/>
              <w:t>Napjaink valutáinak árfolyam- meghatározása, az euró jelentősége.</w:t>
            </w:r>
            <w:r>
              <w:rPr>
                <w:rFonts w:ascii="Times New Roman" w:hAnsi="Times New Roman" w:cs="Times New Roman"/>
                <w:sz w:val="20"/>
                <w:szCs w:val="20"/>
              </w:rPr>
              <w:br/>
              <w:t>Magyarország külgazdasági kapcsolatainak áttekintése.</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nyitott gazdaság egyensúlya.</w:t>
            </w:r>
            <w:r>
              <w:rPr>
                <w:rFonts w:ascii="Times New Roman" w:hAnsi="Times New Roman" w:cs="Times New Roman"/>
                <w:sz w:val="20"/>
                <w:szCs w:val="20"/>
              </w:rPr>
              <w:br/>
              <w:t>A valutakeresleti és a valutakínálati függvény ismerete, elemzése, ábrázolása.</w:t>
            </w:r>
            <w:r>
              <w:rPr>
                <w:rFonts w:ascii="Times New Roman" w:hAnsi="Times New Roman" w:cs="Times New Roman"/>
                <w:sz w:val="20"/>
                <w:szCs w:val="20"/>
              </w:rPr>
              <w:br/>
              <w:t>A fix és a lebegő valutaárfolyamos rendszerek jellemzői.</w:t>
            </w:r>
            <w:r>
              <w:rPr>
                <w:rFonts w:ascii="Times New Roman" w:hAnsi="Times New Roman" w:cs="Times New Roman"/>
                <w:sz w:val="20"/>
                <w:szCs w:val="20"/>
              </w:rPr>
              <w:br/>
              <w:t>Az eurózónához csatlakozás feltételei.</w:t>
            </w:r>
            <w:r>
              <w:rPr>
                <w:rFonts w:ascii="Times New Roman" w:hAnsi="Times New Roman" w:cs="Times New Roman"/>
                <w:sz w:val="20"/>
                <w:szCs w:val="20"/>
              </w:rPr>
              <w:br/>
              <w:t>Eurózónához csatlakozás előnyei és hátrányai.</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Aktuális gazdasági problémák és megoldási alternatívák</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A munkanélküliség és az infláció kezelésének lehetséges módjai. </w:t>
            </w:r>
            <w:r>
              <w:rPr>
                <w:rFonts w:ascii="Times New Roman" w:hAnsi="Times New Roman" w:cs="Times New Roman"/>
                <w:sz w:val="20"/>
                <w:szCs w:val="20"/>
              </w:rPr>
              <w:br/>
              <w:t xml:space="preserve">A téma lehetőséget ad néhány aktuális gazdasági probléma megnevezésére (pl. infláció, munkanélküliség, szegénység, fizetési mérleg hiány, eladósodás stb.). </w:t>
            </w:r>
            <w:r>
              <w:rPr>
                <w:rFonts w:ascii="Times New Roman" w:hAnsi="Times New Roman" w:cs="Times New Roman"/>
                <w:sz w:val="20"/>
                <w:szCs w:val="20"/>
              </w:rPr>
              <w:br/>
              <w:t>Ezek közül valamely probléma hazai megjelenésének bemutatása. (Például: Magyarország európai uniós tagságának hatása a hazai munkaerőpiacra.)</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gazdasági problémák közül egy-kettő részletesebb kifejtése.</w:t>
            </w:r>
            <w:r>
              <w:rPr>
                <w:rFonts w:ascii="Times New Roman" w:hAnsi="Times New Roman" w:cs="Times New Roman"/>
                <w:sz w:val="20"/>
                <w:szCs w:val="20"/>
              </w:rPr>
              <w:br/>
              <w:t>A probléma megoldási altarnatíváinak felvázolása.</w:t>
            </w:r>
          </w:p>
        </w:tc>
      </w:tr>
      <w:tr w:rsidR="004C2997">
        <w:tblPrEx>
          <w:tblCellMar>
            <w:top w:w="0" w:type="dxa"/>
            <w:bottom w:w="0" w:type="dxa"/>
          </w:tblCellMar>
        </w:tblPrEx>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globalizáció</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globalizáció fogalma.</w:t>
            </w:r>
            <w:r>
              <w:rPr>
                <w:rFonts w:ascii="Times New Roman" w:hAnsi="Times New Roman" w:cs="Times New Roman"/>
                <w:sz w:val="20"/>
                <w:szCs w:val="20"/>
              </w:rPr>
              <w:br/>
              <w:t xml:space="preserve">Napjaink gazdasági együttműködési formáinak bemutatása. Az együttműködésből származó előnyök, problémák. </w:t>
            </w:r>
            <w:r>
              <w:rPr>
                <w:rFonts w:ascii="Times New Roman" w:hAnsi="Times New Roman" w:cs="Times New Roman"/>
                <w:sz w:val="20"/>
                <w:szCs w:val="20"/>
              </w:rPr>
              <w:br/>
              <w:t>Napjaink nemzetközi gazdasági együttműködésének formái, tendenciái.</w:t>
            </w:r>
            <w:r>
              <w:rPr>
                <w:rFonts w:ascii="Times New Roman" w:hAnsi="Times New Roman" w:cs="Times New Roman"/>
                <w:sz w:val="20"/>
                <w:szCs w:val="20"/>
              </w:rPr>
              <w:br/>
              <w:t>A fejlett és fejlődő országok helye, szerepe a nemzetközi munkamegosztásban.</w:t>
            </w:r>
            <w:r>
              <w:rPr>
                <w:rFonts w:ascii="Times New Roman" w:hAnsi="Times New Roman" w:cs="Times New Roman"/>
                <w:sz w:val="20"/>
                <w:szCs w:val="20"/>
              </w:rPr>
              <w:br/>
              <w:t>Ez Európai Unió, mint gazdasági integráció.</w:t>
            </w:r>
          </w:p>
        </w:tc>
        <w:tc>
          <w:tcPr>
            <w:tcW w:w="3326"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Küzdelem a gazdasági problémák megoldásáért (környezetvédő, segélyező, regionális stb. programok, szervezetek).</w:t>
            </w:r>
            <w:r>
              <w:rPr>
                <w:rFonts w:ascii="Times New Roman" w:hAnsi="Times New Roman" w:cs="Times New Roman"/>
                <w:sz w:val="20"/>
                <w:szCs w:val="20"/>
              </w:rPr>
              <w:br/>
              <w:t>A globalizációs folyamatok jellemzése, előnyeinek és hátrányainak bemutatása.</w:t>
            </w:r>
            <w:r>
              <w:rPr>
                <w:rFonts w:ascii="Times New Roman" w:hAnsi="Times New Roman" w:cs="Times New Roman"/>
                <w:sz w:val="20"/>
                <w:szCs w:val="20"/>
              </w:rPr>
              <w:br/>
              <w:t>Magyarország integrálódása a világgazdaságba és az EU-ba.</w:t>
            </w:r>
            <w:r>
              <w:rPr>
                <w:rFonts w:ascii="Times New Roman" w:hAnsi="Times New Roman" w:cs="Times New Roman"/>
                <w:sz w:val="20"/>
                <w:szCs w:val="20"/>
              </w:rPr>
              <w:br/>
              <w:t xml:space="preserve">Magyarország gazdaságának értékelése a világ más országaihoz képest. </w:t>
            </w:r>
            <w:r>
              <w:rPr>
                <w:rFonts w:ascii="Times New Roman" w:hAnsi="Times New Roman" w:cs="Times New Roman"/>
                <w:sz w:val="20"/>
                <w:szCs w:val="20"/>
              </w:rPr>
              <w:br/>
              <w:t>Alternatív közgazdaságtan: miért alakult ki, példák a hagyományostól eltérő válaszokra.</w:t>
            </w:r>
          </w:p>
        </w:tc>
      </w:tr>
    </w:tbl>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A JUDAISZTIKA</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VIZSGATÁRGY ÁLTALÁNOS KÖVETELMÉNYEI</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i/>
          <w:iCs/>
          <w:sz w:val="20"/>
          <w:szCs w:val="20"/>
        </w:rPr>
        <w:t>A vizsga formája: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Középszinten: szóbeli vizsga.</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lastRenderedPageBreak/>
        <w:t>A vizsga időtartama: 15 perc.</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i/>
          <w:iCs/>
          <w:sz w:val="20"/>
          <w:szCs w:val="20"/>
        </w:rPr>
        <w:t>A judaisztika érettségi vizsga célja: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A vizsga célja, hogy az érettségiző diák számot adjon arról, hogy</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rendelkezik a zsidó élet és gondolkodásmód kialakításához szükséges alapfogalmakkal,</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érti és használni tudja az alapvető judaisztikai szaknyelvet és fogalmakat,</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rendelkezik alapvető Bibliaismerettel,</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ismeri a zsidó naptárt és a zsidó ünnepeket,</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tisztában van a zsidó élet fontosabb állomásaival,</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tudja a kóserság alapelemeit,</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rendelkezik alapvető ismeretekkel a zsidó otthon és a zsinagóga vonatkozásában,</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felismeri a parancsolatok hatását a mai életünkre,</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ismeri a zsidó történelem fontosabb eseményeit és összefüggéseit,</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érzékeli a zsidó etika és filozófia sajátosságait,</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jellemezni tudja a magyarországi zsidóságot irányultsága, szervezetei alapján,</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tisztában van a zsidó állam létével,</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 képes ismereteit a dialógus szellemében, mások számára is közvetíteni.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Nem lehet az érettségi vizsga célja a személyes hit számonkérése.</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sz w:val="20"/>
          <w:szCs w:val="20"/>
        </w:rPr>
        <w:t>A középszintű vizsga az érettségiző jelöltektől pontos ismereteket, megfelelő kifejezőkészséget, az elemzés, rendszerezés alapvető egyszerűbb formáját várja el.</w:t>
      </w: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15"/>
        <w:rPr>
          <w:rFonts w:ascii="Times New Roman" w:hAnsi="Times New Roman" w:cs="Times New Roman"/>
          <w:sz w:val="20"/>
          <w:szCs w:val="20"/>
        </w:rPr>
      </w:pPr>
      <w:r>
        <w:rPr>
          <w:rFonts w:ascii="Times New Roman" w:hAnsi="Times New Roman" w:cs="Times New Roman"/>
          <w:i/>
          <w:iCs/>
          <w:sz w:val="20"/>
          <w:szCs w:val="20"/>
        </w:rPr>
        <w:t>Tartalmi követelmények:</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Ind w:w="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6" w:type="dxa"/>
          <w:right w:w="56" w:type="dxa"/>
        </w:tblCellMar>
        <w:tblLook w:val="0000" w:firstRow="0" w:lastRow="0" w:firstColumn="0" w:lastColumn="0" w:noHBand="0" w:noVBand="0"/>
      </w:tblPr>
      <w:tblGrid>
        <w:gridCol w:w="2494"/>
        <w:gridCol w:w="7483"/>
      </w:tblGrid>
      <w:tr w:rsidR="004C2997">
        <w:tblPrEx>
          <w:tblCellMar>
            <w:top w:w="0" w:type="dxa"/>
            <w:bottom w:w="0" w:type="dxa"/>
          </w:tblCellMar>
        </w:tblPrEx>
        <w:tc>
          <w:tcPr>
            <w:tcW w:w="2494" w:type="dxa"/>
            <w:vAlign w:val="center"/>
          </w:tcPr>
          <w:p w:rsidR="004C2997" w:rsidRDefault="004C2997">
            <w:pPr>
              <w:autoSpaceDE w:val="0"/>
              <w:autoSpaceDN w:val="0"/>
              <w:adjustRightInd w:val="0"/>
              <w:spacing w:before="60" w:after="60" w:line="240" w:lineRule="auto"/>
              <w:jc w:val="center"/>
              <w:rPr>
                <w:rFonts w:ascii="Times New Roman" w:hAnsi="Times New Roman" w:cs="Times New Roman"/>
                <w:sz w:val="16"/>
                <w:szCs w:val="16"/>
              </w:rPr>
            </w:pPr>
            <w:r>
              <w:rPr>
                <w:rFonts w:ascii="Times New Roman" w:hAnsi="Times New Roman" w:cs="Times New Roman"/>
                <w:sz w:val="16"/>
                <w:szCs w:val="16"/>
              </w:rPr>
              <w:t>Kompetenciák</w:t>
            </w:r>
          </w:p>
        </w:tc>
        <w:tc>
          <w:tcPr>
            <w:tcW w:w="7483" w:type="dxa"/>
            <w:vAlign w:val="center"/>
          </w:tcPr>
          <w:p w:rsidR="004C2997" w:rsidRDefault="004C2997">
            <w:pPr>
              <w:autoSpaceDE w:val="0"/>
              <w:autoSpaceDN w:val="0"/>
              <w:adjustRightInd w:val="0"/>
              <w:spacing w:before="60" w:after="60" w:line="240" w:lineRule="auto"/>
              <w:jc w:val="center"/>
              <w:rPr>
                <w:rFonts w:ascii="Times New Roman" w:hAnsi="Times New Roman" w:cs="Times New Roman"/>
                <w:sz w:val="16"/>
                <w:szCs w:val="16"/>
              </w:rPr>
            </w:pPr>
            <w:r>
              <w:rPr>
                <w:rFonts w:ascii="Times New Roman" w:hAnsi="Times New Roman" w:cs="Times New Roman"/>
                <w:sz w:val="16"/>
                <w:szCs w:val="16"/>
              </w:rPr>
              <w:t>Követelmények</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i/>
                <w:iCs/>
                <w:sz w:val="20"/>
                <w:szCs w:val="20"/>
              </w:rPr>
              <w:t>Nyelv</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zsidósággal kapcsolatos fogalomrendszer helyes használata.</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Források</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Bibliai szöveg alapvető mondanivalójának, üzenetének, megértése és kifejtése.</w:t>
            </w:r>
            <w:r>
              <w:rPr>
                <w:rFonts w:ascii="Times New Roman" w:hAnsi="Times New Roman" w:cs="Times New Roman"/>
                <w:sz w:val="20"/>
                <w:szCs w:val="20"/>
              </w:rPr>
              <w:br/>
              <w:t>Bibliai források, lényeges információk felismerése, kiemelése,</w:t>
            </w:r>
            <w:r>
              <w:rPr>
                <w:rFonts w:ascii="Times New Roman" w:hAnsi="Times New Roman" w:cs="Times New Roman"/>
                <w:sz w:val="20"/>
                <w:szCs w:val="20"/>
              </w:rPr>
              <w:br/>
              <w:t>alapvető következtetések levonása.</w:t>
            </w:r>
            <w:r>
              <w:rPr>
                <w:rFonts w:ascii="Times New Roman" w:hAnsi="Times New Roman" w:cs="Times New Roman"/>
                <w:sz w:val="20"/>
                <w:szCs w:val="20"/>
              </w:rPr>
              <w:br/>
              <w:t>Információk gyűjtése és rendszerezése, a judaisztika irodalmának alapján.</w:t>
            </w:r>
            <w:r>
              <w:rPr>
                <w:rFonts w:ascii="Times New Roman" w:hAnsi="Times New Roman" w:cs="Times New Roman"/>
                <w:sz w:val="20"/>
                <w:szCs w:val="20"/>
              </w:rPr>
              <w:br/>
              <w:t>Térképek felhasználása az ismeretszerzéshez.</w:t>
            </w:r>
            <w:r>
              <w:rPr>
                <w:rFonts w:ascii="Times New Roman" w:hAnsi="Times New Roman" w:cs="Times New Roman"/>
                <w:sz w:val="20"/>
                <w:szCs w:val="20"/>
              </w:rPr>
              <w:br/>
              <w:t>Szépirodalmi és képzőművészeti alkotások, képi és zenei források felhasználása a zsidóság szokásainak megértéséhez, bemutatásához.</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Tájékozódás térben</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Biblia szempontjából fontos helyszínek azonosítása a térképen.</w:t>
            </w:r>
            <w:r>
              <w:rPr>
                <w:rFonts w:ascii="Times New Roman" w:hAnsi="Times New Roman" w:cs="Times New Roman"/>
                <w:sz w:val="20"/>
                <w:szCs w:val="20"/>
              </w:rPr>
              <w:br/>
              <w:t>A földrajzi környezet szerepe a zsidó kultúra alakulásában.</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Tájékozódás időben</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fontos történelmi események időrendi sorrendbe állítása.</w:t>
            </w:r>
            <w:r>
              <w:rPr>
                <w:rFonts w:ascii="Times New Roman" w:hAnsi="Times New Roman" w:cs="Times New Roman"/>
                <w:sz w:val="20"/>
                <w:szCs w:val="20"/>
              </w:rPr>
              <w:br/>
              <w:t>A zsidó élet körforgásának időbeli értelmezése.</w:t>
            </w:r>
          </w:p>
        </w:tc>
      </w:tr>
    </w:tbl>
    <w:p w:rsidR="004C2997" w:rsidRDefault="004C2997" w:rsidP="004C2997">
      <w:pPr>
        <w:autoSpaceDE w:val="0"/>
        <w:autoSpaceDN w:val="0"/>
        <w:adjustRightInd w:val="0"/>
        <w:spacing w:after="0" w:line="240" w:lineRule="atLeast"/>
        <w:rPr>
          <w:rFonts w:ascii="Times New Roman" w:hAnsi="Times New Roman" w:cs="Times New Roman"/>
          <w:sz w:val="20"/>
          <w:szCs w:val="20"/>
        </w:rPr>
      </w:pPr>
    </w:p>
    <w:tbl>
      <w:tblPr>
        <w:tblW w:w="0" w:type="auto"/>
        <w:tblInd w:w="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6" w:type="dxa"/>
          <w:right w:w="56" w:type="dxa"/>
        </w:tblCellMar>
        <w:tblLook w:val="0000" w:firstRow="0" w:lastRow="0" w:firstColumn="0" w:lastColumn="0" w:noHBand="0" w:noVBand="0"/>
      </w:tblPr>
      <w:tblGrid>
        <w:gridCol w:w="2494"/>
        <w:gridCol w:w="7483"/>
      </w:tblGrid>
      <w:tr w:rsidR="004C2997">
        <w:tblPrEx>
          <w:tblCellMar>
            <w:top w:w="0" w:type="dxa"/>
            <w:bottom w:w="0" w:type="dxa"/>
          </w:tblCellMar>
        </w:tblPrEx>
        <w:tc>
          <w:tcPr>
            <w:tcW w:w="2494" w:type="dxa"/>
            <w:vAlign w:val="center"/>
          </w:tcPr>
          <w:p w:rsidR="004C2997" w:rsidRDefault="004C2997">
            <w:pPr>
              <w:autoSpaceDE w:val="0"/>
              <w:autoSpaceDN w:val="0"/>
              <w:adjustRightInd w:val="0"/>
              <w:spacing w:before="60" w:after="60" w:line="240" w:lineRule="auto"/>
              <w:jc w:val="center"/>
              <w:rPr>
                <w:rFonts w:ascii="Times New Roman" w:hAnsi="Times New Roman" w:cs="Times New Roman"/>
                <w:sz w:val="16"/>
                <w:szCs w:val="16"/>
              </w:rPr>
            </w:pPr>
            <w:r>
              <w:rPr>
                <w:rFonts w:ascii="Times New Roman" w:hAnsi="Times New Roman" w:cs="Times New Roman"/>
                <w:sz w:val="16"/>
                <w:szCs w:val="16"/>
              </w:rPr>
              <w:t>Témakör</w:t>
            </w:r>
          </w:p>
        </w:tc>
        <w:tc>
          <w:tcPr>
            <w:tcW w:w="7483" w:type="dxa"/>
            <w:vAlign w:val="center"/>
          </w:tcPr>
          <w:p w:rsidR="004C2997" w:rsidRDefault="004C2997">
            <w:pPr>
              <w:autoSpaceDE w:val="0"/>
              <w:autoSpaceDN w:val="0"/>
              <w:adjustRightInd w:val="0"/>
              <w:spacing w:before="60" w:after="60" w:line="240" w:lineRule="auto"/>
              <w:jc w:val="center"/>
              <w:rPr>
                <w:rFonts w:ascii="Times New Roman" w:hAnsi="Times New Roman" w:cs="Times New Roman"/>
                <w:sz w:val="16"/>
                <w:szCs w:val="16"/>
              </w:rPr>
            </w:pPr>
            <w:r>
              <w:rPr>
                <w:rFonts w:ascii="Times New Roman" w:hAnsi="Times New Roman" w:cs="Times New Roman"/>
                <w:sz w:val="16"/>
                <w:szCs w:val="16"/>
              </w:rPr>
              <w:t>Követelmények</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zsidó naptár</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Csillagászati háttér, a naptár egységei (év, hó, nap).</w:t>
            </w:r>
            <w:r>
              <w:rPr>
                <w:rFonts w:ascii="Times New Roman" w:hAnsi="Times New Roman" w:cs="Times New Roman"/>
                <w:sz w:val="20"/>
                <w:szCs w:val="20"/>
              </w:rPr>
              <w:br/>
              <w:t>A hónapok felsorolása.</w:t>
            </w:r>
            <w:r>
              <w:rPr>
                <w:rFonts w:ascii="Times New Roman" w:hAnsi="Times New Roman" w:cs="Times New Roman"/>
                <w:sz w:val="20"/>
                <w:szCs w:val="20"/>
              </w:rPr>
              <w:br/>
              <w:t>A zsidó ünnepek naptári elhelyezkedése.</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Zarándokünnepek</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Az ünnepek eredete.</w:t>
            </w:r>
            <w:r>
              <w:rPr>
                <w:rFonts w:ascii="Times New Roman" w:hAnsi="Times New Roman" w:cs="Times New Roman"/>
                <w:sz w:val="20"/>
                <w:szCs w:val="20"/>
              </w:rPr>
              <w:br/>
              <w:t>Az ünnepek nevei, a félünnepek.</w:t>
            </w:r>
            <w:r>
              <w:rPr>
                <w:rFonts w:ascii="Times New Roman" w:hAnsi="Times New Roman" w:cs="Times New Roman"/>
                <w:sz w:val="20"/>
                <w:szCs w:val="20"/>
              </w:rPr>
              <w:br/>
              <w:t>Pészach, Savout, Szukot történetének ismerete.</w:t>
            </w:r>
            <w:r>
              <w:rPr>
                <w:rFonts w:ascii="Times New Roman" w:hAnsi="Times New Roman" w:cs="Times New Roman"/>
                <w:sz w:val="20"/>
                <w:szCs w:val="20"/>
              </w:rPr>
              <w:br/>
              <w:t>Pészach, Savout, Szukot gyakorlata, imarendszere.</w:t>
            </w:r>
            <w:r>
              <w:rPr>
                <w:rFonts w:ascii="Times New Roman" w:hAnsi="Times New Roman" w:cs="Times New Roman"/>
                <w:sz w:val="20"/>
                <w:szCs w:val="20"/>
              </w:rPr>
              <w:br/>
              <w:t>Pészach Hagada jelentősége.</w:t>
            </w:r>
            <w:r>
              <w:rPr>
                <w:rFonts w:ascii="Times New Roman" w:hAnsi="Times New Roman" w:cs="Times New Roman"/>
                <w:sz w:val="20"/>
                <w:szCs w:val="20"/>
              </w:rPr>
              <w:br/>
              <w:t>A Tízparancsolat hatása korunkra.</w:t>
            </w:r>
            <w:r>
              <w:rPr>
                <w:rFonts w:ascii="Times New Roman" w:hAnsi="Times New Roman" w:cs="Times New Roman"/>
                <w:sz w:val="20"/>
                <w:szCs w:val="20"/>
              </w:rPr>
              <w:br/>
              <w:t>A Szukoti csokor szimbolikája.</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Örömünnepek</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Hanuka történelmi háttere, szertartása, imarendszere.</w:t>
            </w:r>
            <w:r>
              <w:rPr>
                <w:rFonts w:ascii="Times New Roman" w:hAnsi="Times New Roman" w:cs="Times New Roman"/>
                <w:sz w:val="20"/>
                <w:szCs w:val="20"/>
              </w:rPr>
              <w:br/>
              <w:t>A hanukkia.</w:t>
            </w:r>
            <w:r>
              <w:rPr>
                <w:rFonts w:ascii="Times New Roman" w:hAnsi="Times New Roman" w:cs="Times New Roman"/>
                <w:sz w:val="20"/>
                <w:szCs w:val="20"/>
              </w:rPr>
              <w:br/>
              <w:t>Purim történelmi háttere, a Purim parancsolatok.</w:t>
            </w:r>
            <w:r>
              <w:rPr>
                <w:rFonts w:ascii="Times New Roman" w:hAnsi="Times New Roman" w:cs="Times New Roman"/>
                <w:sz w:val="20"/>
                <w:szCs w:val="20"/>
              </w:rPr>
              <w:br/>
              <w:t>Megilla olvasás jelentősége.</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Nagyünnepek</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zsidó újév forrása, jelentősége, szertartása és liturgiája.</w:t>
            </w:r>
            <w:r>
              <w:rPr>
                <w:rFonts w:ascii="Times New Roman" w:hAnsi="Times New Roman" w:cs="Times New Roman"/>
                <w:sz w:val="20"/>
                <w:szCs w:val="20"/>
              </w:rPr>
              <w:br/>
              <w:t>A megtérés napjai.</w:t>
            </w:r>
            <w:r>
              <w:rPr>
                <w:rFonts w:ascii="Times New Roman" w:hAnsi="Times New Roman" w:cs="Times New Roman"/>
                <w:sz w:val="20"/>
                <w:szCs w:val="20"/>
              </w:rPr>
              <w:br/>
              <w:t>Az engesztelés napja, az ünnep szabályai, szertartása, liturgiája.</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Szombat (Sábát)</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Szombat bibliai forrása.</w:t>
            </w:r>
            <w:r>
              <w:rPr>
                <w:rFonts w:ascii="Times New Roman" w:hAnsi="Times New Roman" w:cs="Times New Roman"/>
                <w:sz w:val="20"/>
                <w:szCs w:val="20"/>
              </w:rPr>
              <w:br/>
              <w:t>A Szombat törvényei, liturgiája, imarendje.</w:t>
            </w:r>
            <w:r>
              <w:rPr>
                <w:rFonts w:ascii="Times New Roman" w:hAnsi="Times New Roman" w:cs="Times New Roman"/>
                <w:sz w:val="20"/>
                <w:szCs w:val="20"/>
              </w:rPr>
              <w:br/>
            </w:r>
            <w:r>
              <w:rPr>
                <w:rFonts w:ascii="Times New Roman" w:hAnsi="Times New Roman" w:cs="Times New Roman"/>
                <w:sz w:val="20"/>
                <w:szCs w:val="20"/>
              </w:rPr>
              <w:lastRenderedPageBreak/>
              <w:t>A Szombat jelentősége közösségekben, családokban.</w:t>
            </w:r>
            <w:r>
              <w:rPr>
                <w:rFonts w:ascii="Times New Roman" w:hAnsi="Times New Roman" w:cs="Times New Roman"/>
                <w:sz w:val="20"/>
                <w:szCs w:val="20"/>
              </w:rPr>
              <w:br/>
              <w:t>A pihenőnap fontossága.</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lastRenderedPageBreak/>
              <w:t>Kóserság (Kashrut)</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kóserság forrásai.</w:t>
            </w:r>
            <w:r>
              <w:rPr>
                <w:rFonts w:ascii="Times New Roman" w:hAnsi="Times New Roman" w:cs="Times New Roman"/>
                <w:sz w:val="20"/>
                <w:szCs w:val="20"/>
              </w:rPr>
              <w:br/>
              <w:t>Kóser állatfajták.</w:t>
            </w:r>
            <w:r>
              <w:rPr>
                <w:rFonts w:ascii="Times New Roman" w:hAnsi="Times New Roman" w:cs="Times New Roman"/>
                <w:sz w:val="20"/>
                <w:szCs w:val="20"/>
              </w:rPr>
              <w:br/>
              <w:t>Kóser konyha, tejes és húsos szétválasztása.</w:t>
            </w:r>
            <w:r>
              <w:rPr>
                <w:rFonts w:ascii="Times New Roman" w:hAnsi="Times New Roman" w:cs="Times New Roman"/>
                <w:sz w:val="20"/>
                <w:szCs w:val="20"/>
              </w:rPr>
              <w:br/>
              <w:t>Kósersági tilalmak.</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zsidó szimbólumok és kegytárgyak</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Dávid pajzsa, menóra.</w:t>
            </w:r>
            <w:r>
              <w:rPr>
                <w:rFonts w:ascii="Times New Roman" w:hAnsi="Times New Roman" w:cs="Times New Roman"/>
                <w:sz w:val="20"/>
                <w:szCs w:val="20"/>
              </w:rPr>
              <w:br/>
              <w:t>Imaeszközök, gyertyatartók.</w:t>
            </w:r>
            <w:r>
              <w:rPr>
                <w:rFonts w:ascii="Times New Roman" w:hAnsi="Times New Roman" w:cs="Times New Roman"/>
                <w:sz w:val="20"/>
                <w:szCs w:val="20"/>
              </w:rPr>
              <w:br/>
              <w:t>Tóratekercsek és tartozékaik.</w:t>
            </w:r>
            <w:r>
              <w:rPr>
                <w:rFonts w:ascii="Times New Roman" w:hAnsi="Times New Roman" w:cs="Times New Roman"/>
                <w:sz w:val="20"/>
                <w:szCs w:val="20"/>
              </w:rPr>
              <w:br/>
              <w:t>Zsidó motívumok a művészetben.</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zsinagóga és kialakulása</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pusztai szentély, forrása, berendezési tárgyai.</w:t>
            </w:r>
            <w:r>
              <w:rPr>
                <w:rFonts w:ascii="Times New Roman" w:hAnsi="Times New Roman" w:cs="Times New Roman"/>
                <w:sz w:val="20"/>
                <w:szCs w:val="20"/>
              </w:rPr>
              <w:br/>
              <w:t>A jeruzsálemi szentély építői, helye, története.</w:t>
            </w:r>
            <w:r>
              <w:rPr>
                <w:rFonts w:ascii="Times New Roman" w:hAnsi="Times New Roman" w:cs="Times New Roman"/>
                <w:sz w:val="20"/>
                <w:szCs w:val="20"/>
              </w:rPr>
              <w:br/>
              <w:t>A zsinagóga funkciója, tisztviselői, tárgyai, művészete.</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zsidó közösség és zsidó otthon</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Közösségi élet.</w:t>
            </w:r>
            <w:r>
              <w:rPr>
                <w:rFonts w:ascii="Times New Roman" w:hAnsi="Times New Roman" w:cs="Times New Roman"/>
                <w:sz w:val="20"/>
                <w:szCs w:val="20"/>
              </w:rPr>
              <w:br/>
              <w:t>Családi élet.</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zsidó élet körforgása</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Születés, névadás, a körülmetélés és bibliai forrásai.</w:t>
            </w:r>
            <w:r>
              <w:rPr>
                <w:rFonts w:ascii="Times New Roman" w:hAnsi="Times New Roman" w:cs="Times New Roman"/>
                <w:sz w:val="20"/>
                <w:szCs w:val="20"/>
              </w:rPr>
              <w:br/>
              <w:t>Halál, temetési szokások, sírkő.</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zsidó esküvő</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Felkészülés az esküvőre.</w:t>
            </w:r>
            <w:r>
              <w:rPr>
                <w:rFonts w:ascii="Times New Roman" w:hAnsi="Times New Roman" w:cs="Times New Roman"/>
                <w:sz w:val="20"/>
                <w:szCs w:val="20"/>
              </w:rPr>
              <w:br/>
              <w:t>Az esküvő szertartása.</w:t>
            </w:r>
            <w:r>
              <w:rPr>
                <w:rFonts w:ascii="Times New Roman" w:hAnsi="Times New Roman" w:cs="Times New Roman"/>
                <w:sz w:val="20"/>
                <w:szCs w:val="20"/>
              </w:rPr>
              <w:br/>
              <w:t>A résztvevők és feladataik.</w:t>
            </w:r>
            <w:r>
              <w:rPr>
                <w:rFonts w:ascii="Times New Roman" w:hAnsi="Times New Roman" w:cs="Times New Roman"/>
                <w:sz w:val="20"/>
                <w:szCs w:val="20"/>
              </w:rPr>
              <w:br/>
              <w:t>A házasságlevél szerkezete, tartalma.</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Gyász és böjt</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Közösségi gyász-, böjtnapok (Gedalja, Tévét 10, Támuz 17, Áv 9, a holokauszt napja)</w:t>
            </w:r>
            <w:r>
              <w:rPr>
                <w:rFonts w:ascii="Times New Roman" w:hAnsi="Times New Roman" w:cs="Times New Roman"/>
                <w:sz w:val="20"/>
                <w:szCs w:val="20"/>
              </w:rPr>
              <w:br/>
              <w:t>Egyéni gyász szakaszai, előírásai.</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zsidó nép gyökerei</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Az ősatyák története, szerepe a zsidó nép formálásában (Ábrahám, Izsák, Jákob).</w:t>
            </w:r>
            <w:r>
              <w:rPr>
                <w:rFonts w:ascii="Times New Roman" w:hAnsi="Times New Roman" w:cs="Times New Roman"/>
                <w:sz w:val="20"/>
                <w:szCs w:val="20"/>
              </w:rPr>
              <w:br/>
              <w:t>Az ősanyák története, szerepe a zsidó nép formálásában (Sára, Rebeka, Ráchel, Lea).</w:t>
            </w:r>
            <w:r>
              <w:rPr>
                <w:rFonts w:ascii="Times New Roman" w:hAnsi="Times New Roman" w:cs="Times New Roman"/>
                <w:sz w:val="20"/>
                <w:szCs w:val="20"/>
              </w:rPr>
              <w:br/>
              <w:t>A zsidó törzsek kialakulása, szerepük.</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zsidó nép őstörténete</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Az egyiptomi fogság évei.</w:t>
            </w:r>
            <w:r>
              <w:rPr>
                <w:rFonts w:ascii="Times New Roman" w:hAnsi="Times New Roman" w:cs="Times New Roman"/>
                <w:sz w:val="20"/>
                <w:szCs w:val="20"/>
              </w:rPr>
              <w:br/>
              <w:t>A kivonulás története.</w:t>
            </w:r>
            <w:r>
              <w:rPr>
                <w:rFonts w:ascii="Times New Roman" w:hAnsi="Times New Roman" w:cs="Times New Roman"/>
                <w:sz w:val="20"/>
                <w:szCs w:val="20"/>
              </w:rPr>
              <w:br/>
              <w:t>A kinyilatkoztatás, néppé válás.</w:t>
            </w:r>
            <w:r>
              <w:rPr>
                <w:rFonts w:ascii="Times New Roman" w:hAnsi="Times New Roman" w:cs="Times New Roman"/>
                <w:sz w:val="20"/>
                <w:szCs w:val="20"/>
              </w:rPr>
              <w:br/>
              <w:t>A sivatagi vándorlás.</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parancsolatok (micvák)</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parancsolatok felosztása.</w:t>
            </w:r>
            <w:r>
              <w:rPr>
                <w:rFonts w:ascii="Times New Roman" w:hAnsi="Times New Roman" w:cs="Times New Roman"/>
                <w:sz w:val="20"/>
                <w:szCs w:val="20"/>
              </w:rPr>
              <w:br/>
              <w:t>Tórai parancsolatok.</w:t>
            </w:r>
            <w:r>
              <w:rPr>
                <w:rFonts w:ascii="Times New Roman" w:hAnsi="Times New Roman" w:cs="Times New Roman"/>
                <w:sz w:val="20"/>
                <w:szCs w:val="20"/>
              </w:rPr>
              <w:br/>
              <w:t>Rabbinikus parancsolatok.</w:t>
            </w:r>
            <w:r>
              <w:rPr>
                <w:rFonts w:ascii="Times New Roman" w:hAnsi="Times New Roman" w:cs="Times New Roman"/>
                <w:sz w:val="20"/>
                <w:szCs w:val="20"/>
              </w:rPr>
              <w:br/>
              <w:t>A parancsolatok jelentősége.</w:t>
            </w:r>
            <w:r>
              <w:rPr>
                <w:rFonts w:ascii="Times New Roman" w:hAnsi="Times New Roman" w:cs="Times New Roman"/>
                <w:sz w:val="20"/>
                <w:szCs w:val="20"/>
              </w:rPr>
              <w:br/>
              <w:t>A parancsolatok mint a zsidó élet formálói.</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honfoglalás</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Józsua, a zsidó nép új vezetője.</w:t>
            </w:r>
            <w:r>
              <w:rPr>
                <w:rFonts w:ascii="Times New Roman" w:hAnsi="Times New Roman" w:cs="Times New Roman"/>
                <w:sz w:val="20"/>
                <w:szCs w:val="20"/>
              </w:rPr>
              <w:br/>
              <w:t>A Szentföld meghódítása.</w:t>
            </w:r>
            <w:r>
              <w:rPr>
                <w:rFonts w:ascii="Times New Roman" w:hAnsi="Times New Roman" w:cs="Times New Roman"/>
                <w:sz w:val="20"/>
                <w:szCs w:val="20"/>
              </w:rPr>
              <w:br/>
              <w:t>Az ország felosztása.</w:t>
            </w:r>
            <w:r>
              <w:rPr>
                <w:rFonts w:ascii="Times New Roman" w:hAnsi="Times New Roman" w:cs="Times New Roman"/>
                <w:sz w:val="20"/>
                <w:szCs w:val="20"/>
              </w:rPr>
              <w:br/>
              <w:t>A bírák kora.</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zsidó nép vezetői</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kohaniták kötelességei, jogai egykor és ma.</w:t>
            </w:r>
            <w:r>
              <w:rPr>
                <w:rFonts w:ascii="Times New Roman" w:hAnsi="Times New Roman" w:cs="Times New Roman"/>
                <w:sz w:val="20"/>
                <w:szCs w:val="20"/>
              </w:rPr>
              <w:br/>
              <w:t>A királyok (Saul, Dávid, Salamon).</w:t>
            </w:r>
            <w:r>
              <w:rPr>
                <w:rFonts w:ascii="Times New Roman" w:hAnsi="Times New Roman" w:cs="Times New Roman"/>
                <w:sz w:val="20"/>
                <w:szCs w:val="20"/>
              </w:rPr>
              <w:br/>
              <w:t>A próféták közvetítő funkciója.</w:t>
            </w:r>
            <w:r>
              <w:rPr>
                <w:rFonts w:ascii="Times New Roman" w:hAnsi="Times New Roman" w:cs="Times New Roman"/>
                <w:sz w:val="20"/>
                <w:szCs w:val="20"/>
              </w:rPr>
              <w:br/>
              <w:t>A Messiás, elképzelések a megváltás koráról.</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Nők a Bibliában</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Egy prófétanő története és szerepe.</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Szent iratok</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zsoltárok kialakulása, a liturgiában betöltött szerepük.</w:t>
            </w:r>
            <w:r>
              <w:rPr>
                <w:rFonts w:ascii="Times New Roman" w:hAnsi="Times New Roman" w:cs="Times New Roman"/>
                <w:sz w:val="20"/>
                <w:szCs w:val="20"/>
              </w:rPr>
              <w:br/>
              <w:t>Az öt tekercs kialakulása, szerepe.</w:t>
            </w:r>
            <w:r>
              <w:rPr>
                <w:rFonts w:ascii="Times New Roman" w:hAnsi="Times New Roman" w:cs="Times New Roman"/>
                <w:sz w:val="20"/>
                <w:szCs w:val="20"/>
              </w:rPr>
              <w:br/>
              <w:t>Jób könyve és üzenete.</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 zsidó filozófia</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Egy zsidó filozófus élete, munkássága.</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Az ima</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Az ima kialakulása.</w:t>
            </w:r>
            <w:r>
              <w:rPr>
                <w:rFonts w:ascii="Times New Roman" w:hAnsi="Times New Roman" w:cs="Times New Roman"/>
                <w:sz w:val="20"/>
                <w:szCs w:val="20"/>
              </w:rPr>
              <w:br/>
              <w:t>Az imák ideje.</w:t>
            </w:r>
            <w:r>
              <w:rPr>
                <w:rFonts w:ascii="Times New Roman" w:hAnsi="Times New Roman" w:cs="Times New Roman"/>
                <w:sz w:val="20"/>
                <w:szCs w:val="20"/>
              </w:rPr>
              <w:br/>
              <w:t>Hétköznapi imák.</w:t>
            </w:r>
            <w:r>
              <w:rPr>
                <w:rFonts w:ascii="Times New Roman" w:hAnsi="Times New Roman" w:cs="Times New Roman"/>
                <w:sz w:val="20"/>
                <w:szCs w:val="20"/>
              </w:rPr>
              <w:br/>
              <w:t>Ünnepi imák.</w:t>
            </w:r>
            <w:r>
              <w:rPr>
                <w:rFonts w:ascii="Times New Roman" w:hAnsi="Times New Roman" w:cs="Times New Roman"/>
                <w:sz w:val="20"/>
                <w:szCs w:val="20"/>
              </w:rPr>
              <w:br/>
              <w:t>Áldások.</w:t>
            </w:r>
            <w:r>
              <w:rPr>
                <w:rFonts w:ascii="Times New Roman" w:hAnsi="Times New Roman" w:cs="Times New Roman"/>
                <w:sz w:val="20"/>
                <w:szCs w:val="20"/>
              </w:rPr>
              <w:br/>
              <w:t>Az imakönyv felépítése, fontosabb részei.</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Rabbinikus tevékenység Magyarországon</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Egy magyarországi rabbi élete és munkássága.</w:t>
            </w:r>
          </w:p>
        </w:tc>
      </w:tr>
      <w:tr w:rsidR="004C2997">
        <w:tblPrEx>
          <w:tblCellMar>
            <w:top w:w="0" w:type="dxa"/>
            <w:bottom w:w="0" w:type="dxa"/>
          </w:tblCellMar>
        </w:tblPrEx>
        <w:tc>
          <w:tcPr>
            <w:tcW w:w="2494"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Izrael földje (Erec Jisrael)</w:t>
            </w:r>
          </w:p>
        </w:tc>
        <w:tc>
          <w:tcPr>
            <w:tcW w:w="7483" w:type="dxa"/>
          </w:tcPr>
          <w:p w:rsidR="004C2997" w:rsidRDefault="004C2997">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Izrael földrajza.</w:t>
            </w:r>
            <w:r>
              <w:rPr>
                <w:rFonts w:ascii="Times New Roman" w:hAnsi="Times New Roman" w:cs="Times New Roman"/>
                <w:sz w:val="20"/>
                <w:szCs w:val="20"/>
              </w:rPr>
              <w:br/>
              <w:t>Izrael szentsége.</w:t>
            </w:r>
            <w:r>
              <w:rPr>
                <w:rFonts w:ascii="Times New Roman" w:hAnsi="Times New Roman" w:cs="Times New Roman"/>
                <w:sz w:val="20"/>
                <w:szCs w:val="20"/>
              </w:rPr>
              <w:br/>
            </w:r>
            <w:r>
              <w:rPr>
                <w:rFonts w:ascii="Times New Roman" w:hAnsi="Times New Roman" w:cs="Times New Roman"/>
                <w:sz w:val="20"/>
                <w:szCs w:val="20"/>
              </w:rPr>
              <w:lastRenderedPageBreak/>
              <w:t>A modern zsidó állam kialakulása, jelentősége a zsidó nép életében.</w:t>
            </w: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EGÉSZSÉGÜGYI ALAPISMERETEK</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ind w:right="72"/>
        <w:jc w:val="center"/>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right="72"/>
        <w:jc w:val="center"/>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ind w:right="72"/>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right="-1"/>
        <w:jc w:val="both"/>
        <w:rPr>
          <w:rFonts w:ascii="Times New Roman" w:hAnsi="Times New Roman" w:cs="Times New Roman"/>
          <w:sz w:val="20"/>
          <w:szCs w:val="20"/>
        </w:rPr>
      </w:pPr>
      <w:r>
        <w:rPr>
          <w:rFonts w:ascii="Times New Roman" w:hAnsi="Times New Roman" w:cs="Times New Roman"/>
          <w:sz w:val="20"/>
          <w:szCs w:val="20"/>
        </w:rPr>
        <w:t>A vizsgakövetelményekben, a vizsga mindkét szintjén, meghatározó szerepet töltenek be azok az ismeretek, amelyek az egészséges ember szomatikus, pszichés és szociális jellemzőinek megértéséhez nélkülözhetetlenek.</w:t>
      </w:r>
    </w:p>
    <w:p w:rsidR="004C2997" w:rsidRDefault="004C2997" w:rsidP="004C2997">
      <w:pPr>
        <w:autoSpaceDE w:val="0"/>
        <w:autoSpaceDN w:val="0"/>
        <w:adjustRightInd w:val="0"/>
        <w:spacing w:after="0" w:line="240" w:lineRule="auto"/>
        <w:ind w:right="72"/>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right="74"/>
        <w:jc w:val="both"/>
        <w:rPr>
          <w:rFonts w:ascii="Times New Roman" w:hAnsi="Times New Roman" w:cs="Times New Roman"/>
          <w:b/>
          <w:bCs/>
          <w:sz w:val="20"/>
          <w:szCs w:val="20"/>
        </w:rPr>
      </w:pPr>
      <w:r>
        <w:rPr>
          <w:rFonts w:ascii="Times New Roman" w:hAnsi="Times New Roman" w:cs="Times New Roman"/>
          <w:b/>
          <w:bCs/>
          <w:sz w:val="20"/>
          <w:szCs w:val="20"/>
        </w:rPr>
        <w:t>Az egészségügyi alapismeretek vizsga célja annak megállapítása, hogy a vizsgázó:</w:t>
      </w:r>
    </w:p>
    <w:p w:rsidR="004C2997" w:rsidRDefault="004C2997" w:rsidP="004C2997">
      <w:pPr>
        <w:autoSpaceDE w:val="0"/>
        <w:autoSpaceDN w:val="0"/>
        <w:adjustRightInd w:val="0"/>
        <w:spacing w:after="0" w:line="240" w:lineRule="auto"/>
        <w:ind w:right="74"/>
        <w:jc w:val="both"/>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ind w:left="360" w:right="74"/>
        <w:jc w:val="both"/>
        <w:rPr>
          <w:rFonts w:ascii="Times New Roman" w:hAnsi="Times New Roman" w:cs="Times New Roman"/>
          <w:sz w:val="20"/>
          <w:szCs w:val="20"/>
        </w:rPr>
      </w:pPr>
      <w:r>
        <w:rPr>
          <w:rFonts w:ascii="Times New Roman" w:hAnsi="Times New Roman" w:cs="Times New Roman"/>
          <w:sz w:val="20"/>
          <w:szCs w:val="20"/>
        </w:rPr>
        <w:t>- felismeri-e az egészség és a környezet közötti kölcsönhatásokat,</w:t>
      </w:r>
    </w:p>
    <w:p w:rsidR="004C2997" w:rsidRDefault="004C2997" w:rsidP="004C2997">
      <w:pPr>
        <w:autoSpaceDE w:val="0"/>
        <w:autoSpaceDN w:val="0"/>
        <w:adjustRightInd w:val="0"/>
        <w:spacing w:after="0" w:line="240" w:lineRule="auto"/>
        <w:ind w:left="360" w:right="74"/>
        <w:jc w:val="both"/>
        <w:rPr>
          <w:rFonts w:ascii="Times New Roman" w:hAnsi="Times New Roman" w:cs="Times New Roman"/>
          <w:sz w:val="20"/>
          <w:szCs w:val="20"/>
        </w:rPr>
      </w:pPr>
      <w:r>
        <w:rPr>
          <w:rFonts w:ascii="Times New Roman" w:hAnsi="Times New Roman" w:cs="Times New Roman"/>
          <w:sz w:val="20"/>
          <w:szCs w:val="20"/>
        </w:rPr>
        <w:t>- képes-e az emberi test felépítését és működését ismertetni,</w:t>
      </w:r>
    </w:p>
    <w:p w:rsidR="004C2997" w:rsidRDefault="004C2997" w:rsidP="004C2997">
      <w:pPr>
        <w:autoSpaceDE w:val="0"/>
        <w:autoSpaceDN w:val="0"/>
        <w:adjustRightInd w:val="0"/>
        <w:spacing w:after="0" w:line="240" w:lineRule="auto"/>
        <w:ind w:left="360" w:right="74"/>
        <w:jc w:val="both"/>
        <w:rPr>
          <w:rFonts w:ascii="Times New Roman" w:hAnsi="Times New Roman" w:cs="Times New Roman"/>
          <w:sz w:val="20"/>
          <w:szCs w:val="20"/>
        </w:rPr>
      </w:pPr>
      <w:r>
        <w:rPr>
          <w:rFonts w:ascii="Times New Roman" w:hAnsi="Times New Roman" w:cs="Times New Roman"/>
          <w:sz w:val="20"/>
          <w:szCs w:val="20"/>
        </w:rPr>
        <w:t>- megérti-e az egyes szervrendszerek működésének egymásra gyakorolt hatását,</w:t>
      </w:r>
    </w:p>
    <w:p w:rsidR="004C2997" w:rsidRDefault="004C2997" w:rsidP="004C2997">
      <w:pPr>
        <w:autoSpaceDE w:val="0"/>
        <w:autoSpaceDN w:val="0"/>
        <w:adjustRightInd w:val="0"/>
        <w:spacing w:after="0" w:line="240" w:lineRule="auto"/>
        <w:ind w:left="360" w:right="74"/>
        <w:jc w:val="both"/>
        <w:rPr>
          <w:rFonts w:ascii="Times New Roman" w:hAnsi="Times New Roman" w:cs="Times New Roman"/>
          <w:sz w:val="20"/>
          <w:szCs w:val="20"/>
        </w:rPr>
      </w:pPr>
      <w:r>
        <w:rPr>
          <w:rFonts w:ascii="Times New Roman" w:hAnsi="Times New Roman" w:cs="Times New Roman"/>
          <w:sz w:val="20"/>
          <w:szCs w:val="20"/>
        </w:rPr>
        <w:t>- képes-e az emberi test alapvető paramétereit észlelni,</w:t>
      </w:r>
    </w:p>
    <w:p w:rsidR="004C2997" w:rsidRDefault="004C2997" w:rsidP="004C2997">
      <w:pPr>
        <w:autoSpaceDE w:val="0"/>
        <w:autoSpaceDN w:val="0"/>
        <w:adjustRightInd w:val="0"/>
        <w:spacing w:after="0" w:line="240" w:lineRule="auto"/>
        <w:ind w:left="360" w:right="74"/>
        <w:jc w:val="both"/>
        <w:rPr>
          <w:rFonts w:ascii="Times New Roman" w:hAnsi="Times New Roman" w:cs="Times New Roman"/>
          <w:sz w:val="20"/>
          <w:szCs w:val="20"/>
        </w:rPr>
      </w:pPr>
      <w:r>
        <w:rPr>
          <w:rFonts w:ascii="Times New Roman" w:hAnsi="Times New Roman" w:cs="Times New Roman"/>
          <w:sz w:val="20"/>
          <w:szCs w:val="20"/>
        </w:rPr>
        <w:t>- képes-e az élettanitól eltérő tüneteket felismerni,</w:t>
      </w:r>
    </w:p>
    <w:p w:rsidR="004C2997" w:rsidRDefault="004C2997" w:rsidP="004C2997">
      <w:pPr>
        <w:autoSpaceDE w:val="0"/>
        <w:autoSpaceDN w:val="0"/>
        <w:adjustRightInd w:val="0"/>
        <w:spacing w:after="0" w:line="240" w:lineRule="auto"/>
        <w:ind w:left="360" w:right="74"/>
        <w:jc w:val="both"/>
        <w:rPr>
          <w:rFonts w:ascii="Times New Roman" w:hAnsi="Times New Roman" w:cs="Times New Roman"/>
          <w:sz w:val="20"/>
          <w:szCs w:val="20"/>
        </w:rPr>
      </w:pPr>
      <w:r>
        <w:rPr>
          <w:rFonts w:ascii="Times New Roman" w:hAnsi="Times New Roman" w:cs="Times New Roman"/>
          <w:sz w:val="20"/>
          <w:szCs w:val="20"/>
        </w:rPr>
        <w:t>- ismeri-e az élettanitól való eltérés okait,</w:t>
      </w:r>
    </w:p>
    <w:p w:rsidR="004C2997" w:rsidRDefault="004C2997" w:rsidP="004C2997">
      <w:pPr>
        <w:autoSpaceDE w:val="0"/>
        <w:autoSpaceDN w:val="0"/>
        <w:adjustRightInd w:val="0"/>
        <w:spacing w:after="0" w:line="240" w:lineRule="auto"/>
        <w:ind w:left="360" w:right="74"/>
        <w:jc w:val="both"/>
        <w:rPr>
          <w:rFonts w:ascii="Times New Roman" w:hAnsi="Times New Roman" w:cs="Times New Roman"/>
          <w:sz w:val="20"/>
          <w:szCs w:val="20"/>
        </w:rPr>
      </w:pPr>
      <w:r>
        <w:rPr>
          <w:rFonts w:ascii="Times New Roman" w:hAnsi="Times New Roman" w:cs="Times New Roman"/>
          <w:sz w:val="20"/>
          <w:szCs w:val="20"/>
        </w:rPr>
        <w:t>- képes-e az élet megmentése érdekében a megfelelő lépéseket megtenni,</w:t>
      </w:r>
    </w:p>
    <w:p w:rsidR="004C2997" w:rsidRDefault="004C2997" w:rsidP="004C2997">
      <w:pPr>
        <w:autoSpaceDE w:val="0"/>
        <w:autoSpaceDN w:val="0"/>
        <w:adjustRightInd w:val="0"/>
        <w:spacing w:after="0" w:line="240" w:lineRule="auto"/>
        <w:ind w:left="360" w:right="74"/>
        <w:jc w:val="both"/>
        <w:rPr>
          <w:rFonts w:ascii="Times New Roman" w:hAnsi="Times New Roman" w:cs="Times New Roman"/>
          <w:sz w:val="20"/>
          <w:szCs w:val="20"/>
        </w:rPr>
      </w:pPr>
      <w:r>
        <w:rPr>
          <w:rFonts w:ascii="Times New Roman" w:hAnsi="Times New Roman" w:cs="Times New Roman"/>
          <w:sz w:val="20"/>
          <w:szCs w:val="20"/>
        </w:rPr>
        <w:t>- ismeri-e a vészhelyzeteket és tud-e megfelelő elsősegélynyújtást végezni,</w:t>
      </w:r>
    </w:p>
    <w:p w:rsidR="004C2997" w:rsidRDefault="004C2997" w:rsidP="004C2997">
      <w:pPr>
        <w:autoSpaceDE w:val="0"/>
        <w:autoSpaceDN w:val="0"/>
        <w:adjustRightInd w:val="0"/>
        <w:spacing w:after="0" w:line="240" w:lineRule="auto"/>
        <w:ind w:left="360" w:right="74"/>
        <w:jc w:val="both"/>
        <w:rPr>
          <w:rFonts w:ascii="Times New Roman" w:hAnsi="Times New Roman" w:cs="Times New Roman"/>
          <w:sz w:val="20"/>
          <w:szCs w:val="20"/>
        </w:rPr>
      </w:pPr>
      <w:r>
        <w:rPr>
          <w:rFonts w:ascii="Times New Roman" w:hAnsi="Times New Roman" w:cs="Times New Roman"/>
          <w:sz w:val="20"/>
          <w:szCs w:val="20"/>
        </w:rPr>
        <w:t>- ismeri-e a pszichológiai jelenségeket és azok összefüggéseit,</w:t>
      </w:r>
    </w:p>
    <w:p w:rsidR="004C2997" w:rsidRDefault="004C2997" w:rsidP="004C2997">
      <w:pPr>
        <w:autoSpaceDE w:val="0"/>
        <w:autoSpaceDN w:val="0"/>
        <w:adjustRightInd w:val="0"/>
        <w:spacing w:after="0" w:line="240" w:lineRule="auto"/>
        <w:ind w:left="360" w:right="74"/>
        <w:jc w:val="both"/>
        <w:rPr>
          <w:rFonts w:ascii="Times New Roman" w:hAnsi="Times New Roman" w:cs="Times New Roman"/>
          <w:sz w:val="20"/>
          <w:szCs w:val="20"/>
        </w:rPr>
      </w:pPr>
      <w:r>
        <w:rPr>
          <w:rFonts w:ascii="Times New Roman" w:hAnsi="Times New Roman" w:cs="Times New Roman"/>
          <w:sz w:val="20"/>
          <w:szCs w:val="20"/>
        </w:rPr>
        <w:t>- ismeri-e az egyszerű gondozási feladatokat a különböző életkorokban,</w:t>
      </w:r>
    </w:p>
    <w:p w:rsidR="004C2997" w:rsidRDefault="004C2997" w:rsidP="004C2997">
      <w:pPr>
        <w:autoSpaceDE w:val="0"/>
        <w:autoSpaceDN w:val="0"/>
        <w:adjustRightInd w:val="0"/>
        <w:spacing w:after="0" w:line="240" w:lineRule="auto"/>
        <w:ind w:left="360" w:right="74"/>
        <w:jc w:val="both"/>
        <w:rPr>
          <w:rFonts w:ascii="Times New Roman" w:hAnsi="Times New Roman" w:cs="Times New Roman"/>
          <w:sz w:val="20"/>
          <w:szCs w:val="20"/>
        </w:rPr>
      </w:pPr>
      <w:r>
        <w:rPr>
          <w:rFonts w:ascii="Times New Roman" w:hAnsi="Times New Roman" w:cs="Times New Roman"/>
          <w:sz w:val="20"/>
          <w:szCs w:val="20"/>
        </w:rPr>
        <w:t>- tud-e az emberi kapcsolataiban megfelelően kommunikálni,</w:t>
      </w:r>
    </w:p>
    <w:p w:rsidR="004C2997" w:rsidRDefault="004C2997" w:rsidP="004C2997">
      <w:pPr>
        <w:autoSpaceDE w:val="0"/>
        <w:autoSpaceDN w:val="0"/>
        <w:adjustRightInd w:val="0"/>
        <w:spacing w:after="0" w:line="240" w:lineRule="auto"/>
        <w:ind w:left="360" w:right="74"/>
        <w:jc w:val="both"/>
        <w:rPr>
          <w:rFonts w:ascii="Times New Roman" w:hAnsi="Times New Roman" w:cs="Times New Roman"/>
          <w:sz w:val="20"/>
          <w:szCs w:val="20"/>
        </w:rPr>
      </w:pPr>
      <w:r>
        <w:rPr>
          <w:rFonts w:ascii="Times New Roman" w:hAnsi="Times New Roman" w:cs="Times New Roman"/>
          <w:sz w:val="20"/>
          <w:szCs w:val="20"/>
        </w:rPr>
        <w:t>- ismeretei elősegítik-e a vizsgázót a szakirányú tanulmányok folytatására.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right="-1"/>
        <w:rPr>
          <w:rFonts w:ascii="Times New Roman" w:hAnsi="Times New Roman" w:cs="Times New Roman"/>
          <w:b/>
          <w:bCs/>
          <w:sz w:val="20"/>
          <w:szCs w:val="20"/>
        </w:rPr>
      </w:pPr>
      <w:r>
        <w:rPr>
          <w:rFonts w:ascii="Times New Roman" w:hAnsi="Times New Roman" w:cs="Times New Roman"/>
          <w:sz w:val="20"/>
          <w:szCs w:val="20"/>
        </w:rPr>
        <w:t xml:space="preserve">A középszintű érettségi vizsga célja annak megállapítása, hogy a vizsgázó rendelkezik-e a követelményekben megfogalmazott alapvető egészségfejlesztési, anatómiai, pszichológiai, elsősegélynyújtási, gondozástani és általános megfigyelési, általános kórtani, közegészségügyi, járványtani ismeretekkel, amelyek alapján képes bekapcsolódni a szakmai képzésbe. </w:t>
      </w:r>
    </w:p>
    <w:p w:rsidR="004C2997" w:rsidRDefault="004C2997" w:rsidP="004C2997">
      <w:pPr>
        <w:autoSpaceDE w:val="0"/>
        <w:autoSpaceDN w:val="0"/>
        <w:adjustRightInd w:val="0"/>
        <w:spacing w:after="0" w:line="240" w:lineRule="auto"/>
        <w:ind w:right="-1"/>
        <w:rPr>
          <w:rFonts w:ascii="Times New Roman" w:hAnsi="Times New Roman" w:cs="Times New Roman"/>
          <w:sz w:val="20"/>
          <w:szCs w:val="20"/>
        </w:rPr>
      </w:pPr>
      <w:r>
        <w:rPr>
          <w:rFonts w:ascii="Times New Roman" w:hAnsi="Times New Roman" w:cs="Times New Roman"/>
          <w:sz w:val="20"/>
          <w:szCs w:val="20"/>
        </w:rPr>
        <w:t>Az emelt szintű érettségi vizsga célja fentiekben felsoroltakon túlmenően annak megállapítása, hogy a vizsgázó rendelkezik-e a középszintű követelményeket meghaladó összetettebb ismeretekkel. Elsősorban a szakirányú felsőoktatásban tovább tanulni szándékozó vizsgázók képességeit, és ismereteit vizsgálja. A vizsgázóktól a középszintű követelményeket meghaladó, magasabb fokú gondolkodást, és az összefüggések meglátását várja el.</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sectPr w:rsidR="004C2997">
          <w:pgSz w:w="11906" w:h="16838"/>
          <w:pgMar w:top="1417" w:right="1417" w:bottom="1134" w:left="1417" w:header="708" w:footer="708" w:gutter="0"/>
          <w:cols w:space="708"/>
        </w:sect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12" w:space="0" w:color="000000"/>
          <w:left w:val="single" w:sz="12" w:space="0" w:color="000000"/>
          <w:bottom w:val="single" w:sz="12" w:space="0" w:color="000000"/>
          <w:right w:val="single" w:sz="12" w:space="0" w:color="000000"/>
          <w:insideH w:val="single" w:sz="6" w:space="0" w:color="000000"/>
        </w:tblBorders>
        <w:tblLayout w:type="fixed"/>
        <w:tblLook w:val="0000" w:firstRow="0" w:lastRow="0" w:firstColumn="0" w:lastColumn="0" w:noHBand="0" w:noVBand="0"/>
      </w:tblPr>
      <w:tblGrid>
        <w:gridCol w:w="3687"/>
        <w:gridCol w:w="5528"/>
        <w:gridCol w:w="5528"/>
      </w:tblGrid>
      <w:tr w:rsidR="004C2997">
        <w:tblPrEx>
          <w:tblCellMar>
            <w:top w:w="0" w:type="dxa"/>
            <w:bottom w:w="0" w:type="dxa"/>
          </w:tblCellMar>
        </w:tblPrEx>
        <w:trPr>
          <w:trHeight w:val="438"/>
        </w:trPr>
        <w:tc>
          <w:tcPr>
            <w:tcW w:w="3687" w:type="dxa"/>
            <w:tcBorders>
              <w:top w:val="single" w:sz="4" w:space="0" w:color="auto"/>
              <w:left w:val="single" w:sz="4" w:space="0" w:color="auto"/>
              <w:bottom w:val="single" w:sz="4" w:space="0" w:color="auto"/>
              <w:right w:val="single" w:sz="4" w:space="0" w:color="auto"/>
            </w:tcBorders>
            <w:vAlign w:val="bottom"/>
          </w:tcPr>
          <w:p w:rsidR="004C2997" w:rsidRDefault="004C2997">
            <w:pPr>
              <w:autoSpaceDE w:val="0"/>
              <w:autoSpaceDN w:val="0"/>
              <w:adjustRightInd w:val="0"/>
              <w:spacing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5528" w:type="dxa"/>
            <w:tcBorders>
              <w:top w:val="single" w:sz="4" w:space="0" w:color="auto"/>
              <w:left w:val="single" w:sz="4" w:space="0" w:color="auto"/>
              <w:bottom w:val="single" w:sz="4" w:space="0" w:color="auto"/>
              <w:right w:val="single" w:sz="4" w:space="0" w:color="auto"/>
            </w:tcBorders>
            <w:vAlign w:val="bottom"/>
          </w:tcPr>
          <w:p w:rsidR="004C2997" w:rsidRDefault="004C2997">
            <w:pPr>
              <w:autoSpaceDE w:val="0"/>
              <w:autoSpaceDN w:val="0"/>
              <w:adjustRightInd w:val="0"/>
              <w:spacing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5528" w:type="dxa"/>
            <w:tcBorders>
              <w:top w:val="single" w:sz="4" w:space="0" w:color="auto"/>
              <w:left w:val="single" w:sz="4" w:space="0" w:color="auto"/>
              <w:bottom w:val="single" w:sz="4" w:space="0" w:color="auto"/>
              <w:right w:val="single" w:sz="4" w:space="0" w:color="auto"/>
            </w:tcBorders>
            <w:vAlign w:val="bottom"/>
          </w:tcPr>
          <w:p w:rsidR="004C2997" w:rsidRDefault="004C2997">
            <w:pPr>
              <w:autoSpaceDE w:val="0"/>
              <w:autoSpaceDN w:val="0"/>
              <w:adjustRightInd w:val="0"/>
              <w:spacing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 kiegészítése emelt szinten</w:t>
            </w:r>
          </w:p>
        </w:tc>
      </w:tr>
      <w:tr w:rsidR="004C2997">
        <w:tblPrEx>
          <w:tblCellMar>
            <w:top w:w="0" w:type="dxa"/>
            <w:bottom w:w="0" w:type="dxa"/>
          </w:tblCellMar>
        </w:tblPrEx>
        <w:tc>
          <w:tcPr>
            <w:tcW w:w="14743" w:type="dxa"/>
            <w:gridSpan w:val="3"/>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1. Egészségfejlesztés</w:t>
            </w:r>
          </w:p>
        </w:tc>
      </w:tr>
      <w:tr w:rsidR="004C2997">
        <w:tblPrEx>
          <w:tblCellMar>
            <w:top w:w="0" w:type="dxa"/>
            <w:bottom w:w="0" w:type="dxa"/>
          </w:tblCellMar>
        </w:tblPrEx>
        <w:tc>
          <w:tcPr>
            <w:tcW w:w="3687"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Egészségkulturáltság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egészség értékjellege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Egészséges életvitel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egészség fenntartását hátrányosan befolyásoló tényezők</w:t>
            </w:r>
          </w:p>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Egészségre káros szenvedélyek</w:t>
            </w:r>
          </w:p>
        </w:tc>
        <w:tc>
          <w:tcPr>
            <w:tcW w:w="5528"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Ismerje az egészség-betegség fogalmat, az egészségkultúra, az egészséges életmód és életvitel összetevőit, ill. befolyásoló tényezőit.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Nyújtson tájékoztatást az egészséges életvitellel kapcsolatban.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káros szenvedélyeket és azok hatásait.</w:t>
            </w:r>
          </w:p>
        </w:tc>
        <w:tc>
          <w:tcPr>
            <w:tcW w:w="5528"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Magyarázza meg az egészséges életvitellel és életmóddal kapcsolatos alapvető értékeket, jelentőségét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Adjon másoknak tanácsot egészségük megőrzésében és fejlesztésében.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szükségletek hierarchiáját,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azok összefüggéseit.</w:t>
            </w:r>
          </w:p>
        </w:tc>
      </w:tr>
      <w:tr w:rsidR="004C2997">
        <w:tblPrEx>
          <w:tblCellMar>
            <w:top w:w="0" w:type="dxa"/>
            <w:bottom w:w="0" w:type="dxa"/>
          </w:tblCellMar>
        </w:tblPrEx>
        <w:tc>
          <w:tcPr>
            <w:tcW w:w="14743" w:type="dxa"/>
            <w:gridSpan w:val="3"/>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2. Anatómia </w:t>
            </w:r>
          </w:p>
        </w:tc>
      </w:tr>
      <w:tr w:rsidR="004C2997">
        <w:tblPrEx>
          <w:tblCellMar>
            <w:top w:w="0" w:type="dxa"/>
            <w:bottom w:w="0" w:type="dxa"/>
          </w:tblCellMar>
        </w:tblPrEx>
        <w:tc>
          <w:tcPr>
            <w:tcW w:w="3687"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ember az ökoszisztéma része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emberi test főbb szerkezeti elvei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mozgásrendszer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keringési rendszer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légzőrendszer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Emésztőrendszer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Vizeleti szervek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Szaporodás szervrendszere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Belső elválasztású mirigyek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Idegrendszer</w:t>
            </w:r>
          </w:p>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Érzékszervek</w:t>
            </w:r>
          </w:p>
        </w:tc>
        <w:tc>
          <w:tcPr>
            <w:tcW w:w="5528"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Ismerje az emberi test felépítését és működését.</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Határozza meg az ember helyét és szerepét az ökoszisztémában.</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Sorolja fel az emberi test csontjait, izmait, izületeit.</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Ismerje a keringési rendszer felépítését, működését és a vérkörök nagyobb ereit.</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Ismerje a légzőrendszer felépítését és működését.</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Ismerje az emésztőrendszer felépítését és működését.</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Ismerje a kiválasztórendszer felépítését és működését.</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Ismerje a szaporodás szervrendszerének felépítését és működését.</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 xml:space="preserve">Ismerje a belső elválasztású mirigyeket és működésüket. </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Ismerje az idegrendszer felépítését és működését.</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Ismerje az érzékszervek felépítését és működését.</w:t>
            </w:r>
          </w:p>
        </w:tc>
        <w:tc>
          <w:tcPr>
            <w:tcW w:w="5528"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Magyarázza meg az egyes szervrendszerek egymásra gyakorolt hatását.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Jellemezze a szervrendszerek leggyakoribb kóros elváltozásait.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Alkalmazza a latin szakkifejezéseket.</w:t>
            </w:r>
          </w:p>
        </w:tc>
      </w:tr>
      <w:tr w:rsidR="004C2997">
        <w:tblPrEx>
          <w:tblCellMar>
            <w:top w:w="0" w:type="dxa"/>
            <w:bottom w:w="0" w:type="dxa"/>
          </w:tblCellMar>
        </w:tblPrEx>
        <w:tc>
          <w:tcPr>
            <w:tcW w:w="14743" w:type="dxa"/>
            <w:gridSpan w:val="3"/>
            <w:tcBorders>
              <w:top w:val="single" w:sz="4" w:space="0" w:color="auto"/>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3. Pszichológia</w:t>
            </w:r>
          </w:p>
        </w:tc>
      </w:tr>
      <w:tr w:rsidR="004C2997">
        <w:tblPrEx>
          <w:tblCellMar>
            <w:top w:w="0" w:type="dxa"/>
            <w:bottom w:w="0" w:type="dxa"/>
          </w:tblCellMar>
        </w:tblPrEx>
        <w:tc>
          <w:tcPr>
            <w:tcW w:w="3687" w:type="dxa"/>
            <w:tcBorders>
              <w:top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általános pszichológia fogalma, tárgya, jelentősége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Érzékelés-észlelés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Figyelem-álom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Emlékezet és képzelet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Motiváció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Érzelem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Személyiség-temperamentum-jellem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Fejlődéslélektan fogalma és törvényszerűségei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szenzoros és kognitív mechanizmusok fejlődése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Az érzelmi és akarati élet fejlődése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szociálpszichológia fogalma, tárgya és jelentősége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előítélet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Szerep</w:t>
            </w:r>
          </w:p>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 xml:space="preserve">Konfliktus </w:t>
            </w:r>
          </w:p>
        </w:tc>
        <w:tc>
          <w:tcPr>
            <w:tcW w:w="5528"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lastRenderedPageBreak/>
              <w:t>Határozza meg a pszichológia alapfogalmait és osztályozza a lelki jelenségeket.</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Ismerje az emlékezet és képzelet alapfogalmait.</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Jellemezze a különféle személyiség-felfogásokat.</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Sorolja fel az érett személyiség kritériumait.</w:t>
            </w:r>
          </w:p>
        </w:tc>
        <w:tc>
          <w:tcPr>
            <w:tcW w:w="5528" w:type="dxa"/>
            <w:tcBorders>
              <w:top w:val="single" w:sz="4" w:space="0" w:color="auto"/>
              <w:left w:val="single" w:sz="4" w:space="0" w:color="auto"/>
            </w:tcBorders>
          </w:tcPr>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Ismerje a személyiség összetevőit és ezek összefüggéseit.</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Tudja megmagyarázni a pszichológiai jelenségek okait és összefüggéseit.</w:t>
            </w:r>
          </w:p>
        </w:tc>
      </w:tr>
      <w:tr w:rsidR="004C2997">
        <w:tblPrEx>
          <w:tblCellMar>
            <w:top w:w="0" w:type="dxa"/>
            <w:bottom w:w="0" w:type="dxa"/>
          </w:tblCellMar>
        </w:tblPrEx>
        <w:tc>
          <w:tcPr>
            <w:tcW w:w="14743" w:type="dxa"/>
            <w:gridSpan w:val="3"/>
            <w:tcBorders>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4. Állapot megfigyelés</w:t>
            </w:r>
          </w:p>
        </w:tc>
      </w:tr>
      <w:tr w:rsidR="004C2997">
        <w:tblPrEx>
          <w:tblCellMar>
            <w:top w:w="0" w:type="dxa"/>
            <w:bottom w:w="0" w:type="dxa"/>
          </w:tblCellMar>
        </w:tblPrEx>
        <w:tc>
          <w:tcPr>
            <w:tcW w:w="3687" w:type="dxa"/>
            <w:tcBorders>
              <w:top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Alkat megfigyelése: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testtömeg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testkörfogat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testmagasság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mozgás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járás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bőr és nyálkahártya megfigyelése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tudatállapot, eszméleti állapot megfigyelése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Testtájankénti megfigyelés: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arc, nyak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mellkas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gerincoszlop</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érzékszervek működése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Váladékok megfigyelése: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köhögés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köpet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hányadék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széklet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vizelet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Életjelenségek, alapvető életjelek megfigyelése: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légzés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pulzus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vérnyomás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hőmérséklet</w:t>
            </w:r>
          </w:p>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Gyermekbántalmazás felismerése</w:t>
            </w:r>
          </w:p>
        </w:tc>
        <w:tc>
          <w:tcPr>
            <w:tcW w:w="5528"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Ismerje a különböző testrészek megtekintésének szabályait:</w:t>
            </w:r>
          </w:p>
          <w:p w:rsidR="004C2997" w:rsidRDefault="004C2997">
            <w:pPr>
              <w:autoSpaceDE w:val="0"/>
              <w:autoSpaceDN w:val="0"/>
              <w:adjustRightInd w:val="0"/>
              <w:spacing w:after="0" w:line="240" w:lineRule="auto"/>
              <w:ind w:left="591" w:right="72"/>
              <w:rPr>
                <w:rFonts w:ascii="Times New Roman" w:hAnsi="Times New Roman" w:cs="Times New Roman"/>
                <w:sz w:val="20"/>
                <w:szCs w:val="20"/>
              </w:rPr>
            </w:pPr>
            <w:r>
              <w:rPr>
                <w:rFonts w:ascii="Times New Roman" w:hAnsi="Times New Roman" w:cs="Times New Roman"/>
                <w:sz w:val="20"/>
                <w:szCs w:val="20"/>
              </w:rPr>
              <w:t>- tudati állapotok</w:t>
            </w:r>
          </w:p>
          <w:p w:rsidR="004C2997" w:rsidRDefault="004C2997">
            <w:pPr>
              <w:autoSpaceDE w:val="0"/>
              <w:autoSpaceDN w:val="0"/>
              <w:adjustRightInd w:val="0"/>
              <w:spacing w:after="0" w:line="240" w:lineRule="auto"/>
              <w:ind w:left="591" w:right="72"/>
              <w:rPr>
                <w:rFonts w:ascii="Times New Roman" w:hAnsi="Times New Roman" w:cs="Times New Roman"/>
                <w:sz w:val="20"/>
                <w:szCs w:val="20"/>
              </w:rPr>
            </w:pPr>
            <w:r>
              <w:rPr>
                <w:rFonts w:ascii="Times New Roman" w:hAnsi="Times New Roman" w:cs="Times New Roman"/>
                <w:sz w:val="20"/>
                <w:szCs w:val="20"/>
              </w:rPr>
              <w:t>- bőr és nyálkahártya</w:t>
            </w:r>
          </w:p>
          <w:p w:rsidR="004C2997" w:rsidRDefault="004C2997">
            <w:pPr>
              <w:autoSpaceDE w:val="0"/>
              <w:autoSpaceDN w:val="0"/>
              <w:adjustRightInd w:val="0"/>
              <w:spacing w:after="0" w:line="240" w:lineRule="auto"/>
              <w:ind w:left="591" w:right="72"/>
              <w:rPr>
                <w:rFonts w:ascii="Times New Roman" w:hAnsi="Times New Roman" w:cs="Times New Roman"/>
                <w:sz w:val="20"/>
                <w:szCs w:val="20"/>
              </w:rPr>
            </w:pPr>
            <w:r>
              <w:rPr>
                <w:rFonts w:ascii="Times New Roman" w:hAnsi="Times New Roman" w:cs="Times New Roman"/>
                <w:sz w:val="20"/>
                <w:szCs w:val="20"/>
              </w:rPr>
              <w:t>- testtájak</w:t>
            </w:r>
          </w:p>
          <w:p w:rsidR="004C2997" w:rsidRDefault="004C2997">
            <w:pPr>
              <w:autoSpaceDE w:val="0"/>
              <w:autoSpaceDN w:val="0"/>
              <w:adjustRightInd w:val="0"/>
              <w:spacing w:after="0" w:line="240" w:lineRule="auto"/>
              <w:ind w:left="591" w:right="72"/>
              <w:rPr>
                <w:rFonts w:ascii="Times New Roman" w:hAnsi="Times New Roman" w:cs="Times New Roman"/>
                <w:sz w:val="20"/>
                <w:szCs w:val="20"/>
              </w:rPr>
            </w:pPr>
            <w:r>
              <w:rPr>
                <w:rFonts w:ascii="Times New Roman" w:hAnsi="Times New Roman" w:cs="Times New Roman"/>
                <w:sz w:val="20"/>
                <w:szCs w:val="20"/>
              </w:rPr>
              <w:t>- váladékok</w:t>
            </w:r>
          </w:p>
          <w:p w:rsidR="004C2997" w:rsidRDefault="004C2997">
            <w:pPr>
              <w:autoSpaceDE w:val="0"/>
              <w:autoSpaceDN w:val="0"/>
              <w:adjustRightInd w:val="0"/>
              <w:spacing w:after="0" w:line="240" w:lineRule="auto"/>
              <w:ind w:left="591" w:right="72"/>
              <w:rPr>
                <w:rFonts w:ascii="Times New Roman" w:hAnsi="Times New Roman" w:cs="Times New Roman"/>
                <w:sz w:val="20"/>
                <w:szCs w:val="20"/>
              </w:rPr>
            </w:pPr>
            <w:r>
              <w:rPr>
                <w:rFonts w:ascii="Times New Roman" w:hAnsi="Times New Roman" w:cs="Times New Roman"/>
                <w:sz w:val="20"/>
                <w:szCs w:val="20"/>
              </w:rPr>
              <w:t>- életjelenségek</w:t>
            </w:r>
          </w:p>
          <w:p w:rsidR="004C2997" w:rsidRDefault="004C2997">
            <w:pPr>
              <w:autoSpaceDE w:val="0"/>
              <w:autoSpaceDN w:val="0"/>
              <w:adjustRightInd w:val="0"/>
              <w:spacing w:after="0" w:line="240" w:lineRule="auto"/>
              <w:ind w:left="591" w:right="72"/>
              <w:rPr>
                <w:rFonts w:ascii="Times New Roman" w:hAnsi="Times New Roman" w:cs="Times New Roman"/>
                <w:sz w:val="20"/>
                <w:szCs w:val="20"/>
              </w:rPr>
            </w:pPr>
            <w:r>
              <w:rPr>
                <w:rFonts w:ascii="Times New Roman" w:hAnsi="Times New Roman" w:cs="Times New Roman"/>
                <w:sz w:val="20"/>
                <w:szCs w:val="20"/>
              </w:rPr>
              <w:t>- élettanitól eltérő tünetek és azok okai.</w:t>
            </w:r>
          </w:p>
        </w:tc>
        <w:tc>
          <w:tcPr>
            <w:tcW w:w="5528" w:type="dxa"/>
            <w:tcBorders>
              <w:top w:val="single" w:sz="4" w:space="0" w:color="auto"/>
              <w:left w:val="single" w:sz="4" w:space="0" w:color="auto"/>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élettanitól eltérő testfelépítést, életjelenségeket.</w:t>
            </w:r>
          </w:p>
        </w:tc>
      </w:tr>
      <w:tr w:rsidR="004C2997">
        <w:tblPrEx>
          <w:tblCellMar>
            <w:top w:w="0" w:type="dxa"/>
            <w:bottom w:w="0" w:type="dxa"/>
          </w:tblCellMar>
        </w:tblPrEx>
        <w:trPr>
          <w:cantSplit/>
        </w:trPr>
        <w:tc>
          <w:tcPr>
            <w:tcW w:w="14743" w:type="dxa"/>
            <w:gridSpan w:val="3"/>
            <w:tcBorders>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5. Gondozástan </w:t>
            </w:r>
          </w:p>
        </w:tc>
      </w:tr>
      <w:tr w:rsidR="004C2997">
        <w:tblPrEx>
          <w:tblCellMar>
            <w:top w:w="0" w:type="dxa"/>
            <w:bottom w:w="0" w:type="dxa"/>
          </w:tblCellMar>
        </w:tblPrEx>
        <w:tc>
          <w:tcPr>
            <w:tcW w:w="3687" w:type="dxa"/>
            <w:tcBorders>
              <w:top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Bevezetés a gondozástanba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Szülők leszünk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Újszülött a családban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életkori szakaszoknak megfelelő </w:t>
            </w:r>
            <w:r>
              <w:rPr>
                <w:rFonts w:ascii="Times New Roman" w:hAnsi="Times New Roman" w:cs="Times New Roman"/>
                <w:sz w:val="20"/>
                <w:szCs w:val="20"/>
              </w:rPr>
              <w:lastRenderedPageBreak/>
              <w:t>gondozás</w:t>
            </w:r>
          </w:p>
          <w:p w:rsidR="004C2997" w:rsidRDefault="004C2997">
            <w:pPr>
              <w:autoSpaceDE w:val="0"/>
              <w:autoSpaceDN w:val="0"/>
              <w:adjustRightInd w:val="0"/>
              <w:spacing w:after="0" w:line="240" w:lineRule="auto"/>
              <w:rPr>
                <w:rFonts w:ascii="Times New Roman" w:hAnsi="Times New Roman" w:cs="Times New Roman"/>
                <w:b/>
                <w:bCs/>
                <w:sz w:val="20"/>
                <w:szCs w:val="20"/>
              </w:rPr>
            </w:pPr>
          </w:p>
        </w:tc>
        <w:tc>
          <w:tcPr>
            <w:tcW w:w="5528"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lastRenderedPageBreak/>
              <w:t>Jellemezze az egyedfejlődés szakaszait.</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Ismerje a gondozás folyamatát.</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Családtervezés.</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 xml:space="preserve">Ismerje az újszülött egészséges fejlődéséhez szükséges </w:t>
            </w:r>
            <w:r>
              <w:rPr>
                <w:rFonts w:ascii="Times New Roman" w:hAnsi="Times New Roman" w:cs="Times New Roman"/>
                <w:sz w:val="20"/>
                <w:szCs w:val="20"/>
              </w:rPr>
              <w:lastRenderedPageBreak/>
              <w:t>gondozási teendőket.</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Ismerje a különböző életkori szakaszok jellemzőit és gondozási feladatokat:</w:t>
            </w:r>
            <w:r>
              <w:rPr>
                <w:rFonts w:ascii="Times New Roman" w:hAnsi="Times New Roman" w:cs="Times New Roman"/>
                <w:sz w:val="20"/>
                <w:szCs w:val="20"/>
              </w:rPr>
              <w:br/>
              <w:t>- első év</w:t>
            </w:r>
            <w:r>
              <w:rPr>
                <w:rFonts w:ascii="Times New Roman" w:hAnsi="Times New Roman" w:cs="Times New Roman"/>
                <w:sz w:val="20"/>
                <w:szCs w:val="20"/>
              </w:rPr>
              <w:br/>
              <w:t>- kisdedkor</w:t>
            </w:r>
            <w:r>
              <w:rPr>
                <w:rFonts w:ascii="Times New Roman" w:hAnsi="Times New Roman" w:cs="Times New Roman"/>
                <w:sz w:val="20"/>
                <w:szCs w:val="20"/>
              </w:rPr>
              <w:br/>
              <w:t>- óvodáskor</w:t>
            </w:r>
            <w:r>
              <w:rPr>
                <w:rFonts w:ascii="Times New Roman" w:hAnsi="Times New Roman" w:cs="Times New Roman"/>
                <w:sz w:val="20"/>
                <w:szCs w:val="20"/>
              </w:rPr>
              <w:br/>
              <w:t>- kisiskoláskor</w:t>
            </w:r>
            <w:r>
              <w:rPr>
                <w:rFonts w:ascii="Times New Roman" w:hAnsi="Times New Roman" w:cs="Times New Roman"/>
                <w:sz w:val="20"/>
                <w:szCs w:val="20"/>
              </w:rPr>
              <w:br/>
              <w:t>- serdülőkor</w:t>
            </w:r>
            <w:r>
              <w:rPr>
                <w:rFonts w:ascii="Times New Roman" w:hAnsi="Times New Roman" w:cs="Times New Roman"/>
                <w:sz w:val="20"/>
                <w:szCs w:val="20"/>
              </w:rPr>
              <w:br/>
              <w:t>- ifjúkor</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 felnőttkor</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 időskor</w:t>
            </w:r>
          </w:p>
        </w:tc>
        <w:tc>
          <w:tcPr>
            <w:tcW w:w="5528"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14743" w:type="dxa"/>
            <w:gridSpan w:val="3"/>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 xml:space="preserve">6. Elsősegélynyújtás </w:t>
            </w:r>
          </w:p>
        </w:tc>
      </w:tr>
      <w:tr w:rsidR="004C2997">
        <w:tblPrEx>
          <w:tblCellMar>
            <w:top w:w="0" w:type="dxa"/>
            <w:bottom w:w="0" w:type="dxa"/>
          </w:tblCellMar>
        </w:tblPrEx>
        <w:trPr>
          <w:cantSplit/>
        </w:trPr>
        <w:tc>
          <w:tcPr>
            <w:tcW w:w="3687" w:type="dxa"/>
            <w:tcBorders>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elsősegélynyújtás és a mentés kialakulása és története Magyarországon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elsősegélynyújtási kötelezettség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elsősegélynyújtás általános szabályai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Sérülések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Testtájéki sérülések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Rosszullétek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Belgyógyászati balesetek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Görcsökkel járó állapotok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Mérgezések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Shock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Újraélesztés</w:t>
            </w:r>
          </w:p>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Sérült mozgatása és fektetése.</w:t>
            </w:r>
          </w:p>
        </w:tc>
        <w:tc>
          <w:tcPr>
            <w:tcW w:w="5528"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Ismerje az alapvető életjelenségeket megfigyelését az elsősegélynyújtásban.</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Ismerje fel a vészhelyzeteket és az elsődleges ellátási formákat.</w:t>
            </w:r>
          </w:p>
        </w:tc>
        <w:tc>
          <w:tcPr>
            <w:tcW w:w="5528"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left="252" w:right="72"/>
              <w:rPr>
                <w:rFonts w:ascii="Times New Roman" w:hAnsi="Times New Roman" w:cs="Times New Roman"/>
                <w:sz w:val="20"/>
                <w:szCs w:val="20"/>
              </w:rPr>
            </w:pPr>
          </w:p>
        </w:tc>
      </w:tr>
      <w:tr w:rsidR="004C2997">
        <w:tblPrEx>
          <w:tblCellMar>
            <w:top w:w="0" w:type="dxa"/>
            <w:bottom w:w="0" w:type="dxa"/>
          </w:tblCellMar>
        </w:tblPrEx>
        <w:trPr>
          <w:cantSplit/>
        </w:trPr>
        <w:tc>
          <w:tcPr>
            <w:tcW w:w="3687" w:type="dxa"/>
            <w:tcBorders>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Komplex betegvizsgálat</w:t>
            </w:r>
          </w:p>
        </w:tc>
        <w:tc>
          <w:tcPr>
            <w:tcW w:w="5528"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Külsérelmi nyomok keresése.</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Külső sérülések.</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Belső sérülések.</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Általános fizikális vizsgálat.</w:t>
            </w:r>
          </w:p>
        </w:tc>
        <w:tc>
          <w:tcPr>
            <w:tcW w:w="5528"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14743" w:type="dxa"/>
            <w:gridSpan w:val="3"/>
            <w:tcBorders>
              <w:bottom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7. Kommunikáció </w:t>
            </w:r>
          </w:p>
        </w:tc>
      </w:tr>
      <w:tr w:rsidR="004C2997">
        <w:tblPrEx>
          <w:tblCellMar>
            <w:top w:w="0" w:type="dxa"/>
            <w:bottom w:w="0" w:type="dxa"/>
          </w:tblCellMar>
        </w:tblPrEx>
        <w:tc>
          <w:tcPr>
            <w:tcW w:w="3687" w:type="dxa"/>
            <w:tcBorders>
              <w:top w:val="single" w:sz="4" w:space="0" w:color="auto"/>
              <w:bottom w:val="single" w:sz="12" w:space="0" w:color="000000"/>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kommunikáció alapfogalmai, alapelvei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kommunikáció csatornái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kommunikáció zavarai</w:t>
            </w:r>
          </w:p>
        </w:tc>
        <w:tc>
          <w:tcPr>
            <w:tcW w:w="5528"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Ismerje a kommunikációs alapfogalmakat.</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Jellemezze a segítő kapcsolatokban előforduló kommunikációs zavarokat.</w:t>
            </w:r>
          </w:p>
          <w:p w:rsidR="004C2997" w:rsidRDefault="004C2997">
            <w:pPr>
              <w:autoSpaceDE w:val="0"/>
              <w:autoSpaceDN w:val="0"/>
              <w:adjustRightInd w:val="0"/>
              <w:spacing w:after="0" w:line="240" w:lineRule="auto"/>
              <w:ind w:right="72"/>
              <w:rPr>
                <w:rFonts w:ascii="Times New Roman" w:hAnsi="Times New Roman" w:cs="Times New Roman"/>
                <w:sz w:val="20"/>
                <w:szCs w:val="20"/>
              </w:rPr>
            </w:pPr>
            <w:r>
              <w:rPr>
                <w:rFonts w:ascii="Times New Roman" w:hAnsi="Times New Roman" w:cs="Times New Roman"/>
                <w:sz w:val="20"/>
                <w:szCs w:val="20"/>
              </w:rPr>
              <w:t>Jellemezze a nonverbális és verbális csatornákat.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serdülőkorban előforduló kommunikációs zavarokat.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metakommunikációs jelzéseket.</w:t>
            </w:r>
          </w:p>
        </w:tc>
        <w:tc>
          <w:tcPr>
            <w:tcW w:w="5528" w:type="dxa"/>
            <w:tcBorders>
              <w:top w:val="single" w:sz="4" w:space="0" w:color="auto"/>
              <w:left w:val="single" w:sz="4" w:space="0" w:color="auto"/>
              <w:bottom w:val="single" w:sz="12" w:space="0" w:color="000000"/>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sectPr w:rsidR="004C2997">
          <w:type w:val="nextColumn"/>
          <w:pgSz w:w="16838" w:h="11906" w:orient="landscape"/>
          <w:pgMar w:top="1418" w:right="1701" w:bottom="1418" w:left="1134" w:header="708" w:footer="708" w:gutter="0"/>
          <w:cols w:space="708"/>
          <w:noEndnote/>
        </w:sect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SZOCIÁLIS ALAPISMERETEK</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90" w:line="240" w:lineRule="auto"/>
        <w:ind w:left="150" w:right="150" w:firstLine="240"/>
        <w:rPr>
          <w:rFonts w:ascii="Times New Roman" w:hAnsi="Times New Roman" w:cs="Times New Roman"/>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before="60" w:after="90" w:line="240" w:lineRule="auto"/>
        <w:ind w:left="147" w:right="147" w:firstLine="238"/>
        <w:rPr>
          <w:rFonts w:ascii="Times New Roman" w:hAnsi="Times New Roman" w:cs="Times New Roman"/>
          <w:b/>
          <w:bCs/>
          <w:sz w:val="20"/>
          <w:szCs w:val="20"/>
        </w:rPr>
      </w:pPr>
      <w:r>
        <w:rPr>
          <w:rFonts w:ascii="Times New Roman" w:hAnsi="Times New Roman" w:cs="Times New Roman"/>
          <w:b/>
          <w:bCs/>
          <w:sz w:val="20"/>
          <w:szCs w:val="20"/>
        </w:rPr>
        <w:t>A szociális alapismeretek érettségi vizsga célja</w:t>
      </w:r>
    </w:p>
    <w:p w:rsidR="004C2997" w:rsidRDefault="004C2997" w:rsidP="004C2997">
      <w:pPr>
        <w:autoSpaceDE w:val="0"/>
        <w:autoSpaceDN w:val="0"/>
        <w:adjustRightInd w:val="0"/>
        <w:spacing w:after="0" w:line="240" w:lineRule="auto"/>
        <w:ind w:right="150" w:firstLine="390"/>
        <w:jc w:val="both"/>
        <w:rPr>
          <w:rFonts w:ascii="Times New Roman" w:hAnsi="Times New Roman" w:cs="Times New Roman"/>
          <w:sz w:val="20"/>
          <w:szCs w:val="20"/>
        </w:rPr>
      </w:pPr>
      <w:r>
        <w:rPr>
          <w:rFonts w:ascii="Times New Roman" w:hAnsi="Times New Roman" w:cs="Times New Roman"/>
          <w:sz w:val="20"/>
          <w:szCs w:val="20"/>
        </w:rPr>
        <w:t>A középszintű vizsga célja annak megállapítása, hogy a vizsgázó rendelkezik-e a szakmai ismeretek részét képező és a mindennapi élet számára praktikus, alapvető szociális ismeretekkel, az emelt szintű vizsga pedig az ismeretanyag belső összefüggéseinek, az egyes témakörök közötti kapcsolatok felismerésének képességét teszi próbára.</w:t>
      </w:r>
    </w:p>
    <w:p w:rsidR="004C2997" w:rsidRDefault="004C2997" w:rsidP="004C2997">
      <w:pPr>
        <w:autoSpaceDE w:val="0"/>
        <w:autoSpaceDN w:val="0"/>
        <w:adjustRightInd w:val="0"/>
        <w:spacing w:before="90"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A középszintű vizsga célja annak megállapítása, hogy a vizsgázó</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képes-e hatékonyan közvetíteni szóbeli és írásbeli információit,</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az empátia fogalmát,</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saját lelki egészsége megtartásának módjait,</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tudja-e az egyes lelki jelenségeket felsorolni, jellemezni, felismerni,</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 különböző életkori szakaszok testi, lelki, szociális jellemzőit,</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tájékozott-e a szociálpszichológia főbb alapfogalmaiban, jelenségeiben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tájékozott-e a társadalmi egyenlőtlenségek kialakulásának okairól,</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az egyenlőtlenségek csökkentésére irányuló társadalmi törekvéseket,</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 sajátjától eltérő értékeket, normákat, életmódokat,</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tájékozott-e az alapvető életmódkutatás-technikákban,</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képes-e felsorolni a család szerepét, funkcióját,</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képes-e megmagyarázni a szocializáció folyamatát, a család jelentőségét ebben a folyamatban,</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tájékozott-e a segítő szakmák területén,</w:t>
      </w:r>
    </w:p>
    <w:p w:rsidR="004C2997" w:rsidRDefault="004C2997" w:rsidP="004C2997">
      <w:pPr>
        <w:autoSpaceDE w:val="0"/>
        <w:autoSpaceDN w:val="0"/>
        <w:adjustRightInd w:val="0"/>
        <w:spacing w:after="0" w:line="240" w:lineRule="auto"/>
        <w:ind w:left="567" w:right="150" w:hanging="177"/>
        <w:rPr>
          <w:rFonts w:ascii="Times New Roman" w:hAnsi="Times New Roman" w:cs="Times New Roman"/>
          <w:sz w:val="20"/>
          <w:szCs w:val="20"/>
        </w:rPr>
      </w:pPr>
      <w:r>
        <w:rPr>
          <w:rFonts w:ascii="Times New Roman" w:hAnsi="Times New Roman" w:cs="Times New Roman"/>
          <w:sz w:val="20"/>
          <w:szCs w:val="20"/>
        </w:rPr>
        <w:t>- ismeri-e a mai magyar egészségügyi és szociális ellátórendszert ,</w:t>
      </w:r>
    </w:p>
    <w:p w:rsidR="004C2997" w:rsidRDefault="004C2997" w:rsidP="004C2997">
      <w:pPr>
        <w:autoSpaceDE w:val="0"/>
        <w:autoSpaceDN w:val="0"/>
        <w:adjustRightInd w:val="0"/>
        <w:spacing w:after="0" w:line="240" w:lineRule="auto"/>
        <w:ind w:left="540" w:right="150" w:hanging="150"/>
        <w:rPr>
          <w:rFonts w:ascii="Times New Roman" w:hAnsi="Times New Roman" w:cs="Times New Roman"/>
          <w:sz w:val="20"/>
          <w:szCs w:val="20"/>
        </w:rPr>
      </w:pPr>
      <w:r>
        <w:rPr>
          <w:rFonts w:ascii="Times New Roman" w:hAnsi="Times New Roman" w:cs="Times New Roman"/>
          <w:sz w:val="20"/>
          <w:szCs w:val="20"/>
        </w:rPr>
        <w:t>- ismeri-e a gondozás komplexitását, mint a szükséglet-kielégítés és az autonómia megőrzésének eszközét,</w:t>
      </w:r>
    </w:p>
    <w:p w:rsidR="004C2997" w:rsidRDefault="004C2997" w:rsidP="004C2997">
      <w:pPr>
        <w:autoSpaceDE w:val="0"/>
        <w:autoSpaceDN w:val="0"/>
        <w:adjustRightInd w:val="0"/>
        <w:spacing w:after="0" w:line="240" w:lineRule="auto"/>
        <w:ind w:left="567" w:right="150" w:hanging="177"/>
        <w:rPr>
          <w:rFonts w:ascii="Times New Roman" w:hAnsi="Times New Roman" w:cs="Times New Roman"/>
          <w:sz w:val="20"/>
          <w:szCs w:val="20"/>
        </w:rPr>
      </w:pPr>
      <w:r>
        <w:rPr>
          <w:rFonts w:ascii="Times New Roman" w:hAnsi="Times New Roman" w:cs="Times New Roman"/>
          <w:sz w:val="20"/>
          <w:szCs w:val="20"/>
        </w:rPr>
        <w:t>- képes-e alkalmazni az elsősegélynyújtás szabályait,</w:t>
      </w:r>
    </w:p>
    <w:p w:rsidR="004C2997" w:rsidRDefault="004C2997" w:rsidP="004C2997">
      <w:pPr>
        <w:autoSpaceDE w:val="0"/>
        <w:autoSpaceDN w:val="0"/>
        <w:adjustRightInd w:val="0"/>
        <w:spacing w:after="0" w:line="240" w:lineRule="auto"/>
        <w:ind w:left="567" w:right="150" w:hanging="177"/>
        <w:rPr>
          <w:rFonts w:ascii="Times New Roman" w:hAnsi="Times New Roman" w:cs="Times New Roman"/>
          <w:sz w:val="20"/>
          <w:szCs w:val="20"/>
        </w:rPr>
      </w:pPr>
      <w:r>
        <w:rPr>
          <w:rFonts w:ascii="Times New Roman" w:hAnsi="Times New Roman" w:cs="Times New Roman"/>
          <w:sz w:val="20"/>
          <w:szCs w:val="20"/>
        </w:rPr>
        <w:t>- tájékozott-e alapvető társadalom-egészségtani ismeretekről.</w:t>
      </w:r>
    </w:p>
    <w:p w:rsidR="004C2997" w:rsidRDefault="004C2997" w:rsidP="004C2997">
      <w:pPr>
        <w:autoSpaceDE w:val="0"/>
        <w:autoSpaceDN w:val="0"/>
        <w:adjustRightInd w:val="0"/>
        <w:spacing w:before="90"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Az emelt szintű vizsga célja annak megállapítása, hogy a vizsgázó</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 lelki jelenségek fiziológiai alapjait, törvényszerűségeit,</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képes-e felismerni a testi és lelki jelenségek összefüggéseit,</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az életmóddal kapcsolatos alapvető összefüggéseket,</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ismeretei alkalmasak-e életmódja és környezete egészségmegőrző irányba történő fejlesztésére,</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képes-e értelmezni a család szerepét, funkcióját, történelmi változásait,</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tájékozott-e az egyén és a társadalom közötti kölcsönhatások törvényszerűségeiben,</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képes-e értelmezni a társadalmi egyenlőtlenségek kialakulásának okait,</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rendelkezik-e a sajátjától eltérő értékek, normák, életmódok elfogadásához szükséges készségekkel,</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az alapvető emberi és szociális jogokat.</w:t>
      </w:r>
    </w:p>
    <w:p w:rsidR="004C2997" w:rsidRDefault="004C2997" w:rsidP="004C2997">
      <w:pPr>
        <w:autoSpaceDE w:val="0"/>
        <w:autoSpaceDN w:val="0"/>
        <w:adjustRightInd w:val="0"/>
        <w:spacing w:after="0" w:line="240" w:lineRule="auto"/>
        <w:rPr>
          <w:rFonts w:ascii="Times New Roman" w:hAnsi="Times New Roman" w:cs="Times New Roman"/>
          <w:sz w:val="12"/>
          <w:szCs w:val="12"/>
        </w:rPr>
      </w:pPr>
    </w:p>
    <w:p w:rsidR="004C2997" w:rsidRDefault="004C2997" w:rsidP="004C2997">
      <w:pPr>
        <w:autoSpaceDE w:val="0"/>
        <w:autoSpaceDN w:val="0"/>
        <w:adjustRightInd w:val="0"/>
        <w:spacing w:before="180" w:after="180" w:line="240" w:lineRule="auto"/>
        <w:ind w:left="150" w:right="150" w:firstLine="240"/>
        <w:rPr>
          <w:rFonts w:ascii="Times New Roman" w:hAnsi="Times New Roman" w:cs="Times New Roman"/>
          <w:b/>
          <w:bCs/>
          <w:sz w:val="20"/>
          <w:szCs w:val="20"/>
        </w:rPr>
      </w:pPr>
      <w:r>
        <w:rPr>
          <w:rFonts w:ascii="Times New Roman" w:hAnsi="Times New Roman" w:cs="Times New Roman"/>
          <w:b/>
          <w:bCs/>
          <w:sz w:val="20"/>
          <w:szCs w:val="20"/>
        </w:rPr>
        <w:t>Tartalmi követelmények</w:t>
      </w:r>
    </w:p>
    <w:tbl>
      <w:tblPr>
        <w:tblW w:w="0" w:type="auto"/>
        <w:tblInd w:w="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050"/>
        <w:gridCol w:w="3402"/>
        <w:gridCol w:w="3119"/>
      </w:tblGrid>
      <w:tr w:rsidR="004C2997">
        <w:tblPrEx>
          <w:tblCellMar>
            <w:top w:w="0" w:type="dxa"/>
            <w:bottom w:w="0" w:type="dxa"/>
          </w:tblCellMar>
        </w:tblPrEx>
        <w:tc>
          <w:tcPr>
            <w:tcW w:w="3050" w:type="dxa"/>
            <w:vAlign w:val="center"/>
          </w:tcPr>
          <w:p w:rsidR="004C2997" w:rsidRDefault="004C2997">
            <w:pPr>
              <w:autoSpaceDE w:val="0"/>
              <w:autoSpaceDN w:val="0"/>
              <w:adjustRightInd w:val="0"/>
              <w:spacing w:after="0" w:line="240" w:lineRule="auto"/>
              <w:jc w:val="center"/>
              <w:rPr>
                <w:rFonts w:ascii="Times New Roman" w:hAnsi="Times New Roman" w:cs="Times New Roman"/>
                <w:sz w:val="19"/>
                <w:szCs w:val="19"/>
              </w:rPr>
            </w:pPr>
            <w:r>
              <w:rPr>
                <w:rFonts w:ascii="Times New Roman" w:hAnsi="Times New Roman" w:cs="Times New Roman"/>
                <w:b/>
                <w:bCs/>
                <w:sz w:val="19"/>
                <w:szCs w:val="19"/>
              </w:rPr>
              <w:t>Témakörök</w:t>
            </w:r>
          </w:p>
        </w:tc>
        <w:tc>
          <w:tcPr>
            <w:tcW w:w="3402" w:type="dxa"/>
            <w:vAlign w:val="center"/>
          </w:tcPr>
          <w:p w:rsidR="004C2997" w:rsidRDefault="004C2997">
            <w:pPr>
              <w:autoSpaceDE w:val="0"/>
              <w:autoSpaceDN w:val="0"/>
              <w:adjustRightInd w:val="0"/>
              <w:spacing w:after="0" w:line="240" w:lineRule="auto"/>
              <w:jc w:val="center"/>
              <w:rPr>
                <w:rFonts w:ascii="Times New Roman" w:hAnsi="Times New Roman" w:cs="Times New Roman"/>
                <w:b/>
                <w:bCs/>
                <w:sz w:val="19"/>
                <w:szCs w:val="19"/>
              </w:rPr>
            </w:pPr>
            <w:r>
              <w:rPr>
                <w:rFonts w:ascii="Times New Roman" w:hAnsi="Times New Roman" w:cs="Times New Roman"/>
                <w:b/>
                <w:bCs/>
                <w:sz w:val="19"/>
                <w:szCs w:val="19"/>
              </w:rPr>
              <w:t>Követelmények középszinten</w:t>
            </w:r>
          </w:p>
        </w:tc>
        <w:tc>
          <w:tcPr>
            <w:tcW w:w="3119" w:type="dxa"/>
            <w:vAlign w:val="center"/>
          </w:tcPr>
          <w:p w:rsidR="004C2997" w:rsidRDefault="004C2997">
            <w:pPr>
              <w:autoSpaceDE w:val="0"/>
              <w:autoSpaceDN w:val="0"/>
              <w:adjustRightInd w:val="0"/>
              <w:spacing w:after="0" w:line="240" w:lineRule="auto"/>
              <w:jc w:val="center"/>
              <w:rPr>
                <w:rFonts w:ascii="Times New Roman" w:hAnsi="Times New Roman" w:cs="Times New Roman"/>
                <w:b/>
                <w:bCs/>
                <w:sz w:val="19"/>
                <w:szCs w:val="19"/>
              </w:rPr>
            </w:pPr>
            <w:r>
              <w:rPr>
                <w:rFonts w:ascii="Times New Roman" w:hAnsi="Times New Roman" w:cs="Times New Roman"/>
                <w:b/>
                <w:bCs/>
                <w:sz w:val="19"/>
                <w:szCs w:val="19"/>
              </w:rPr>
              <w:t>Követelmények kiegészítése emelt szinten</w:t>
            </w:r>
          </w:p>
        </w:tc>
      </w:tr>
      <w:tr w:rsidR="004C2997">
        <w:tblPrEx>
          <w:tblCellMar>
            <w:top w:w="0" w:type="dxa"/>
            <w:bottom w:w="0" w:type="dxa"/>
          </w:tblCellMar>
        </w:tblPrEx>
        <w:tc>
          <w:tcPr>
            <w:tcW w:w="9571" w:type="dxa"/>
            <w:gridSpan w:val="3"/>
          </w:tcPr>
          <w:p w:rsidR="004C2997" w:rsidRDefault="004C2997">
            <w:pPr>
              <w:autoSpaceDE w:val="0"/>
              <w:autoSpaceDN w:val="0"/>
              <w:adjustRightInd w:val="0"/>
              <w:spacing w:after="0" w:line="240" w:lineRule="auto"/>
              <w:rPr>
                <w:rFonts w:ascii="Times New Roman" w:hAnsi="Times New Roman" w:cs="Times New Roman"/>
                <w:b/>
                <w:bCs/>
                <w:sz w:val="19"/>
                <w:szCs w:val="19"/>
              </w:rPr>
            </w:pPr>
            <w:r>
              <w:rPr>
                <w:rFonts w:ascii="Times New Roman" w:hAnsi="Times New Roman" w:cs="Times New Roman"/>
                <w:b/>
                <w:bCs/>
                <w:sz w:val="19"/>
                <w:szCs w:val="19"/>
              </w:rPr>
              <w:t>1. Társadalomismeret</w:t>
            </w:r>
          </w:p>
        </w:tc>
      </w:tr>
      <w:tr w:rsidR="004C2997">
        <w:tblPrEx>
          <w:tblCellMar>
            <w:top w:w="0" w:type="dxa"/>
            <w:bottom w:w="0" w:type="dxa"/>
          </w:tblCellMar>
        </w:tblPrEx>
        <w:tc>
          <w:tcPr>
            <w:tcW w:w="3050" w:type="dxa"/>
          </w:tcPr>
          <w:p w:rsidR="004C2997" w:rsidRDefault="004C2997">
            <w:pPr>
              <w:widowControl w:val="0"/>
              <w:autoSpaceDE w:val="0"/>
              <w:autoSpaceDN w:val="0"/>
              <w:adjustRightInd w:val="0"/>
              <w:spacing w:after="0" w:line="240" w:lineRule="auto"/>
              <w:ind w:left="40" w:right="40"/>
              <w:rPr>
                <w:rFonts w:ascii="Times New Roman" w:hAnsi="Times New Roman" w:cs="Times New Roman"/>
                <w:sz w:val="19"/>
                <w:szCs w:val="19"/>
              </w:rPr>
            </w:pPr>
            <w:r>
              <w:rPr>
                <w:rFonts w:ascii="Times New Roman" w:hAnsi="Times New Roman" w:cs="Times New Roman"/>
                <w:sz w:val="19"/>
                <w:szCs w:val="19"/>
              </w:rPr>
              <w:t>Szociológiai alapismeretek</w:t>
            </w:r>
          </w:p>
        </w:tc>
        <w:tc>
          <w:tcPr>
            <w:tcW w:w="3402"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szociológia alapfogalmait és összefüggéseit.</w:t>
            </w:r>
          </w:p>
        </w:tc>
        <w:tc>
          <w:tcPr>
            <w:tcW w:w="3119"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bottom w:w="0" w:type="dxa"/>
          </w:tblCellMar>
        </w:tblPrEx>
        <w:tc>
          <w:tcPr>
            <w:tcW w:w="3050" w:type="dxa"/>
          </w:tcPr>
          <w:p w:rsidR="004C2997" w:rsidRDefault="004C2997">
            <w:pPr>
              <w:widowControl w:val="0"/>
              <w:autoSpaceDE w:val="0"/>
              <w:autoSpaceDN w:val="0"/>
              <w:adjustRightInd w:val="0"/>
              <w:spacing w:after="0" w:line="240" w:lineRule="auto"/>
              <w:ind w:left="40" w:right="40"/>
              <w:rPr>
                <w:rFonts w:ascii="Times New Roman" w:hAnsi="Times New Roman" w:cs="Times New Roman"/>
                <w:sz w:val="19"/>
                <w:szCs w:val="19"/>
              </w:rPr>
            </w:pPr>
            <w:r>
              <w:rPr>
                <w:rFonts w:ascii="Times New Roman" w:hAnsi="Times New Roman" w:cs="Times New Roman"/>
                <w:sz w:val="19"/>
                <w:szCs w:val="19"/>
              </w:rPr>
              <w:t>Szociológiai gyakorlat</w:t>
            </w:r>
          </w:p>
        </w:tc>
        <w:tc>
          <w:tcPr>
            <w:tcW w:w="3402"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Ismertesse a társadalom megismerésének legfontosabb módszereit.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Elemezze az életmód és életvitel összetevőit. Soroljon fel életmódkutatás-technikákat.</w:t>
            </w:r>
          </w:p>
        </w:tc>
        <w:tc>
          <w:tcPr>
            <w:tcW w:w="3119"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bottom w:w="0" w:type="dxa"/>
          </w:tblCellMar>
        </w:tblPrEx>
        <w:tc>
          <w:tcPr>
            <w:tcW w:w="3050" w:type="dxa"/>
          </w:tcPr>
          <w:p w:rsidR="004C2997" w:rsidRDefault="004C2997">
            <w:pPr>
              <w:widowControl w:val="0"/>
              <w:autoSpaceDE w:val="0"/>
              <w:autoSpaceDN w:val="0"/>
              <w:adjustRightInd w:val="0"/>
              <w:spacing w:after="0" w:line="240" w:lineRule="auto"/>
              <w:ind w:left="40" w:right="40"/>
              <w:rPr>
                <w:rFonts w:ascii="Times New Roman" w:hAnsi="Times New Roman" w:cs="Times New Roman"/>
                <w:sz w:val="19"/>
                <w:szCs w:val="19"/>
              </w:rPr>
            </w:pPr>
            <w:r>
              <w:rPr>
                <w:rFonts w:ascii="Times New Roman" w:hAnsi="Times New Roman" w:cs="Times New Roman"/>
                <w:sz w:val="19"/>
                <w:szCs w:val="19"/>
              </w:rPr>
              <w:t>Társadalmi struktúra</w:t>
            </w:r>
          </w:p>
        </w:tc>
        <w:tc>
          <w:tcPr>
            <w:tcW w:w="3402"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társadalom szerkezetét, rétegződését.</w:t>
            </w:r>
          </w:p>
        </w:tc>
        <w:tc>
          <w:tcPr>
            <w:tcW w:w="3119"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bottom w:w="0" w:type="dxa"/>
          </w:tblCellMar>
        </w:tblPrEx>
        <w:tc>
          <w:tcPr>
            <w:tcW w:w="3050" w:type="dxa"/>
          </w:tcPr>
          <w:p w:rsidR="004C2997" w:rsidRDefault="004C2997">
            <w:pPr>
              <w:widowControl w:val="0"/>
              <w:autoSpaceDE w:val="0"/>
              <w:autoSpaceDN w:val="0"/>
              <w:adjustRightInd w:val="0"/>
              <w:spacing w:after="0" w:line="240" w:lineRule="auto"/>
              <w:ind w:left="40" w:right="40"/>
              <w:rPr>
                <w:rFonts w:ascii="Times New Roman" w:hAnsi="Times New Roman" w:cs="Times New Roman"/>
                <w:sz w:val="19"/>
                <w:szCs w:val="19"/>
              </w:rPr>
            </w:pPr>
            <w:r>
              <w:rPr>
                <w:rFonts w:ascii="Times New Roman" w:hAnsi="Times New Roman" w:cs="Times New Roman"/>
                <w:sz w:val="19"/>
                <w:szCs w:val="19"/>
              </w:rPr>
              <w:t>Társadalmi egyenlőtlenség és szegénység</w:t>
            </w:r>
          </w:p>
        </w:tc>
        <w:tc>
          <w:tcPr>
            <w:tcW w:w="3402"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Azonosítson néhány egyéni és társadalmi különbséget, példán keresztül mutassa be azok lehetséges okait.</w:t>
            </w:r>
          </w:p>
        </w:tc>
        <w:tc>
          <w:tcPr>
            <w:tcW w:w="3119"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Értelmezze a mai magyar társadalomban kialakult egyenlőtlenségek okait.</w:t>
            </w:r>
          </w:p>
        </w:tc>
      </w:tr>
      <w:tr w:rsidR="004C2997">
        <w:tblPrEx>
          <w:tblCellMar>
            <w:top w:w="0" w:type="dxa"/>
            <w:bottom w:w="0" w:type="dxa"/>
          </w:tblCellMar>
        </w:tblPrEx>
        <w:tc>
          <w:tcPr>
            <w:tcW w:w="3050" w:type="dxa"/>
          </w:tcPr>
          <w:p w:rsidR="004C2997" w:rsidRDefault="004C2997">
            <w:pPr>
              <w:widowControl w:val="0"/>
              <w:autoSpaceDE w:val="0"/>
              <w:autoSpaceDN w:val="0"/>
              <w:adjustRightInd w:val="0"/>
              <w:spacing w:after="0" w:line="240" w:lineRule="auto"/>
              <w:ind w:left="40" w:right="40"/>
              <w:rPr>
                <w:rFonts w:ascii="Times New Roman" w:hAnsi="Times New Roman" w:cs="Times New Roman"/>
                <w:sz w:val="19"/>
                <w:szCs w:val="19"/>
              </w:rPr>
            </w:pPr>
            <w:r>
              <w:rPr>
                <w:rFonts w:ascii="Times New Roman" w:hAnsi="Times New Roman" w:cs="Times New Roman"/>
                <w:sz w:val="19"/>
                <w:szCs w:val="19"/>
              </w:rPr>
              <w:lastRenderedPageBreak/>
              <w:t>Család és életmód</w:t>
            </w:r>
          </w:p>
        </w:tc>
        <w:tc>
          <w:tcPr>
            <w:tcW w:w="3402"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család fogalmát, szerkezetét, a családi szerepeket, a család funkcióit. Készítsen ábrát a család szerkezetéről.</w:t>
            </w:r>
          </w:p>
        </w:tc>
        <w:tc>
          <w:tcPr>
            <w:tcW w:w="3119"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Értelmezze a család szerkezetének és funkcióinak történelmi változásait.</w:t>
            </w:r>
          </w:p>
        </w:tc>
      </w:tr>
      <w:tr w:rsidR="004C2997">
        <w:tblPrEx>
          <w:tblCellMar>
            <w:top w:w="0" w:type="dxa"/>
            <w:bottom w:w="0" w:type="dxa"/>
          </w:tblCellMar>
        </w:tblPrEx>
        <w:tc>
          <w:tcPr>
            <w:tcW w:w="3050" w:type="dxa"/>
          </w:tcPr>
          <w:p w:rsidR="004C2997" w:rsidRDefault="004C2997">
            <w:pPr>
              <w:widowControl w:val="0"/>
              <w:autoSpaceDE w:val="0"/>
              <w:autoSpaceDN w:val="0"/>
              <w:adjustRightInd w:val="0"/>
              <w:spacing w:after="0" w:line="240" w:lineRule="auto"/>
              <w:ind w:left="40" w:right="40"/>
              <w:rPr>
                <w:rFonts w:ascii="Times New Roman" w:hAnsi="Times New Roman" w:cs="Times New Roman"/>
                <w:sz w:val="19"/>
                <w:szCs w:val="19"/>
              </w:rPr>
            </w:pPr>
            <w:r>
              <w:rPr>
                <w:rFonts w:ascii="Times New Roman" w:hAnsi="Times New Roman" w:cs="Times New Roman"/>
                <w:sz w:val="19"/>
                <w:szCs w:val="19"/>
              </w:rPr>
              <w:t>A mai magyar társadalom</w:t>
            </w:r>
          </w:p>
        </w:tc>
        <w:tc>
          <w:tcPr>
            <w:tcW w:w="3402"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Határozza meg az értékek, normák, szankciók fogalmát; a normáktól való eltérés jellemzőit, a különbözőséget, a másságot, a deviancia fogalmát.</w:t>
            </w:r>
          </w:p>
        </w:tc>
        <w:tc>
          <w:tcPr>
            <w:tcW w:w="3119"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bottom w:w="0" w:type="dxa"/>
          </w:tblCellMar>
        </w:tblPrEx>
        <w:tc>
          <w:tcPr>
            <w:tcW w:w="9571" w:type="dxa"/>
            <w:gridSpan w:val="3"/>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b/>
                <w:bCs/>
                <w:sz w:val="19"/>
                <w:szCs w:val="19"/>
              </w:rPr>
              <w:t>2. Szociálpolitika</w:t>
            </w:r>
          </w:p>
        </w:tc>
      </w:tr>
      <w:tr w:rsidR="004C2997">
        <w:tblPrEx>
          <w:tblCellMar>
            <w:top w:w="0" w:type="dxa"/>
            <w:bottom w:w="0" w:type="dxa"/>
          </w:tblCellMar>
        </w:tblPrEx>
        <w:tc>
          <w:tcPr>
            <w:tcW w:w="3050" w:type="dxa"/>
          </w:tcPr>
          <w:p w:rsidR="004C2997" w:rsidRDefault="004C2997">
            <w:pPr>
              <w:widowControl w:val="0"/>
              <w:autoSpaceDE w:val="0"/>
              <w:autoSpaceDN w:val="0"/>
              <w:adjustRightInd w:val="0"/>
              <w:spacing w:after="0" w:line="240" w:lineRule="auto"/>
              <w:ind w:left="40" w:right="40"/>
              <w:rPr>
                <w:rFonts w:ascii="Times New Roman" w:hAnsi="Times New Roman" w:cs="Times New Roman"/>
                <w:sz w:val="19"/>
                <w:szCs w:val="19"/>
              </w:rPr>
            </w:pPr>
            <w:r>
              <w:rPr>
                <w:rFonts w:ascii="Times New Roman" w:hAnsi="Times New Roman" w:cs="Times New Roman"/>
                <w:sz w:val="19"/>
                <w:szCs w:val="19"/>
              </w:rPr>
              <w:t>Szociálpolitikai alapok</w:t>
            </w:r>
          </w:p>
        </w:tc>
        <w:tc>
          <w:tcPr>
            <w:tcW w:w="3402"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Határozza meg a szociálpolitika fogalmát, feladatát, intézményrendszerét, célját, eszközeit.</w:t>
            </w:r>
          </w:p>
        </w:tc>
        <w:tc>
          <w:tcPr>
            <w:tcW w:w="3119"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Keressen összefüggést a társadalom jelenségei és a szociálpolitika között.</w:t>
            </w:r>
          </w:p>
        </w:tc>
      </w:tr>
      <w:tr w:rsidR="004C2997">
        <w:tblPrEx>
          <w:tblCellMar>
            <w:top w:w="0" w:type="dxa"/>
            <w:bottom w:w="0" w:type="dxa"/>
          </w:tblCellMar>
        </w:tblPrEx>
        <w:tc>
          <w:tcPr>
            <w:tcW w:w="3050" w:type="dxa"/>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Szociálpolitikai beavatkozást igénylő problémák</w:t>
            </w:r>
          </w:p>
        </w:tc>
        <w:tc>
          <w:tcPr>
            <w:tcW w:w="3402"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az emberi szükségletek rendszerét, a szükséglet-kielégítés hiányait.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fel a mai magyar társadalomban előforduló szociális problémákat és az azokra adott alapvető válaszokat.</w:t>
            </w:r>
          </w:p>
        </w:tc>
        <w:tc>
          <w:tcPr>
            <w:tcW w:w="3119"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bottom w:w="0" w:type="dxa"/>
          </w:tblCellMar>
        </w:tblPrEx>
        <w:tc>
          <w:tcPr>
            <w:tcW w:w="3050" w:type="dxa"/>
          </w:tcPr>
          <w:p w:rsidR="004C2997" w:rsidRDefault="004C2997">
            <w:pPr>
              <w:widowControl w:val="0"/>
              <w:autoSpaceDE w:val="0"/>
              <w:autoSpaceDN w:val="0"/>
              <w:adjustRightInd w:val="0"/>
              <w:spacing w:after="0" w:line="240" w:lineRule="auto"/>
              <w:ind w:left="40" w:right="40"/>
              <w:rPr>
                <w:rFonts w:ascii="Times New Roman" w:hAnsi="Times New Roman" w:cs="Times New Roman"/>
                <w:sz w:val="19"/>
                <w:szCs w:val="19"/>
              </w:rPr>
            </w:pPr>
            <w:r>
              <w:rPr>
                <w:rFonts w:ascii="Times New Roman" w:hAnsi="Times New Roman" w:cs="Times New Roman"/>
                <w:sz w:val="19"/>
                <w:szCs w:val="19"/>
              </w:rPr>
              <w:t>Szociálpolitika intézményrendszere</w:t>
            </w:r>
          </w:p>
        </w:tc>
        <w:tc>
          <w:tcPr>
            <w:tcW w:w="3402"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Ismertesse az egészségügyi és szociális ellátás rendszerének főbb vonalait.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segítő szakmák rendszerét.</w:t>
            </w:r>
          </w:p>
        </w:tc>
        <w:tc>
          <w:tcPr>
            <w:tcW w:w="3119"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szociális szolgáltatások rendszerét, feladatait, a jóléti pluralizmus formáit.</w:t>
            </w:r>
          </w:p>
        </w:tc>
      </w:tr>
      <w:tr w:rsidR="004C2997">
        <w:tblPrEx>
          <w:tblCellMar>
            <w:top w:w="0" w:type="dxa"/>
            <w:bottom w:w="0" w:type="dxa"/>
          </w:tblCellMar>
        </w:tblPrEx>
        <w:tc>
          <w:tcPr>
            <w:tcW w:w="9571" w:type="dxa"/>
            <w:gridSpan w:val="3"/>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b/>
                <w:bCs/>
                <w:sz w:val="19"/>
                <w:szCs w:val="19"/>
              </w:rPr>
              <w:t>3. Pszichológia</w:t>
            </w:r>
          </w:p>
        </w:tc>
      </w:tr>
      <w:tr w:rsidR="004C2997">
        <w:tblPrEx>
          <w:tblCellMar>
            <w:top w:w="0" w:type="dxa"/>
            <w:bottom w:w="0" w:type="dxa"/>
          </w:tblCellMar>
        </w:tblPrEx>
        <w:tc>
          <w:tcPr>
            <w:tcW w:w="3050" w:type="dxa"/>
          </w:tcPr>
          <w:p w:rsidR="004C2997" w:rsidRDefault="004C2997">
            <w:pPr>
              <w:widowControl w:val="0"/>
              <w:autoSpaceDE w:val="0"/>
              <w:autoSpaceDN w:val="0"/>
              <w:adjustRightInd w:val="0"/>
              <w:spacing w:after="0" w:line="240" w:lineRule="auto"/>
              <w:ind w:left="40" w:right="40"/>
              <w:rPr>
                <w:rFonts w:ascii="Times New Roman" w:hAnsi="Times New Roman" w:cs="Times New Roman"/>
                <w:sz w:val="19"/>
                <w:szCs w:val="19"/>
              </w:rPr>
            </w:pPr>
            <w:r>
              <w:rPr>
                <w:rFonts w:ascii="Times New Roman" w:hAnsi="Times New Roman" w:cs="Times New Roman"/>
                <w:sz w:val="19"/>
                <w:szCs w:val="19"/>
              </w:rPr>
              <w:t>Általános lélektani ismeretek, a pszichológiai ismeretszerzés módszerei</w:t>
            </w:r>
          </w:p>
        </w:tc>
        <w:tc>
          <w:tcPr>
            <w:tcW w:w="3402"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az általános lélektani alapfogalmakat.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Ismertesse a tanult lelki jelenségeket.</w:t>
            </w:r>
          </w:p>
        </w:tc>
        <w:tc>
          <w:tcPr>
            <w:tcW w:w="3119"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Értelmezze a testi és lelki jelenségek összefüggéseit.</w:t>
            </w:r>
          </w:p>
        </w:tc>
      </w:tr>
      <w:tr w:rsidR="004C2997">
        <w:tblPrEx>
          <w:tblCellMar>
            <w:top w:w="0" w:type="dxa"/>
            <w:bottom w:w="0" w:type="dxa"/>
          </w:tblCellMar>
        </w:tblPrEx>
        <w:tc>
          <w:tcPr>
            <w:tcW w:w="3050" w:type="dxa"/>
          </w:tcPr>
          <w:p w:rsidR="004C2997" w:rsidRDefault="004C2997">
            <w:pPr>
              <w:widowControl w:val="0"/>
              <w:autoSpaceDE w:val="0"/>
              <w:autoSpaceDN w:val="0"/>
              <w:adjustRightInd w:val="0"/>
              <w:spacing w:after="0" w:line="240" w:lineRule="auto"/>
              <w:ind w:left="40" w:right="40"/>
              <w:rPr>
                <w:rFonts w:ascii="Times New Roman" w:hAnsi="Times New Roman" w:cs="Times New Roman"/>
                <w:sz w:val="19"/>
                <w:szCs w:val="19"/>
              </w:rPr>
            </w:pPr>
            <w:r>
              <w:rPr>
                <w:rFonts w:ascii="Times New Roman" w:hAnsi="Times New Roman" w:cs="Times New Roman"/>
                <w:sz w:val="19"/>
                <w:szCs w:val="19"/>
              </w:rPr>
              <w:t>Személyiség-lélektani ismeretek</w:t>
            </w:r>
          </w:p>
        </w:tc>
        <w:tc>
          <w:tcPr>
            <w:tcW w:w="3402"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személyiséggel kapcsolatos alapfogalmakat.</w:t>
            </w:r>
          </w:p>
        </w:tc>
        <w:tc>
          <w:tcPr>
            <w:tcW w:w="3119"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Elemezze az általánostól eltérő lelki megnyilvánulásokat és ismertesse azok kiváltó okait.</w:t>
            </w:r>
          </w:p>
        </w:tc>
      </w:tr>
      <w:tr w:rsidR="004C2997">
        <w:tblPrEx>
          <w:tblCellMar>
            <w:top w:w="0" w:type="dxa"/>
            <w:bottom w:w="0" w:type="dxa"/>
          </w:tblCellMar>
        </w:tblPrEx>
        <w:tc>
          <w:tcPr>
            <w:tcW w:w="3050" w:type="dxa"/>
          </w:tcPr>
          <w:p w:rsidR="004C2997" w:rsidRDefault="004C2997">
            <w:pPr>
              <w:widowControl w:val="0"/>
              <w:autoSpaceDE w:val="0"/>
              <w:autoSpaceDN w:val="0"/>
              <w:adjustRightInd w:val="0"/>
              <w:spacing w:after="0" w:line="240" w:lineRule="auto"/>
              <w:ind w:left="40" w:right="40"/>
              <w:rPr>
                <w:rFonts w:ascii="Times New Roman" w:hAnsi="Times New Roman" w:cs="Times New Roman"/>
                <w:sz w:val="19"/>
                <w:szCs w:val="19"/>
              </w:rPr>
            </w:pPr>
            <w:r>
              <w:rPr>
                <w:rFonts w:ascii="Times New Roman" w:hAnsi="Times New Roman" w:cs="Times New Roman"/>
                <w:sz w:val="19"/>
                <w:szCs w:val="19"/>
              </w:rPr>
              <w:t>Fejlődéslélektani ismeretek</w:t>
            </w:r>
          </w:p>
        </w:tc>
        <w:tc>
          <w:tcPr>
            <w:tcW w:w="3402"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Határozza meg az érés és fejlődés törvényszerűségeit.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Ismertesse a különböző életkori szakaszok pszichikus jellemzőit, a szenzomotoros és a kognitív fejlődés menetét.</w:t>
            </w:r>
          </w:p>
        </w:tc>
        <w:tc>
          <w:tcPr>
            <w:tcW w:w="3119"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bottom w:w="0" w:type="dxa"/>
          </w:tblCellMar>
        </w:tblPrEx>
        <w:tc>
          <w:tcPr>
            <w:tcW w:w="3050" w:type="dxa"/>
          </w:tcPr>
          <w:p w:rsidR="004C2997" w:rsidRDefault="004C2997">
            <w:pPr>
              <w:widowControl w:val="0"/>
              <w:autoSpaceDE w:val="0"/>
              <w:autoSpaceDN w:val="0"/>
              <w:adjustRightInd w:val="0"/>
              <w:spacing w:after="0" w:line="240" w:lineRule="auto"/>
              <w:ind w:left="40" w:right="40"/>
              <w:rPr>
                <w:rFonts w:ascii="Times New Roman" w:hAnsi="Times New Roman" w:cs="Times New Roman"/>
                <w:sz w:val="19"/>
                <w:szCs w:val="19"/>
              </w:rPr>
            </w:pPr>
            <w:r>
              <w:rPr>
                <w:rFonts w:ascii="Times New Roman" w:hAnsi="Times New Roman" w:cs="Times New Roman"/>
                <w:sz w:val="19"/>
                <w:szCs w:val="19"/>
              </w:rPr>
              <w:t>Szociálpszichológiai jelenségek és folyamatok</w:t>
            </w:r>
          </w:p>
        </w:tc>
        <w:tc>
          <w:tcPr>
            <w:tcW w:w="3402"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Definiálja a szociálpszichológia fogalmát.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Ábrázolja a kommunikáció sémáját.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Sorolja fel a verbális és nonverbális, valamint a metakommunikációs jelzéseket.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Határozza meg a segítő hivatás kommunikáció alapelveit.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Magyarázza el a hiteles kommunikáció összetevőit, jellemzőit.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a társas kapcsolatok elemzésére, értelmezésére.</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Ismertesse a csoportmunka szabályait, a csoportfejlődés fázisait.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Magyarázza el a szerepek és a norma jelentőségét a csoportban. Határozza meg a konfliktus fogalmát.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Soroljon fel néhány konfliktuskezelési technikát.</w:t>
            </w:r>
          </w:p>
        </w:tc>
        <w:tc>
          <w:tcPr>
            <w:tcW w:w="3119"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Ismertesse a különböző társas szerepeket.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Ismertessen jellegzetes szerepkonfliktusokat.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Elemezzen egy szerepfeszültségből adódó konfliktust és annak megoldását példa segítségével.</w:t>
            </w:r>
          </w:p>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bottom w:w="0" w:type="dxa"/>
          </w:tblCellMar>
        </w:tblPrEx>
        <w:tc>
          <w:tcPr>
            <w:tcW w:w="3050" w:type="dxa"/>
          </w:tcPr>
          <w:p w:rsidR="004C2997" w:rsidRDefault="004C2997">
            <w:pPr>
              <w:widowControl w:val="0"/>
              <w:autoSpaceDE w:val="0"/>
              <w:autoSpaceDN w:val="0"/>
              <w:adjustRightInd w:val="0"/>
              <w:spacing w:after="0" w:line="240" w:lineRule="auto"/>
              <w:ind w:left="40" w:right="40"/>
              <w:rPr>
                <w:rFonts w:ascii="Times New Roman" w:hAnsi="Times New Roman" w:cs="Times New Roman"/>
                <w:sz w:val="19"/>
                <w:szCs w:val="19"/>
              </w:rPr>
            </w:pPr>
            <w:r>
              <w:rPr>
                <w:rFonts w:ascii="Times New Roman" w:hAnsi="Times New Roman" w:cs="Times New Roman"/>
                <w:sz w:val="19"/>
                <w:szCs w:val="19"/>
              </w:rPr>
              <w:t>A szocializáció folyamata</w:t>
            </w:r>
          </w:p>
        </w:tc>
        <w:tc>
          <w:tcPr>
            <w:tcW w:w="3402"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Értelmezze a szocializáció fogalmát.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Sorolja fel a szocializáció folyamatának elemeit.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Mutassa be a szocializáció színtereit.</w:t>
            </w:r>
          </w:p>
        </w:tc>
        <w:tc>
          <w:tcPr>
            <w:tcW w:w="3119"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Magyarázza meg a szocializáció folyamatának összefüggéseit.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Értelmezze a tanulás szocializációban betöltött szerepét.</w:t>
            </w:r>
          </w:p>
        </w:tc>
      </w:tr>
      <w:tr w:rsidR="004C2997">
        <w:tblPrEx>
          <w:tblCellMar>
            <w:top w:w="0" w:type="dxa"/>
            <w:bottom w:w="0" w:type="dxa"/>
          </w:tblCellMar>
        </w:tblPrEx>
        <w:tc>
          <w:tcPr>
            <w:tcW w:w="9571" w:type="dxa"/>
            <w:gridSpan w:val="3"/>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b/>
                <w:bCs/>
                <w:sz w:val="19"/>
                <w:szCs w:val="19"/>
              </w:rPr>
              <w:t>4. Gondozástan</w:t>
            </w:r>
          </w:p>
        </w:tc>
      </w:tr>
      <w:tr w:rsidR="004C2997">
        <w:tblPrEx>
          <w:tblCellMar>
            <w:top w:w="0" w:type="dxa"/>
            <w:bottom w:w="0" w:type="dxa"/>
          </w:tblCellMar>
        </w:tblPrEx>
        <w:tc>
          <w:tcPr>
            <w:tcW w:w="3050" w:type="dxa"/>
          </w:tcPr>
          <w:p w:rsidR="004C2997" w:rsidRDefault="004C2997">
            <w:pPr>
              <w:widowControl w:val="0"/>
              <w:autoSpaceDE w:val="0"/>
              <w:autoSpaceDN w:val="0"/>
              <w:adjustRightInd w:val="0"/>
              <w:spacing w:after="0" w:line="240" w:lineRule="auto"/>
              <w:ind w:left="40" w:right="40"/>
              <w:rPr>
                <w:rFonts w:ascii="Times New Roman" w:hAnsi="Times New Roman" w:cs="Times New Roman"/>
                <w:sz w:val="19"/>
                <w:szCs w:val="19"/>
              </w:rPr>
            </w:pPr>
            <w:r>
              <w:rPr>
                <w:rFonts w:ascii="Times New Roman" w:hAnsi="Times New Roman" w:cs="Times New Roman"/>
                <w:sz w:val="19"/>
                <w:szCs w:val="19"/>
              </w:rPr>
              <w:t>Gondozási ismeretek</w:t>
            </w:r>
          </w:p>
        </w:tc>
        <w:tc>
          <w:tcPr>
            <w:tcW w:w="3402"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gondozás fogalmát, célját, feladatait és tevékenységi formáit, a gondozás célcsoportjait.</w:t>
            </w:r>
          </w:p>
        </w:tc>
        <w:tc>
          <w:tcPr>
            <w:tcW w:w="3119"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Mutassa be az aktivitás fontosságát, fenntartásának néhány lehetőségét</w:t>
            </w:r>
          </w:p>
        </w:tc>
      </w:tr>
      <w:tr w:rsidR="004C2997">
        <w:tblPrEx>
          <w:tblCellMar>
            <w:top w:w="0" w:type="dxa"/>
            <w:bottom w:w="0" w:type="dxa"/>
          </w:tblCellMar>
        </w:tblPrEx>
        <w:tc>
          <w:tcPr>
            <w:tcW w:w="3050" w:type="dxa"/>
          </w:tcPr>
          <w:p w:rsidR="004C2997" w:rsidRDefault="004C2997">
            <w:pPr>
              <w:widowControl w:val="0"/>
              <w:autoSpaceDE w:val="0"/>
              <w:autoSpaceDN w:val="0"/>
              <w:adjustRightInd w:val="0"/>
              <w:spacing w:after="0" w:line="240" w:lineRule="auto"/>
              <w:ind w:left="40" w:right="40"/>
              <w:rPr>
                <w:rFonts w:ascii="Times New Roman" w:hAnsi="Times New Roman" w:cs="Times New Roman"/>
                <w:sz w:val="19"/>
                <w:szCs w:val="19"/>
              </w:rPr>
            </w:pPr>
            <w:r>
              <w:rPr>
                <w:rFonts w:ascii="Times New Roman" w:hAnsi="Times New Roman" w:cs="Times New Roman"/>
                <w:sz w:val="19"/>
                <w:szCs w:val="19"/>
              </w:rPr>
              <w:t>Szükségletek és erőforrások komplex értelmezése</w:t>
            </w:r>
          </w:p>
        </w:tc>
        <w:tc>
          <w:tcPr>
            <w:tcW w:w="3402"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Jellemezze a gondozás komplexitását, mint a szükséglet-kielégítés és az autonómia megőrzésének eszközét.</w:t>
            </w:r>
          </w:p>
        </w:tc>
        <w:tc>
          <w:tcPr>
            <w:tcW w:w="3119"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Tervezze meg a gondozási folyamat alapvető lépéseit.</w:t>
            </w:r>
          </w:p>
        </w:tc>
      </w:tr>
      <w:tr w:rsidR="004C2997">
        <w:tblPrEx>
          <w:tblCellMar>
            <w:top w:w="0" w:type="dxa"/>
            <w:bottom w:w="0" w:type="dxa"/>
          </w:tblCellMar>
        </w:tblPrEx>
        <w:tc>
          <w:tcPr>
            <w:tcW w:w="9571" w:type="dxa"/>
            <w:gridSpan w:val="3"/>
          </w:tcPr>
          <w:p w:rsidR="004C2997" w:rsidRDefault="004C2997">
            <w:pPr>
              <w:autoSpaceDE w:val="0"/>
              <w:autoSpaceDN w:val="0"/>
              <w:adjustRightInd w:val="0"/>
              <w:spacing w:after="0" w:line="240" w:lineRule="auto"/>
              <w:rPr>
                <w:rFonts w:ascii="Times New Roman" w:hAnsi="Times New Roman" w:cs="Times New Roman"/>
                <w:b/>
                <w:bCs/>
                <w:sz w:val="19"/>
                <w:szCs w:val="19"/>
              </w:rPr>
            </w:pPr>
            <w:r>
              <w:rPr>
                <w:rFonts w:ascii="Times New Roman" w:hAnsi="Times New Roman" w:cs="Times New Roman"/>
                <w:b/>
                <w:bCs/>
                <w:sz w:val="19"/>
                <w:szCs w:val="19"/>
              </w:rPr>
              <w:t>5. Egészségtan</w:t>
            </w:r>
          </w:p>
        </w:tc>
      </w:tr>
      <w:tr w:rsidR="004C2997">
        <w:tblPrEx>
          <w:tblCellMar>
            <w:top w:w="0" w:type="dxa"/>
            <w:bottom w:w="0" w:type="dxa"/>
          </w:tblCellMar>
        </w:tblPrEx>
        <w:tc>
          <w:tcPr>
            <w:tcW w:w="3050" w:type="dxa"/>
          </w:tcPr>
          <w:p w:rsidR="004C2997" w:rsidRDefault="004C2997">
            <w:pPr>
              <w:widowControl w:val="0"/>
              <w:autoSpaceDE w:val="0"/>
              <w:autoSpaceDN w:val="0"/>
              <w:adjustRightInd w:val="0"/>
              <w:spacing w:after="0" w:line="240" w:lineRule="auto"/>
              <w:ind w:left="40" w:right="40"/>
              <w:rPr>
                <w:rFonts w:ascii="Times New Roman" w:hAnsi="Times New Roman" w:cs="Times New Roman"/>
                <w:sz w:val="19"/>
                <w:szCs w:val="19"/>
              </w:rPr>
            </w:pPr>
            <w:r>
              <w:rPr>
                <w:rFonts w:ascii="Times New Roman" w:hAnsi="Times New Roman" w:cs="Times New Roman"/>
                <w:sz w:val="19"/>
                <w:szCs w:val="19"/>
              </w:rPr>
              <w:t>Elsősegélynyújtás</w:t>
            </w:r>
          </w:p>
        </w:tc>
        <w:tc>
          <w:tcPr>
            <w:tcW w:w="3402"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 xml:space="preserve">Ismerje az elsősegélynyújtás szabályait, a veszélyeztető állapotokból következő </w:t>
            </w:r>
            <w:r>
              <w:rPr>
                <w:rFonts w:ascii="Times New Roman" w:hAnsi="Times New Roman" w:cs="Times New Roman"/>
                <w:sz w:val="19"/>
                <w:szCs w:val="19"/>
              </w:rPr>
              <w:lastRenderedPageBreak/>
              <w:t>elsősegélynyújtási feladatokat</w:t>
            </w:r>
          </w:p>
        </w:tc>
        <w:tc>
          <w:tcPr>
            <w:tcW w:w="3119"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lastRenderedPageBreak/>
              <w:t>Különböztesse meg a görcsös állapotok tüneteit.</w:t>
            </w:r>
          </w:p>
        </w:tc>
      </w:tr>
      <w:tr w:rsidR="004C2997">
        <w:tblPrEx>
          <w:tblCellMar>
            <w:top w:w="0" w:type="dxa"/>
            <w:bottom w:w="0" w:type="dxa"/>
          </w:tblCellMar>
        </w:tblPrEx>
        <w:tc>
          <w:tcPr>
            <w:tcW w:w="3050" w:type="dxa"/>
          </w:tcPr>
          <w:p w:rsidR="004C2997" w:rsidRDefault="004C2997">
            <w:pPr>
              <w:widowControl w:val="0"/>
              <w:autoSpaceDE w:val="0"/>
              <w:autoSpaceDN w:val="0"/>
              <w:adjustRightInd w:val="0"/>
              <w:spacing w:after="0" w:line="240" w:lineRule="auto"/>
              <w:ind w:left="40" w:right="40"/>
              <w:rPr>
                <w:rFonts w:ascii="Times New Roman" w:hAnsi="Times New Roman" w:cs="Times New Roman"/>
                <w:sz w:val="19"/>
                <w:szCs w:val="19"/>
              </w:rPr>
            </w:pPr>
            <w:r>
              <w:rPr>
                <w:rFonts w:ascii="Times New Roman" w:hAnsi="Times New Roman" w:cs="Times New Roman"/>
                <w:sz w:val="19"/>
                <w:szCs w:val="19"/>
              </w:rPr>
              <w:lastRenderedPageBreak/>
              <w:t>Közegészség</w:t>
            </w:r>
          </w:p>
        </w:tc>
        <w:tc>
          <w:tcPr>
            <w:tcW w:w="3402"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Rendelkezzen alapvető társadalom-egészségtani ismeretekkel. Ismerje a meghatározó népegészségügyi mutatókat.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Használja az alap fertőtlenítőszereket és eljárásokat.</w:t>
            </w:r>
          </w:p>
        </w:tc>
        <w:tc>
          <w:tcPr>
            <w:tcW w:w="3119" w:type="dxa"/>
            <w:vAlign w:val="center"/>
          </w:tcPr>
          <w:p w:rsidR="004C2997" w:rsidRDefault="004C2997">
            <w:pPr>
              <w:autoSpaceDE w:val="0"/>
              <w:autoSpaceDN w:val="0"/>
              <w:adjustRightInd w:val="0"/>
              <w:spacing w:after="0" w:line="240" w:lineRule="auto"/>
              <w:rPr>
                <w:rFonts w:ascii="Times New Roman" w:hAnsi="Times New Roman" w:cs="Times New Roman"/>
                <w:sz w:val="19"/>
                <w:szCs w:val="19"/>
              </w:rPr>
            </w:pPr>
          </w:p>
        </w:tc>
      </w:tr>
    </w:tbl>
    <w:p w:rsidR="004C2997" w:rsidRDefault="004C2997" w:rsidP="004C2997">
      <w:pPr>
        <w:autoSpaceDE w:val="0"/>
        <w:autoSpaceDN w:val="0"/>
        <w:adjustRightInd w:val="0"/>
        <w:spacing w:after="0" w:line="240" w:lineRule="auto"/>
        <w:rPr>
          <w:rFonts w:ascii="Times New Roman" w:hAnsi="Times New Roman" w:cs="Times New Roman"/>
          <w:sz w:val="2"/>
          <w:szCs w:val="2"/>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sectPr w:rsidR="004C2997">
          <w:type w:val="evenPage"/>
          <w:pgSz w:w="11907" w:h="16840"/>
          <w:pgMar w:top="1701" w:right="1134" w:bottom="1134" w:left="1418" w:header="708" w:footer="708" w:gutter="0"/>
          <w:cols w:space="708"/>
          <w:noEndnote/>
        </w:sect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OKTATÁSI ALAPISMERETEK</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ind w:left="4253" w:hanging="4253"/>
        <w:jc w:val="both"/>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rPr>
          <w:rFonts w:ascii="Times New Roman" w:hAnsi="Times New Roman" w:cs="Times New Roman"/>
          <w:sz w:val="16"/>
          <w:szCs w:val="16"/>
        </w:rPr>
      </w:pPr>
    </w:p>
    <w:p w:rsidR="004C2997" w:rsidRDefault="004C2997" w:rsidP="004C2997">
      <w:pPr>
        <w:autoSpaceDE w:val="0"/>
        <w:autoSpaceDN w:val="0"/>
        <w:adjustRightInd w:val="0"/>
        <w:spacing w:after="0" w:line="240" w:lineRule="auto"/>
        <w:ind w:right="74"/>
        <w:jc w:val="both"/>
        <w:rPr>
          <w:rFonts w:ascii="Times New Roman" w:hAnsi="Times New Roman" w:cs="Times New Roman"/>
          <w:b/>
          <w:bCs/>
          <w:sz w:val="20"/>
          <w:szCs w:val="20"/>
        </w:rPr>
      </w:pPr>
      <w:r>
        <w:rPr>
          <w:rFonts w:ascii="Times New Roman" w:hAnsi="Times New Roman" w:cs="Times New Roman"/>
          <w:b/>
          <w:bCs/>
          <w:sz w:val="20"/>
          <w:szCs w:val="20"/>
        </w:rPr>
        <w:t>Az oktatási alapismeretek vizsga célja annak megállapítása, hogy a vizsgázó:</w:t>
      </w:r>
    </w:p>
    <w:p w:rsidR="004C2997" w:rsidRDefault="004C2997" w:rsidP="004C2997">
      <w:pPr>
        <w:autoSpaceDE w:val="0"/>
        <w:autoSpaceDN w:val="0"/>
        <w:adjustRightInd w:val="0"/>
        <w:spacing w:after="0" w:line="240" w:lineRule="auto"/>
        <w:ind w:right="74"/>
        <w:jc w:val="both"/>
        <w:rPr>
          <w:rFonts w:ascii="Times New Roman" w:hAnsi="Times New Roman" w:cs="Times New Roman"/>
          <w:b/>
          <w:bCs/>
          <w:sz w:val="16"/>
          <w:szCs w:val="16"/>
        </w:rPr>
      </w:pP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u w:val="single"/>
        </w:rPr>
      </w:pPr>
      <w:r>
        <w:rPr>
          <w:rFonts w:ascii="Times New Roman" w:hAnsi="Times New Roman" w:cs="Times New Roman"/>
          <w:sz w:val="20"/>
          <w:szCs w:val="20"/>
        </w:rPr>
        <w:t>-</w:t>
      </w:r>
      <w:r>
        <w:rPr>
          <w:rFonts w:ascii="Times New Roman" w:hAnsi="Times New Roman" w:cs="Times New Roman"/>
          <w:sz w:val="20"/>
          <w:szCs w:val="20"/>
        </w:rPr>
        <w:tab/>
        <w:t>képes-e eligazodni a pszichológia és a pedagógia ismeretanyagában,</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u w:val="single"/>
        </w:rPr>
      </w:pPr>
      <w:r>
        <w:rPr>
          <w:rFonts w:ascii="Times New Roman" w:hAnsi="Times New Roman" w:cs="Times New Roman"/>
          <w:sz w:val="20"/>
          <w:szCs w:val="20"/>
        </w:rPr>
        <w:t>-</w:t>
      </w:r>
      <w:r>
        <w:rPr>
          <w:rFonts w:ascii="Times New Roman" w:hAnsi="Times New Roman" w:cs="Times New Roman"/>
          <w:sz w:val="20"/>
          <w:szCs w:val="20"/>
        </w:rPr>
        <w:tab/>
        <w:t>rendelkezik-e korszerű pedagógiai, személyiségközpontú szemléletmóddal  és az önművelés igényével,</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u w:val="single"/>
        </w:rPr>
      </w:pPr>
      <w:r>
        <w:rPr>
          <w:rFonts w:ascii="Times New Roman" w:hAnsi="Times New Roman" w:cs="Times New Roman"/>
          <w:sz w:val="20"/>
          <w:szCs w:val="20"/>
        </w:rPr>
        <w:t>-</w:t>
      </w:r>
      <w:r>
        <w:rPr>
          <w:rFonts w:ascii="Times New Roman" w:hAnsi="Times New Roman" w:cs="Times New Roman"/>
          <w:sz w:val="20"/>
          <w:szCs w:val="20"/>
        </w:rPr>
        <w:tab/>
        <w:t>rendelkezik-e alapvető ismeretekkel önmaga és mások megismeréséhez, családi és társadalmi helyzetek értelmezéséhez a szocializációs folyamatokban,</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u w:val="single"/>
        </w:rPr>
      </w:pPr>
      <w:r>
        <w:rPr>
          <w:rFonts w:ascii="Times New Roman" w:hAnsi="Times New Roman" w:cs="Times New Roman"/>
          <w:sz w:val="20"/>
          <w:szCs w:val="20"/>
        </w:rPr>
        <w:t>-</w:t>
      </w:r>
      <w:r>
        <w:rPr>
          <w:rFonts w:ascii="Times New Roman" w:hAnsi="Times New Roman" w:cs="Times New Roman"/>
          <w:sz w:val="20"/>
          <w:szCs w:val="20"/>
        </w:rPr>
        <w:tab/>
        <w:t>a tanult ismeretek segítségével képes-e önmaga és környezete problémahelyzeteit kezelni, elemi interakciók egyénre gyakorolt hatásait feltárni, kellő megküzdési stratégiák és technikák ismeretével megkísérelni azokat megoldani.</w:t>
      </w:r>
    </w:p>
    <w:p w:rsidR="004C2997" w:rsidRDefault="004C2997" w:rsidP="004C2997">
      <w:pPr>
        <w:autoSpaceDE w:val="0"/>
        <w:autoSpaceDN w:val="0"/>
        <w:adjustRightInd w:val="0"/>
        <w:spacing w:after="0" w:line="240" w:lineRule="auto"/>
        <w:rPr>
          <w:rFonts w:ascii="Times New Roman" w:hAnsi="Times New Roman" w:cs="Times New Roman"/>
          <w:sz w:val="16"/>
          <w:szCs w:val="16"/>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középszintű vizsga célja annak megállapítása, hogy a vizsgázó</w:t>
      </w:r>
    </w:p>
    <w:p w:rsidR="004C2997" w:rsidRDefault="004C2997" w:rsidP="004C2997">
      <w:pPr>
        <w:tabs>
          <w:tab w:val="left" w:pos="1065"/>
        </w:tabs>
        <w:autoSpaceDE w:val="0"/>
        <w:autoSpaceDN w:val="0"/>
        <w:adjustRightInd w:val="0"/>
        <w:spacing w:after="0" w:line="240" w:lineRule="auto"/>
        <w:ind w:left="106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tájékozott-e az oktatási alapismeretek vizsgatárgy ismeretanyagában,</w:t>
      </w:r>
    </w:p>
    <w:p w:rsidR="004C2997" w:rsidRDefault="004C2997" w:rsidP="004C2997">
      <w:pPr>
        <w:tabs>
          <w:tab w:val="left" w:pos="1065"/>
        </w:tabs>
        <w:autoSpaceDE w:val="0"/>
        <w:autoSpaceDN w:val="0"/>
        <w:adjustRightInd w:val="0"/>
        <w:spacing w:after="0" w:line="240" w:lineRule="auto"/>
        <w:ind w:left="106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korszerű pedagógiai szemlélet- és gondolkodásmóddal, mely lehetővé teszi számára a különböző életkori szakaszokban felmerülő alapvető testi, lelki, szociális, gondozási igények, a nevelés körébe tartozó különböző alapproblémák felismerését</w:t>
      </w:r>
    </w:p>
    <w:p w:rsidR="004C2997" w:rsidRDefault="004C2997" w:rsidP="004C2997">
      <w:pPr>
        <w:tabs>
          <w:tab w:val="left" w:pos="1065"/>
        </w:tabs>
        <w:autoSpaceDE w:val="0"/>
        <w:autoSpaceDN w:val="0"/>
        <w:adjustRightInd w:val="0"/>
        <w:spacing w:after="0" w:line="240" w:lineRule="auto"/>
        <w:ind w:left="106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használni a pedagógiai, pszichológiai fogalmakat, a szaknyelvet,</w:t>
      </w:r>
    </w:p>
    <w:p w:rsidR="004C2997" w:rsidRDefault="004C2997" w:rsidP="004C2997">
      <w:pPr>
        <w:tabs>
          <w:tab w:val="left" w:pos="1065"/>
        </w:tabs>
        <w:autoSpaceDE w:val="0"/>
        <w:autoSpaceDN w:val="0"/>
        <w:adjustRightInd w:val="0"/>
        <w:spacing w:after="0" w:line="240" w:lineRule="auto"/>
        <w:ind w:left="106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ismereteit meggyőzően kommunikálni,</w:t>
      </w:r>
    </w:p>
    <w:p w:rsidR="004C2997" w:rsidRDefault="004C2997" w:rsidP="004C2997">
      <w:pPr>
        <w:tabs>
          <w:tab w:val="left" w:pos="1065"/>
        </w:tabs>
        <w:autoSpaceDE w:val="0"/>
        <w:autoSpaceDN w:val="0"/>
        <w:adjustRightInd w:val="0"/>
        <w:spacing w:after="0" w:line="240" w:lineRule="auto"/>
        <w:ind w:left="106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pedagógiai szituációkban szerzett tapasztalatai és elméleti ismeretei integrálására, tudatos szakmaválasztásra,</w:t>
      </w:r>
    </w:p>
    <w:p w:rsidR="004C2997" w:rsidRDefault="004C2997" w:rsidP="004C2997">
      <w:pPr>
        <w:tabs>
          <w:tab w:val="left" w:pos="1065"/>
        </w:tabs>
        <w:autoSpaceDE w:val="0"/>
        <w:autoSpaceDN w:val="0"/>
        <w:adjustRightInd w:val="0"/>
        <w:spacing w:after="0" w:line="240" w:lineRule="auto"/>
        <w:ind w:left="106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 tudja-e használni ismereteit önmaga és mások viselkedésének elemzésére,</w:t>
      </w:r>
    </w:p>
    <w:p w:rsidR="004C2997" w:rsidRDefault="004C2997" w:rsidP="004C2997">
      <w:pPr>
        <w:tabs>
          <w:tab w:val="left" w:pos="1065"/>
        </w:tabs>
        <w:autoSpaceDE w:val="0"/>
        <w:autoSpaceDN w:val="0"/>
        <w:adjustRightInd w:val="0"/>
        <w:spacing w:after="0" w:line="240" w:lineRule="auto"/>
        <w:ind w:left="106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önálló véleményalkotásra, kulturált nyelvhasználattal érvei kifejezésére és megvédésére.</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középszintű vizsga a vizsgázóktól az egyszerűbb ismeretszerzési eljárásokat, kifejezőképességeket, a rendszerezés és alkalmazás alapvető formáit, valamint az érettségi utáni oktatás szakmacsoportos szakképzés megalapozásához, a pályaválasztási döntéshez szükséges motívumok és képességek (kompetenciák) meglétét várja el.</w:t>
      </w:r>
    </w:p>
    <w:p w:rsidR="004C2997" w:rsidRDefault="004C2997" w:rsidP="004C2997">
      <w:pPr>
        <w:autoSpaceDE w:val="0"/>
        <w:autoSpaceDN w:val="0"/>
        <w:adjustRightInd w:val="0"/>
        <w:spacing w:after="0" w:line="240" w:lineRule="auto"/>
        <w:jc w:val="both"/>
        <w:rPr>
          <w:rFonts w:ascii="Times New Roman" w:hAnsi="Times New Roman" w:cs="Times New Roman"/>
          <w:sz w:val="16"/>
          <w:szCs w:val="16"/>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Az emelt szintű vizsga célja annak megállítása, hogy </w:t>
      </w:r>
      <w:r>
        <w:rPr>
          <w:rFonts w:ascii="Times New Roman" w:hAnsi="Times New Roman" w:cs="Times New Roman"/>
          <w:sz w:val="24"/>
          <w:szCs w:val="24"/>
        </w:rPr>
        <w:t xml:space="preserve">a </w:t>
      </w:r>
      <w:r>
        <w:rPr>
          <w:rFonts w:ascii="Times New Roman" w:hAnsi="Times New Roman" w:cs="Times New Roman"/>
          <w:sz w:val="20"/>
          <w:szCs w:val="20"/>
        </w:rPr>
        <w:t>vizsgázó fentiekben felsoroltakon túlmenően</w:t>
      </w:r>
    </w:p>
    <w:p w:rsidR="004C2997" w:rsidRDefault="004C2997" w:rsidP="004C2997">
      <w:pPr>
        <w:tabs>
          <w:tab w:val="left" w:pos="1065"/>
        </w:tabs>
        <w:autoSpaceDE w:val="0"/>
        <w:autoSpaceDN w:val="0"/>
        <w:adjustRightInd w:val="0"/>
        <w:spacing w:after="0" w:line="240" w:lineRule="auto"/>
        <w:ind w:left="106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rendszerezett oktatás szakmacsoportos ismeretekkel,</w:t>
      </w:r>
    </w:p>
    <w:p w:rsidR="004C2997" w:rsidRDefault="004C2997" w:rsidP="004C2997">
      <w:pPr>
        <w:tabs>
          <w:tab w:val="left" w:pos="1065"/>
        </w:tabs>
        <w:autoSpaceDE w:val="0"/>
        <w:autoSpaceDN w:val="0"/>
        <w:adjustRightInd w:val="0"/>
        <w:spacing w:after="0" w:line="240" w:lineRule="auto"/>
        <w:ind w:left="106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ismeretelemző, -értékelő, önálló gondolkodásra,</w:t>
      </w:r>
    </w:p>
    <w:p w:rsidR="004C2997" w:rsidRDefault="004C2997" w:rsidP="004C2997">
      <w:pPr>
        <w:tabs>
          <w:tab w:val="left" w:pos="1065"/>
        </w:tabs>
        <w:autoSpaceDE w:val="0"/>
        <w:autoSpaceDN w:val="0"/>
        <w:adjustRightInd w:val="0"/>
        <w:spacing w:after="0" w:line="240" w:lineRule="auto"/>
        <w:ind w:left="106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kifejeződik-e teljesítményében lényegkiemelő képessége, kreativitása, igényessége, pedagógiai érzékenysége,</w:t>
      </w:r>
    </w:p>
    <w:p w:rsidR="004C2997" w:rsidRDefault="004C2997" w:rsidP="004C2997">
      <w:pPr>
        <w:tabs>
          <w:tab w:val="left" w:pos="1065"/>
        </w:tabs>
        <w:autoSpaceDE w:val="0"/>
        <w:autoSpaceDN w:val="0"/>
        <w:adjustRightInd w:val="0"/>
        <w:spacing w:after="0" w:line="240" w:lineRule="auto"/>
        <w:ind w:left="106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tudását írásban és szóban választékosan, igényes nyelvi formában kommunikálni,</w:t>
      </w:r>
    </w:p>
    <w:p w:rsidR="004C2997" w:rsidRDefault="004C2997" w:rsidP="004C2997">
      <w:pPr>
        <w:tabs>
          <w:tab w:val="left" w:pos="1065"/>
        </w:tabs>
        <w:autoSpaceDE w:val="0"/>
        <w:autoSpaceDN w:val="0"/>
        <w:adjustRightInd w:val="0"/>
        <w:spacing w:after="0" w:line="240" w:lineRule="auto"/>
        <w:ind w:left="106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önmaga és mások viselkedésének reális értékelésére, tudatos pályaválasztásra,</w:t>
      </w:r>
    </w:p>
    <w:p w:rsidR="004C2997" w:rsidRDefault="004C2997" w:rsidP="004C2997">
      <w:pPr>
        <w:tabs>
          <w:tab w:val="left" w:pos="1065"/>
        </w:tabs>
        <w:autoSpaceDE w:val="0"/>
        <w:autoSpaceDN w:val="0"/>
        <w:adjustRightInd w:val="0"/>
        <w:spacing w:after="0" w:line="240" w:lineRule="auto"/>
        <w:ind w:left="106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sajátjától eltérő értékek, normák, életmódok elfogadásához szükséges ismeretekkel.</w:t>
      </w:r>
    </w:p>
    <w:p w:rsidR="004C2997" w:rsidRDefault="004C2997" w:rsidP="004C2997">
      <w:pPr>
        <w:autoSpaceDE w:val="0"/>
        <w:autoSpaceDN w:val="0"/>
        <w:adjustRightInd w:val="0"/>
        <w:spacing w:after="0" w:line="240" w:lineRule="auto"/>
        <w:jc w:val="both"/>
        <w:rPr>
          <w:rFonts w:ascii="Times New Roman" w:hAnsi="Times New Roman" w:cs="Times New Roman"/>
          <w:sz w:val="16"/>
          <w:szCs w:val="16"/>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emelt szintű vizsga elsősorban a szakirányú felsőoktatásban, az oktatás szakmacsoporthoz tartozó szakképzésben továbbtanulni szándékozó vizsgázó ismereteit és képességeit vizsgálja. A vizsgázóktól a középszintű követelményeket meghaladó bonyolultabb ismeretszerzési eljárásokat, kifejezőképességeket, összetettebb rendszerezési, alkalmazási, összehasonlítási és elemzési szempontokat, magasabb fokú gondolkodási műveleteket, önállóbb ítéletalkotási képességeket vár el, az elmélyültebb pedagógiai, pszichológiai ismereteket kéri számon. A követelményekben az ismeretek mellett azok a képességjellegű követelmények szerepelnek nagyobb súllyal, amelyek pedagógiai helyzetek, döntési szituációk, magatartások értelmezéséhez, elemzéséhez, a pedagógiai szituációban érintett személyek megismeréséhez, viselkedésük, magatartásuk megértéséhez szükségesek.</w:t>
      </w:r>
    </w:p>
    <w:p w:rsidR="004C2997" w:rsidRDefault="004C2997" w:rsidP="004C2997">
      <w:pPr>
        <w:autoSpaceDE w:val="0"/>
        <w:autoSpaceDN w:val="0"/>
        <w:adjustRightInd w:val="0"/>
        <w:spacing w:after="0" w:line="240" w:lineRule="auto"/>
        <w:rPr>
          <w:rFonts w:ascii="Times New Roman" w:hAnsi="Times New Roman" w:cs="Times New Roman"/>
          <w:sz w:val="16"/>
          <w:szCs w:val="16"/>
        </w:rPr>
      </w:pPr>
    </w:p>
    <w:p w:rsidR="004C2997" w:rsidRDefault="004C2997" w:rsidP="004C2997">
      <w:pPr>
        <w:autoSpaceDE w:val="0"/>
        <w:autoSpaceDN w:val="0"/>
        <w:adjustRightInd w:val="0"/>
        <w:spacing w:after="0" w:line="240" w:lineRule="auto"/>
        <w:ind w:right="72"/>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rPr>
          <w:rFonts w:ascii="Times New Roman" w:hAnsi="Times New Roman" w:cs="Times New Roman"/>
          <w:sz w:val="16"/>
          <w:szCs w:val="16"/>
        </w:rPr>
      </w:pPr>
    </w:p>
    <w:tbl>
      <w:tblPr>
        <w:tblW w:w="0" w:type="auto"/>
        <w:tblLayout w:type="fixed"/>
        <w:tblCellMar>
          <w:left w:w="70" w:type="dxa"/>
          <w:right w:w="70" w:type="dxa"/>
        </w:tblCellMar>
        <w:tblLook w:val="0000" w:firstRow="0" w:lastRow="0" w:firstColumn="0" w:lastColumn="0" w:noHBand="0" w:noVBand="0"/>
      </w:tblPr>
      <w:tblGrid>
        <w:gridCol w:w="3272"/>
        <w:gridCol w:w="3272"/>
        <w:gridCol w:w="3272"/>
      </w:tblGrid>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Kompetenciák</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72" w:type="dxa"/>
            <w:tcBorders>
              <w:top w:val="nil"/>
              <w:left w:val="nil"/>
              <w:bottom w:val="nil"/>
              <w:right w:val="nil"/>
            </w:tcBorders>
          </w:tcPr>
          <w:p w:rsidR="004C2997" w:rsidRDefault="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Követelmények középszinten</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72" w:type="dxa"/>
            <w:tcBorders>
              <w:top w:val="nil"/>
              <w:left w:val="nil"/>
              <w:bottom w:val="nil"/>
              <w:right w:val="nil"/>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pszichológiai, pedagógiai ismeretek tematikus bemutatása </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lelki jelenségek jellemzőinek megfogalmazása.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egyes életszakaszok jellemzőinek megfogalmazása.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pszichés fejlődés jellemzőinek megfogalmazása.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szocializáció, a társas folyamatok, a nevelési, oktatási folyamat jellemzőinek megfogalmazása.</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viselkedés biológiai alapjai.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gyermek rajz, ábrázolás tevékenységének elemzése.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Konfliktusok önálló elemzése.</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személyiségfejlődést, viselkedést befolyásoló tényezők feltárása / pedagógiai-pszichológiai ismeretek problémacentrikus elemzése</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tanultak okok és következmények szerinti rendezése.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Annak bizonyítása, hogy a viselkedésnek egyszerre több oka és következménye van.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Annak megállapítása, hogy miként függhetnek össze a viselkedés okai, következményei és a megnyilvánuló, megnyilatkozó szándékai.</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Különböző típusú okok és következmények megkülönböztetése, azok eltérő jelentőségének felismerése.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pedagógiai folyamatban, a személyiségfejlődésben szerepet játszó lényeges és kevésbé lényeges szempontok, tényezők megkülönböztetése, mérlegelése.</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Pedagógiai források használata és elemzése</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Pedagógiai forrásokból információk gyűjtése, következtetések megfogalmazása.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Képi források (gyermek fényképek, ábrák) megadott szempont szerinti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Pedagógiai információk gyűjtése és következtetések levonása egyszerű diagramokból, grafikonokból, statisztikai táblázatokból.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kérdések, vélemények megfogalmazása a pedagógiai forrással kapcsolatban megadott szempont alapján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Pedagógiai gyakorlati feladatok logikai feldolgozása.</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Pedagógiai források (írásos) elemzése.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Képi források [gyermekrajzok, fényképek komplex (pedagógiai, pszichológiai) elemzése].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Pedagógiai gyakorlati feladatok logikai feldolgozása.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Érvekkel alátámasztott vélemény kialakítása pedagógiai problémahelyzetről, döntési szituációkról.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Pedagógiai érzékenység a források feldolgozása és elemzése során.</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szaknyelv alkalmazása</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Pedagógiai, pszichológiai fogalmak helyes használata.</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Pedagógiai, pszichológiai fogalmak helyes használata, értelmezése. A fogalmak jelentésváltozatainak ismerete, értelmezése.</w:t>
            </w:r>
          </w:p>
        </w:tc>
      </w:tr>
    </w:tbl>
    <w:p w:rsidR="004C2997" w:rsidRDefault="004C2997" w:rsidP="004C2997">
      <w:pPr>
        <w:autoSpaceDE w:val="0"/>
        <w:autoSpaceDN w:val="0"/>
        <w:adjustRightInd w:val="0"/>
        <w:spacing w:after="0" w:line="240" w:lineRule="auto"/>
        <w:rPr>
          <w:rFonts w:ascii="Times New Roman" w:hAnsi="Times New Roman" w:cs="Times New Roman"/>
          <w:b/>
          <w:bCs/>
          <w:sz w:val="16"/>
          <w:szCs w:val="16"/>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Tematikus megközelítés</w:t>
      </w:r>
    </w:p>
    <w:p w:rsidR="004C2997" w:rsidRDefault="004C2997" w:rsidP="004C2997">
      <w:pPr>
        <w:autoSpaceDE w:val="0"/>
        <w:autoSpaceDN w:val="0"/>
        <w:adjustRightInd w:val="0"/>
        <w:spacing w:after="0" w:line="240" w:lineRule="auto"/>
        <w:rPr>
          <w:rFonts w:ascii="Times New Roman" w:hAnsi="Times New Roman" w:cs="Times New Roman"/>
          <w:b/>
          <w:bCs/>
          <w:sz w:val="16"/>
          <w:szCs w:val="16"/>
        </w:rPr>
      </w:pPr>
    </w:p>
    <w:tbl>
      <w:tblPr>
        <w:tblW w:w="0" w:type="auto"/>
        <w:tblLayout w:type="fixed"/>
        <w:tblCellMar>
          <w:left w:w="70" w:type="dxa"/>
          <w:right w:w="70" w:type="dxa"/>
        </w:tblCellMar>
        <w:tblLook w:val="0000" w:firstRow="0" w:lastRow="0" w:firstColumn="0" w:lastColumn="0" w:noHBand="0" w:noVBand="0"/>
      </w:tblPr>
      <w:tblGrid>
        <w:gridCol w:w="3272"/>
        <w:gridCol w:w="3272"/>
        <w:gridCol w:w="3272"/>
      </w:tblGrid>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Témakörök</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Pszichológiai ismeretek tematikus/problémacentrikus  bemutatása</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Általános lélektan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Személyiséglélektan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Szociálpszichológia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Fejlődéslélektan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Pedagógiai pszichológia</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Pedagógiai ismeretek tematikus/problémacentrikus bemutatása</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Általános pedagógia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pedagógus és a gyermek a nevelés folyamatában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nevelés mint a viselkedés alakítása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szocializáció színterei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nevelés eszközei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oktatás mint a nevelés eszköze</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Pedagógiai feladatok logikai feldolgozása</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gondozási tevékenység pedagógiai, pszichológiai szempontú elemzése.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gyermektevékenység – játék, munka, tanulás - pedagógiai, pszichológiai szempontú elemzése.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Vizsgálati módszerek jellemzőinek szakszerű leírása, pedagógiai hasznosítása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Pedagógiai problémahelyzetek, szituációk megoldásának pedagógiai, </w:t>
            </w:r>
            <w:r>
              <w:rPr>
                <w:rFonts w:ascii="Times New Roman" w:hAnsi="Times New Roman" w:cs="Times New Roman"/>
                <w:sz w:val="20"/>
                <w:szCs w:val="20"/>
              </w:rPr>
              <w:lastRenderedPageBreak/>
              <w:t>pszichológiai szempontú elemzése, véleményezése.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„Mit tenne ha?” döntésszituáció megoldása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Konfliktusmegoldások pedagógiai-pszichológiai szempontú elemzése, véleményezése.</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Konfliktusok pedagógiai, pszichológiai szempontú elemzése és megoldása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rPr>
          <w:rFonts w:ascii="Times New Roman" w:hAnsi="Times New Roman" w:cs="Times New Roman"/>
          <w:sz w:val="2"/>
          <w:szCs w:val="2"/>
        </w:rPr>
      </w:pPr>
    </w:p>
    <w:p w:rsidR="004C2997" w:rsidRDefault="004C2997" w:rsidP="004C2997">
      <w:pPr>
        <w:autoSpaceDE w:val="0"/>
        <w:autoSpaceDN w:val="0"/>
        <w:adjustRightInd w:val="0"/>
        <w:spacing w:after="0" w:line="240" w:lineRule="auto"/>
        <w:ind w:left="4253" w:hanging="4253"/>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left="4253" w:hanging="4253"/>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MŰVELŐDÉSI ÉS KOMMUNIKÁCIÓS ALAPISMERETEK</w:t>
      </w:r>
      <w:r>
        <w:rPr>
          <w:rFonts w:ascii="Times New Roman" w:hAnsi="Times New Roman" w:cs="Times New Roman"/>
          <w:b/>
          <w:bCs/>
          <w:sz w:val="24"/>
          <w:szCs w:val="24"/>
        </w:rPr>
        <w:br/>
        <w:t>ÉRETTSÉGI VIZSGA ÁLTALÁNOS KÖVETELMÉNYEI</w:t>
      </w:r>
    </w:p>
    <w:p w:rsidR="004C2997" w:rsidRDefault="004C2997" w:rsidP="004C2997">
      <w:pPr>
        <w:autoSpaceDE w:val="0"/>
        <w:autoSpaceDN w:val="0"/>
        <w:adjustRightInd w:val="0"/>
        <w:spacing w:after="120" w:line="240" w:lineRule="auto"/>
        <w:ind w:firstLine="204"/>
        <w:jc w:val="both"/>
        <w:rPr>
          <w:rFonts w:ascii="Times New Roman" w:hAnsi="Times New Roman" w:cs="Times New Roman"/>
          <w:b/>
          <w:bCs/>
          <w:sz w:val="20"/>
          <w:szCs w:val="20"/>
        </w:rPr>
      </w:pPr>
    </w:p>
    <w:p w:rsidR="004C2997" w:rsidRDefault="004C2997" w:rsidP="004C2997">
      <w:pPr>
        <w:keepNext/>
        <w:autoSpaceDE w:val="0"/>
        <w:autoSpaceDN w:val="0"/>
        <w:adjustRightInd w:val="0"/>
        <w:spacing w:after="8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ind w:firstLine="431"/>
        <w:jc w:val="both"/>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431"/>
        <w:jc w:val="both"/>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ind w:firstLine="431"/>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431"/>
        <w:jc w:val="both"/>
        <w:rPr>
          <w:rFonts w:ascii="Times New Roman" w:hAnsi="Times New Roman" w:cs="Times New Roman"/>
          <w:sz w:val="20"/>
          <w:szCs w:val="20"/>
        </w:rPr>
      </w:pPr>
    </w:p>
    <w:p w:rsidR="004C2997" w:rsidRDefault="004C2997" w:rsidP="004C2997">
      <w:pPr>
        <w:keepNext/>
        <w:autoSpaceDE w:val="0"/>
        <w:autoSpaceDN w:val="0"/>
        <w:adjustRightInd w:val="0"/>
        <w:spacing w:after="80" w:line="240" w:lineRule="auto"/>
        <w:jc w:val="both"/>
        <w:rPr>
          <w:rFonts w:ascii="Times New Roman" w:hAnsi="Times New Roman" w:cs="Times New Roman"/>
          <w:b/>
          <w:bCs/>
          <w:sz w:val="20"/>
          <w:szCs w:val="20"/>
        </w:rPr>
      </w:pPr>
      <w:r>
        <w:rPr>
          <w:rFonts w:ascii="Times New Roman" w:hAnsi="Times New Roman" w:cs="Times New Roman"/>
          <w:b/>
          <w:bCs/>
          <w:sz w:val="20"/>
          <w:szCs w:val="20"/>
        </w:rPr>
        <w:t>A művelődési és kommunikációs alapismeretek érettségi vizsga célja</w:t>
      </w:r>
    </w:p>
    <w:p w:rsidR="004C2997" w:rsidRDefault="004C2997" w:rsidP="004C2997">
      <w:pPr>
        <w:autoSpaceDE w:val="0"/>
        <w:autoSpaceDN w:val="0"/>
        <w:adjustRightInd w:val="0"/>
        <w:spacing w:after="0" w:line="240" w:lineRule="auto"/>
        <w:ind w:firstLine="431"/>
        <w:jc w:val="both"/>
        <w:rPr>
          <w:rFonts w:ascii="Times New Roman" w:hAnsi="Times New Roman" w:cs="Times New Roman"/>
          <w:sz w:val="20"/>
          <w:szCs w:val="20"/>
        </w:rPr>
      </w:pPr>
      <w:r>
        <w:rPr>
          <w:rFonts w:ascii="Times New Roman" w:hAnsi="Times New Roman" w:cs="Times New Roman"/>
          <w:sz w:val="20"/>
          <w:szCs w:val="20"/>
        </w:rPr>
        <w:t>A művelődési és kommunikációs</w:t>
      </w:r>
      <w:r>
        <w:rPr>
          <w:rFonts w:ascii="Times New Roman" w:hAnsi="Times New Roman" w:cs="Times New Roman"/>
          <w:b/>
          <w:bCs/>
          <w:sz w:val="20"/>
          <w:szCs w:val="20"/>
        </w:rPr>
        <w:t xml:space="preserve"> </w:t>
      </w:r>
      <w:r>
        <w:rPr>
          <w:rFonts w:ascii="Times New Roman" w:hAnsi="Times New Roman" w:cs="Times New Roman"/>
          <w:sz w:val="20"/>
          <w:szCs w:val="20"/>
        </w:rPr>
        <w:t>alapismeretek érettségi vizsga</w:t>
      </w:r>
      <w:r>
        <w:rPr>
          <w:rFonts w:ascii="Times New Roman" w:hAnsi="Times New Roman" w:cs="Times New Roman"/>
          <w:b/>
          <w:bCs/>
          <w:sz w:val="20"/>
          <w:szCs w:val="20"/>
        </w:rPr>
        <w:t xml:space="preserve"> </w:t>
      </w:r>
      <w:r>
        <w:rPr>
          <w:rFonts w:ascii="Times New Roman" w:hAnsi="Times New Roman" w:cs="Times New Roman"/>
          <w:sz w:val="20"/>
          <w:szCs w:val="20"/>
        </w:rPr>
        <w:t>komplex vizsgatárgy</w:t>
      </w:r>
      <w:r>
        <w:rPr>
          <w:rFonts w:ascii="Times New Roman" w:hAnsi="Times New Roman" w:cs="Times New Roman"/>
          <w:b/>
          <w:bCs/>
          <w:sz w:val="20"/>
          <w:szCs w:val="20"/>
        </w:rPr>
        <w:t xml:space="preserve">, </w:t>
      </w:r>
      <w:r>
        <w:rPr>
          <w:rFonts w:ascii="Times New Roman" w:hAnsi="Times New Roman" w:cs="Times New Roman"/>
          <w:sz w:val="20"/>
          <w:szCs w:val="20"/>
        </w:rPr>
        <w:t>amelynek legfontosabb célja, hogy lehetővé tegye a pályaválasztási döntés megalapozottságának, a szakképesítésekhez szükséges szemlélet kialakulásának elbírálását.</w:t>
      </w:r>
    </w:p>
    <w:p w:rsidR="004C2997" w:rsidRDefault="004C2997" w:rsidP="004C2997">
      <w:pPr>
        <w:autoSpaceDE w:val="0"/>
        <w:autoSpaceDN w:val="0"/>
        <w:adjustRightInd w:val="0"/>
        <w:spacing w:after="0" w:line="240" w:lineRule="auto"/>
        <w:ind w:firstLine="431"/>
        <w:jc w:val="both"/>
        <w:rPr>
          <w:rFonts w:ascii="Times New Roman" w:hAnsi="Times New Roman" w:cs="Times New Roman"/>
          <w:sz w:val="20"/>
          <w:szCs w:val="20"/>
        </w:rPr>
      </w:pPr>
      <w:r>
        <w:rPr>
          <w:rFonts w:ascii="Times New Roman" w:hAnsi="Times New Roman" w:cs="Times New Roman"/>
          <w:sz w:val="20"/>
          <w:szCs w:val="20"/>
        </w:rPr>
        <w:t>A vizsgakövetelményekben a vizsga mindkét szintjén meghatározó szerepet töltenek be a pszichológiai, szociológiai, szociálpszichológiai, pedagógiai ismeretek mellett a szövegértés, az írásbeli és szóbeli szövegalkotás képességei és tevékenységei. Hangsúlyosak azok a szövegfeldolgozási, elemzési és értelmezési szempontok, kommunikációs ismeretek, amelyek szükségesek az önálló tájékozódáshoz, az ítélőképességhez, az érzelmi, a szociális, az intellektuális élmények megéléséhez és kifejezéséhez.</w:t>
      </w:r>
    </w:p>
    <w:p w:rsidR="004C2997" w:rsidRDefault="004C2997" w:rsidP="004C2997">
      <w:pPr>
        <w:autoSpaceDE w:val="0"/>
        <w:autoSpaceDN w:val="0"/>
        <w:adjustRightInd w:val="0"/>
        <w:spacing w:after="0" w:line="240" w:lineRule="auto"/>
        <w:ind w:firstLine="431"/>
        <w:jc w:val="both"/>
        <w:rPr>
          <w:rFonts w:ascii="Times New Roman" w:hAnsi="Times New Roman" w:cs="Times New Roman"/>
          <w:sz w:val="20"/>
          <w:szCs w:val="20"/>
        </w:rPr>
      </w:pPr>
      <w:r>
        <w:rPr>
          <w:rFonts w:ascii="Times New Roman" w:hAnsi="Times New Roman" w:cs="Times New Roman"/>
          <w:sz w:val="20"/>
          <w:szCs w:val="20"/>
        </w:rPr>
        <w:t>A vizsgázó beszédében reprezentálja a helyes beszédtechnikát (helyes beszédlégzés, beszédhibáktól mentes hangképzés, a megértést segítő beszéddallam és beszédritmus, helyes hangsúlyozás-tagolás).</w:t>
      </w:r>
    </w:p>
    <w:p w:rsidR="004C2997" w:rsidRDefault="004C2997" w:rsidP="004C2997">
      <w:pPr>
        <w:autoSpaceDE w:val="0"/>
        <w:autoSpaceDN w:val="0"/>
        <w:adjustRightInd w:val="0"/>
        <w:spacing w:before="120" w:after="0" w:line="240" w:lineRule="auto"/>
        <w:ind w:firstLine="431"/>
        <w:jc w:val="both"/>
        <w:rPr>
          <w:rFonts w:ascii="Times New Roman" w:hAnsi="Times New Roman" w:cs="Times New Roman"/>
          <w:sz w:val="20"/>
          <w:szCs w:val="20"/>
        </w:rPr>
      </w:pPr>
      <w:r>
        <w:rPr>
          <w:rFonts w:ascii="Times New Roman" w:hAnsi="Times New Roman" w:cs="Times New Roman"/>
          <w:sz w:val="20"/>
          <w:szCs w:val="20"/>
        </w:rPr>
        <w:t>Az érettségi vizsga célja annak megállapítása, hogy a vizsgázó:</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hogyan képes tudását, gondolatait, véleményét szóban és írásban előadni;</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mennyire ismeretelemző-értékelő gondolkodása, algoritmikus gondolkodása, az önálló ismeretszerzés képessége;</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mennyire ismerte meg, fogadta el a szakmai tevékenységek végzéséhez szükséges magatartási szabályokat, magatartásformákat;</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mennyire tud azonosulni az alapvető erkölcsi értékekkel;</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környezetében történő eligazodásra, a társadalmi beilleszkedésre, a tudatos életvezetésre, van-e reális önismerete;</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milyen szintű együttműködési és problémamegoldó készséggel rendelkezik;</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mennyire ismeri az emberi pszichikum fejlődésének folyamatában meglévő törvényszerűségeket, tulajdonságokat és jellegzetességeket, valamint ezek biológiai és szociális összefüggéseit;</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mennyire ismeri a magyarországi nemzeti, nemzetiségi és etnikai közösségek jellemző hagyományait;</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mennyire ismeri a magyarországi nemzeti, nemzetiségi és etnikai közösségek legfontosabb vallási előírásait és ünnepeit;</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toleránsan, előítélet-mentesen tud-e reagálni mások gondolataira, állításaira, következtetéseire;</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szűkebb és tágabb értelemben vett emberi csoportok, közösségekben zajló folyamatok megértésére, a mások iránti tiszteletre;</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élethelyzetek, döntési szituációk, etikai kérdések, gondolatok, érzelmek, magatartások, szociális beállítódások, elvek, eszmék árnyalt bemutatására, értelmezésére;</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érzékeny-e mások problémáira;</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teljesítményében kifejeződik-e önálló gondolkodása, problémalátása, lényegkiemelő és rendszerező képessége, kreativitása;</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logikusan érvelni, következtetéseit, gondolatait világos nyelvi formában előadni, véleményt alkotni;</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nevelés lehetőségeit és korlátait, a személyiség fejlődését befolyásoló tényezőket;</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csoportosítani a családi és közösségi nevelés sajátosságait;</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magatartászavarok jellemzőit, lehetséges okait;</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elemezni a társas kapcsolatokban előforduló helyzeteket, viszonyokat, felismeri-e a különböző szerepeket;</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lelki egyensúly megtartásának módszereit, a mentálhigiénés módszerek szerepét, az önsegítő és támogató csoportok szervezésének alapelveit;</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információs és kommunikációs technológiák önálló alkalmazására;</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személyi, technikai felkészültséggel informatikai feladatok ellátásához, képes-e kiválasztani a munkájához megfelelő informatikai eszközöket;</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alkalmazói szinten önállóan tudja-e használni a számítógépet és a hálózatot feladatai megoldásához;</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használni a legismertebb felhasználói rendszereket;</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az információs és kommunikációs technológiák társadalmi hatásait;</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az informatikai ismereteit rendszerezni és önállóan alkalmazni;</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tab/>
        <w:t>képes-e a könyvtári informatikai (hagyományos és számítógépes) rendszerek lehetőségeinek felhasználására;</w:t>
      </w:r>
    </w:p>
    <w:p w:rsidR="004C2997" w:rsidRDefault="004C2997" w:rsidP="004C2997">
      <w:pPr>
        <w:tabs>
          <w:tab w:val="left" w:pos="139"/>
          <w:tab w:val="left" w:pos="357"/>
        </w:tabs>
        <w:autoSpaceDE w:val="0"/>
        <w:autoSpaceDN w:val="0"/>
        <w:adjustRightInd w:val="0"/>
        <w:spacing w:after="0" w:line="240" w:lineRule="auto"/>
        <w:ind w:left="715"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szövegszerkesztő szakszerű használatára.</w:t>
      </w:r>
    </w:p>
    <w:p w:rsidR="004C2997" w:rsidRDefault="004C2997" w:rsidP="004C2997">
      <w:pPr>
        <w:autoSpaceDE w:val="0"/>
        <w:autoSpaceDN w:val="0"/>
        <w:adjustRightInd w:val="0"/>
        <w:spacing w:after="0" w:line="240" w:lineRule="auto"/>
        <w:ind w:left="204"/>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431"/>
        <w:jc w:val="both"/>
        <w:rPr>
          <w:rFonts w:ascii="Times New Roman" w:hAnsi="Times New Roman" w:cs="Times New Roman"/>
          <w:sz w:val="20"/>
          <w:szCs w:val="20"/>
        </w:rPr>
      </w:pPr>
      <w:r>
        <w:rPr>
          <w:rFonts w:ascii="Times New Roman" w:hAnsi="Times New Roman" w:cs="Times New Roman"/>
          <w:sz w:val="20"/>
          <w:szCs w:val="20"/>
        </w:rPr>
        <w:t>Az emelt szintű vizsga elsősorban a felsőoktatásban továbbtanulni szándékozó vizsgázó képességeit és ismereteit vizsgálja. Ez a gyakorlatban azt jelenti, hogy a vizsga a jelöltektől a középszintű követelményeket meghaladó bonyolultabb ismeretszerzési eljárásokat, összetettebb rendszerezési, alkalmazási, összehasonlítási és elemzési szempontokat, valamint magasabb fokú gondolkodási, önállóbb ítéletalkotási képességeket vár el, a fogalmi ismeretek, tények, összefüggések tágabb körét kéri számon.</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sectPr w:rsidR="004C2997">
          <w:type w:val="nextColumn"/>
          <w:pgSz w:w="11906" w:h="16838"/>
          <w:pgMar w:top="1701" w:right="1418" w:bottom="1134" w:left="1418" w:header="708" w:footer="708" w:gutter="0"/>
          <w:cols w:space="708"/>
          <w:noEndnote/>
        </w:sectPr>
      </w:pPr>
    </w:p>
    <w:p w:rsidR="004C2997" w:rsidRDefault="004C2997" w:rsidP="004C2997">
      <w:pPr>
        <w:keepNext/>
        <w:autoSpaceDE w:val="0"/>
        <w:autoSpaceDN w:val="0"/>
        <w:adjustRightInd w:val="0"/>
        <w:spacing w:after="8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Tartalmi követelmények</w:t>
      </w:r>
    </w:p>
    <w:tbl>
      <w:tblPr>
        <w:tblW w:w="0" w:type="auto"/>
        <w:tblInd w:w="5" w:type="dxa"/>
        <w:tblLayout w:type="fixed"/>
        <w:tblCellMar>
          <w:left w:w="0" w:type="dxa"/>
          <w:right w:w="0" w:type="dxa"/>
        </w:tblCellMar>
        <w:tblLook w:val="0000" w:firstRow="0" w:lastRow="0" w:firstColumn="0" w:lastColumn="0" w:noHBand="0" w:noVBand="0"/>
      </w:tblPr>
      <w:tblGrid>
        <w:gridCol w:w="2155"/>
        <w:gridCol w:w="6209"/>
        <w:gridCol w:w="5643"/>
      </w:tblGrid>
      <w:tr w:rsidR="004C2997">
        <w:tblPrEx>
          <w:tblCellMar>
            <w:top w:w="0" w:type="dxa"/>
            <w:left w:w="0" w:type="dxa"/>
            <w:bottom w:w="0" w:type="dxa"/>
            <w:right w:w="0" w:type="dxa"/>
          </w:tblCellMar>
        </w:tblPrEx>
        <w:tc>
          <w:tcPr>
            <w:tcW w:w="2155" w:type="dxa"/>
            <w:tcBorders>
              <w:top w:val="single" w:sz="4" w:space="0" w:color="auto"/>
              <w:left w:val="single" w:sz="4" w:space="0" w:color="auto"/>
              <w:bottom w:val="single" w:sz="4" w:space="0" w:color="auto"/>
              <w:right w:val="single" w:sz="4" w:space="0" w:color="auto"/>
            </w:tcBorders>
            <w:shd w:val="pct25" w:color="000000" w:fill="auto"/>
          </w:tcPr>
          <w:p w:rsidR="004C2997" w:rsidRDefault="004C2997">
            <w:pPr>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6209" w:type="dxa"/>
            <w:tcBorders>
              <w:top w:val="single" w:sz="4" w:space="0" w:color="auto"/>
              <w:left w:val="single" w:sz="4" w:space="0" w:color="auto"/>
              <w:bottom w:val="single" w:sz="4" w:space="0" w:color="auto"/>
              <w:right w:val="single" w:sz="4" w:space="0" w:color="auto"/>
            </w:tcBorders>
            <w:shd w:val="pct25"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5643" w:type="dxa"/>
            <w:tcBorders>
              <w:top w:val="single" w:sz="4" w:space="0" w:color="auto"/>
              <w:left w:val="single" w:sz="4" w:space="0" w:color="auto"/>
              <w:bottom w:val="single" w:sz="4" w:space="0" w:color="auto"/>
              <w:right w:val="single" w:sz="4" w:space="0" w:color="auto"/>
            </w:tcBorders>
            <w:shd w:val="pct25"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left w:w="0" w:type="dxa"/>
            <w:bottom w:w="0" w:type="dxa"/>
            <w:right w:w="0" w:type="dxa"/>
          </w:tblCellMar>
        </w:tblPrEx>
        <w:trPr>
          <w:cantSplit/>
        </w:trPr>
        <w:tc>
          <w:tcPr>
            <w:tcW w:w="14007" w:type="dxa"/>
            <w:gridSpan w:val="3"/>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 Szakmai informatika</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Alapfogalmak</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számítógépek fejlődését, tudja definiálni a hardver és a szoftver fogalmát.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kiválasztani adott feladat elvégzésére alkalmas hardver és szoftverkonfigurációt.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 számítógép főbb részeinek összekapcsolására és üzembe helyezésére.</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Hálózatok</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hálózatokkal kapcsolatos fogalmakat, a hálózatok működésének alapelveit, felhasználási területeit, a hálózati szolgáltatásokat.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információs társadalom</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információs és kommunikációs technológiák alkalmazásait és hatásait a mindennapi életben, munkában, szórakozásban stb.</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keresni számítógépes katalógusokban és adatbázisokban, ismerje a jelentős, közhasznú magyar információs adatbázisokat.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Adatbiztonság, szerzői jogok, törvények</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adatbiztonság, szerzői jog, etikai vonatkozások alapjait.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Szoftverismeret-használat</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operációs rendszer funkcióit, tudjon könyvtárakat (mappákat) létrehozni, másolni, törölni, átnevezni, felhasználói programokat telepíteni.</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Gépírás szövegszerkesztés</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helyes test-, kar- és kéztartással összefüggő szövegek másolására írógépbetűs, nyomtatott, kézírással írott szövegről és diktálás után önálló szövegformázással és kiemelésekkel. Legyen képes 10 perc alatt 750 leütést max. 5 hibaponttal másolni. Tudjon körlevelet, borítékot, címkét készíteni számítógéppel.</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keepLine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Prezentáció és számítógépes grafika</w:t>
            </w:r>
          </w:p>
        </w:tc>
        <w:tc>
          <w:tcPr>
            <w:tcW w:w="6209" w:type="dxa"/>
            <w:tcBorders>
              <w:top w:val="nil"/>
              <w:left w:val="single" w:sz="4" w:space="0" w:color="auto"/>
              <w:bottom w:val="nil"/>
              <w:right w:val="single" w:sz="4" w:space="0" w:color="auto"/>
            </w:tcBorders>
          </w:tcPr>
          <w:p w:rsidR="004C2997" w:rsidRDefault="004C2997">
            <w:pPr>
              <w:keepLine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 hatékony prezentációkészítés szabályait (szöveg, rajz, fotó, hang stb. formázása), tudjon számítógépes grafikai programokat használni. </w:t>
            </w:r>
          </w:p>
        </w:tc>
        <w:tc>
          <w:tcPr>
            <w:tcW w:w="5643" w:type="dxa"/>
            <w:tcBorders>
              <w:top w:val="nil"/>
              <w:left w:val="single" w:sz="4" w:space="0" w:color="auto"/>
              <w:bottom w:val="nil"/>
              <w:right w:val="single" w:sz="4" w:space="0" w:color="auto"/>
            </w:tcBorders>
          </w:tcPr>
          <w:p w:rsidR="004C2997" w:rsidRDefault="004C2997">
            <w:pPr>
              <w:keepLines/>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keepLine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Adatbáziskezelés</w:t>
            </w:r>
          </w:p>
        </w:tc>
        <w:tc>
          <w:tcPr>
            <w:tcW w:w="6209" w:type="dxa"/>
            <w:tcBorders>
              <w:top w:val="nil"/>
              <w:left w:val="single" w:sz="4" w:space="0" w:color="auto"/>
              <w:bottom w:val="nil"/>
              <w:right w:val="single" w:sz="4" w:space="0" w:color="auto"/>
            </w:tcBorders>
          </w:tcPr>
          <w:p w:rsidR="004C2997" w:rsidRDefault="004C2997">
            <w:pPr>
              <w:keepLines/>
              <w:autoSpaceDE w:val="0"/>
              <w:autoSpaceDN w:val="0"/>
              <w:adjustRightInd w:val="0"/>
              <w:spacing w:after="0" w:line="240" w:lineRule="auto"/>
              <w:rPr>
                <w:rFonts w:ascii="Times New Roman" w:hAnsi="Times New Roman" w:cs="Times New Roman"/>
                <w:sz w:val="20"/>
                <w:szCs w:val="20"/>
              </w:rPr>
            </w:pPr>
          </w:p>
        </w:tc>
        <w:tc>
          <w:tcPr>
            <w:tcW w:w="5643" w:type="dxa"/>
            <w:tcBorders>
              <w:top w:val="nil"/>
              <w:left w:val="single" w:sz="4" w:space="0" w:color="auto"/>
              <w:bottom w:val="nil"/>
              <w:right w:val="single" w:sz="4" w:space="0" w:color="auto"/>
            </w:tcBorders>
          </w:tcPr>
          <w:p w:rsidR="004C2997" w:rsidRDefault="004C2997">
            <w:pPr>
              <w:keepLine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adatbáziskezelés alapfogalmait (típusai, adattábla, rekord, mező, kulcs, adattípusok).</w:t>
            </w:r>
          </w:p>
          <w:p w:rsidR="004C2997" w:rsidRDefault="004C2997">
            <w:pPr>
              <w:keepLine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alapvető adatbázis-kezelő műveleteket (lekérdezések, függvények használata, keresés, válogatás, szűrés, rendezés, összesítés, képernyő- és nyomtatási formátumok).</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keepLine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Információs hálózati szolgáltatások</w:t>
            </w:r>
          </w:p>
        </w:tc>
        <w:tc>
          <w:tcPr>
            <w:tcW w:w="6209" w:type="dxa"/>
            <w:tcBorders>
              <w:top w:val="nil"/>
              <w:left w:val="single" w:sz="4" w:space="0" w:color="auto"/>
              <w:bottom w:val="nil"/>
              <w:right w:val="single" w:sz="4" w:space="0" w:color="auto"/>
            </w:tcBorders>
          </w:tcPr>
          <w:p w:rsidR="004C2997" w:rsidRDefault="004C2997">
            <w:pPr>
              <w:keepLine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hatékonyan használni az Internet nyújtotta lehetőségeket (levelezési rendszerek, állományok átvitele, hírcsoportok, www, keresőrendszerek, távoli adatbázisok használata).</w:t>
            </w:r>
          </w:p>
        </w:tc>
        <w:tc>
          <w:tcPr>
            <w:tcW w:w="5643" w:type="dxa"/>
            <w:tcBorders>
              <w:top w:val="nil"/>
              <w:left w:val="single" w:sz="4" w:space="0" w:color="auto"/>
              <w:bottom w:val="nil"/>
              <w:right w:val="single" w:sz="4" w:space="0" w:color="auto"/>
            </w:tcBorders>
          </w:tcPr>
          <w:p w:rsidR="004C2997" w:rsidRDefault="004C2997">
            <w:pPr>
              <w:keepLines/>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single" w:sz="4" w:space="0" w:color="auto"/>
              <w:right w:val="single" w:sz="4" w:space="0" w:color="auto"/>
            </w:tcBorders>
          </w:tcPr>
          <w:p w:rsidR="004C2997" w:rsidRDefault="004C2997">
            <w:pPr>
              <w:keepLines/>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single" w:sz="4" w:space="0" w:color="auto"/>
              <w:right w:val="single" w:sz="4" w:space="0" w:color="auto"/>
            </w:tcBorders>
          </w:tcPr>
          <w:p w:rsidR="004C2997" w:rsidRDefault="004C2997">
            <w:pPr>
              <w:keepLine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Kezeljen egy korszerű html-szerkesztőt, tudjon home-page-t készíteni.</w:t>
            </w:r>
          </w:p>
          <w:p w:rsidR="004C2997" w:rsidRDefault="004C2997">
            <w:pPr>
              <w:keepLines/>
              <w:autoSpaceDE w:val="0"/>
              <w:autoSpaceDN w:val="0"/>
              <w:adjustRightInd w:val="0"/>
              <w:spacing w:after="0" w:line="240" w:lineRule="auto"/>
              <w:rPr>
                <w:rFonts w:ascii="Times New Roman" w:hAnsi="Times New Roman" w:cs="Times New Roman"/>
                <w:sz w:val="20"/>
                <w:szCs w:val="20"/>
              </w:rPr>
            </w:pPr>
          </w:p>
        </w:tc>
        <w:tc>
          <w:tcPr>
            <w:tcW w:w="5643" w:type="dxa"/>
            <w:tcBorders>
              <w:top w:val="nil"/>
              <w:left w:val="single" w:sz="4" w:space="0" w:color="auto"/>
              <w:bottom w:val="single" w:sz="4" w:space="0" w:color="auto"/>
              <w:right w:val="single" w:sz="4" w:space="0" w:color="auto"/>
            </w:tcBorders>
          </w:tcPr>
          <w:p w:rsidR="004C2997" w:rsidRDefault="004C2997">
            <w:pPr>
              <w:keepLines/>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rPr>
          <w:cantSplit/>
        </w:trPr>
        <w:tc>
          <w:tcPr>
            <w:tcW w:w="14007" w:type="dxa"/>
            <w:gridSpan w:val="3"/>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Pszichológiai, szociálpszichológiai, pedagógiai, művelődési alapismeretek</w:t>
            </w:r>
          </w:p>
        </w:tc>
      </w:tr>
      <w:tr w:rsidR="004C2997">
        <w:tblPrEx>
          <w:tblCellMar>
            <w:top w:w="0" w:type="dxa"/>
            <w:left w:w="0" w:type="dxa"/>
            <w:bottom w:w="0" w:type="dxa"/>
            <w:right w:w="0" w:type="dxa"/>
          </w:tblCellMar>
        </w:tblPrEx>
        <w:tc>
          <w:tcPr>
            <w:tcW w:w="2155"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pszichológia alapfogalmai</w:t>
            </w:r>
          </w:p>
        </w:tc>
        <w:tc>
          <w:tcPr>
            <w:tcW w:w="6209"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alapvető általános és személyiség-lélektani alapfogalmakat, a lelki jelenségeket, megismerési folyamatokat.</w:t>
            </w:r>
          </w:p>
        </w:tc>
        <w:tc>
          <w:tcPr>
            <w:tcW w:w="5643"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megfigyelni és elemezni az egyéni és társas pszichológiai jelenségeket. Jellemezze a legfontosabb megismerő funkciókat (érzékelés, észlelés, figyelem, emlékezés, gondolkodás, képzelet).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klasszikus kondicionálás és az operáns tanulás lényegét.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motiváció és az érzelmek kapcsolatát, az alapvető motívumok rendszerét az akarati cselekvés kialakulásának és lefolyásának jellemzőit.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Személyiség-lélektan</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személyiség kialakulását és fejlődését meghatározó tényezőket.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önismeret fogalmát, kialakulásának folyamatát, az énkép elemeit, az énképvédő mechanizmusokat.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szociális meghatározottságú személyiségjellemzőket, a szociális tanulás folyamatát, a szociális szerepeket.</w:t>
            </w:r>
          </w:p>
        </w:tc>
        <w:tc>
          <w:tcPr>
            <w:tcW w:w="5643"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érett személyiség jegyeit, a személyiség belső stabilitásának feltételeit.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definiálni a személyiség és a pszichikum, a szorongás, a félelem és az agresszivitás fogalmakat.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62" w:right="62"/>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Fejlődéslélektan</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osztályozni az egyes lelki jelenségeket és személyiségdimenziókat, meghatározni az érés és a fejlődés törvényszerűségeit, ismertetni a szenzomotoros és kognitív fejlődés menetét.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62" w:right="62"/>
              <w:rPr>
                <w:rFonts w:ascii="Times New Roman" w:hAnsi="Times New Roman" w:cs="Times New Roman"/>
                <w:sz w:val="20"/>
                <w:szCs w:val="20"/>
              </w:rPr>
            </w:pPr>
            <w:r>
              <w:rPr>
                <w:rFonts w:ascii="Times New Roman" w:hAnsi="Times New Roman" w:cs="Times New Roman"/>
                <w:sz w:val="20"/>
                <w:szCs w:val="20"/>
              </w:rPr>
              <w:t>Ismerje az egyéni és életkori sajátosság fogalmát. Ismerje és jellemezze a tanulás és érés kapcsolatát.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Szociálpszichológia</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szocializáció fogalmát, folyamatát, a különböző szocializációs közegek szerepét, kapcsolatát.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szocializáció legfontosabb területeit, tudja megmagyarázni fejlődést befolyásoló szerepét.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p>
          <w:p w:rsidR="004C2997" w:rsidRDefault="004C2997">
            <w:pPr>
              <w:keepNext/>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p>
          <w:p w:rsidR="004C2997" w:rsidRDefault="004C2997">
            <w:pPr>
              <w:keepNext/>
              <w:autoSpaceDE w:val="0"/>
              <w:autoSpaceDN w:val="0"/>
              <w:adjustRightInd w:val="0"/>
              <w:spacing w:after="0" w:line="240" w:lineRule="auto"/>
              <w:rPr>
                <w:rFonts w:ascii="Times New Roman" w:hAnsi="Times New Roman" w:cs="Times New Roman"/>
                <w:sz w:val="20"/>
                <w:szCs w:val="20"/>
              </w:rPr>
            </w:pP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ind w:left="62" w:right="62"/>
              <w:rPr>
                <w:rFonts w:ascii="Times New Roman" w:hAnsi="Times New Roman" w:cs="Times New Roman"/>
                <w:sz w:val="20"/>
                <w:szCs w:val="20"/>
              </w:rPr>
            </w:pPr>
            <w:r>
              <w:rPr>
                <w:rFonts w:ascii="Times New Roman" w:hAnsi="Times New Roman" w:cs="Times New Roman"/>
                <w:sz w:val="20"/>
                <w:szCs w:val="20"/>
              </w:rPr>
              <w:t>Ismerje a szabadidős tevékenységeket és azok önépítő, károsító lehetőségeit.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interakciók pszichológiája</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és tudja jellemezni a társas kapcsolatokat elősegítő és nehezítő pszichológiai jelenségeket. </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különböző szerepeket, tudja rendszerezni a csoportjellem-zőket és a csoportközi viszonyokat.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társas alakzatok legfontosabb jellegzetességeit, a csoport vizsgálatának módszereit.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szerepfeszültség keletkezésének főbb okait.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attitűdöket, a benyomás kialakítás és a benyomáskeltés jellemzőit, az attribúció — énattribúció, kommunikáció, szociabilitás, társas befolyásolás hatásait.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Jellemezze a társadalmi előítéleteket, valamint a társadalmi devianciákat: bűnözés, alkoholizmus, drogfogyasztás, öngyilkosság.</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Lelki egészség és betegség, a lelki egyensúly megtartása</w:t>
            </w:r>
          </w:p>
        </w:tc>
        <w:tc>
          <w:tcPr>
            <w:tcW w:w="6209"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testi és lelki egészséget, a normalitás és abnormalitás kulturális meghatározottságát. Sorolja fel a devianciák, az antiszociális viselkedés és lelki betegségek fajtáit, ismerje feltételezett hátterüket, a korrekció lehetséges módjait.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konfliktusok típusait, a krízishelyzeteket, a támogató csoportok szervezésének alapelveit.</w:t>
            </w:r>
          </w:p>
        </w:tc>
      </w:tr>
      <w:tr w:rsidR="004C2997">
        <w:tblPrEx>
          <w:tblCellMar>
            <w:top w:w="0" w:type="dxa"/>
            <w:left w:w="0" w:type="dxa"/>
            <w:bottom w:w="0" w:type="dxa"/>
            <w:right w:w="0" w:type="dxa"/>
          </w:tblCellMar>
        </w:tblPrEx>
        <w:tc>
          <w:tcPr>
            <w:tcW w:w="2155"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 mentálhigiénés alapfogalmakat, a stressz hatásait, a tűrőképesség fejlesztési módjait. </w:t>
            </w:r>
          </w:p>
        </w:tc>
        <w:tc>
          <w:tcPr>
            <w:tcW w:w="5643"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single" w:sz="4" w:space="0" w:color="auto"/>
              <w:left w:val="single" w:sz="4" w:space="0" w:color="auto"/>
              <w:bottom w:val="nil"/>
              <w:right w:val="single" w:sz="4" w:space="0" w:color="auto"/>
            </w:tcBorders>
          </w:tcPr>
          <w:p w:rsidR="004C2997" w:rsidRDefault="004C2997">
            <w:pPr>
              <w:keepNext/>
              <w:keepLine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nevelés</w:t>
            </w:r>
          </w:p>
        </w:tc>
        <w:tc>
          <w:tcPr>
            <w:tcW w:w="6209" w:type="dxa"/>
            <w:tcBorders>
              <w:top w:val="single" w:sz="4" w:space="0" w:color="auto"/>
              <w:left w:val="single" w:sz="4" w:space="0" w:color="auto"/>
              <w:bottom w:val="nil"/>
              <w:right w:val="single" w:sz="4" w:space="0" w:color="auto"/>
            </w:tcBorders>
          </w:tcPr>
          <w:p w:rsidR="004C2997" w:rsidRDefault="004C2997">
            <w:pPr>
              <w:keepNext/>
              <w:keepLine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nevelés, önnevelés szerepét a személyiség alakulásában, a nevelés korlátait, ezek okait és megnyilvánulásait.</w:t>
            </w:r>
          </w:p>
        </w:tc>
        <w:tc>
          <w:tcPr>
            <w:tcW w:w="5643" w:type="dxa"/>
            <w:tcBorders>
              <w:top w:val="single" w:sz="4" w:space="0" w:color="auto"/>
              <w:left w:val="single" w:sz="4" w:space="0" w:color="auto"/>
              <w:bottom w:val="nil"/>
              <w:right w:val="single" w:sz="4" w:space="0" w:color="auto"/>
            </w:tcBorders>
          </w:tcPr>
          <w:p w:rsidR="004C2997" w:rsidRDefault="004C2997">
            <w:pPr>
              <w:keepNext/>
              <w:keepLine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az empátia jelentőségét a nevelőmunkában.</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keepNext/>
              <w:keepLines/>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keepNext/>
              <w:keepLine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nevelési folyamat sajátosságait, törvényszerűségeit, a szokások kialakulásának folyamatát.</w:t>
            </w:r>
          </w:p>
        </w:tc>
        <w:tc>
          <w:tcPr>
            <w:tcW w:w="5643" w:type="dxa"/>
            <w:tcBorders>
              <w:top w:val="nil"/>
              <w:left w:val="single" w:sz="4" w:space="0" w:color="auto"/>
              <w:bottom w:val="nil"/>
              <w:right w:val="single" w:sz="4" w:space="0" w:color="auto"/>
            </w:tcBorders>
          </w:tcPr>
          <w:p w:rsidR="004C2997" w:rsidRDefault="004C2997">
            <w:pPr>
              <w:keepNext/>
              <w:keepLine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érték és normaátszármaztatás folyamatát, a szükségletek rendszerét, felépítését.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Jellemezze a nevelés legfontosabb színtereit, a hagyományok szerepét a közösségek formálásában.</w:t>
            </w:r>
          </w:p>
        </w:tc>
        <w:tc>
          <w:tcPr>
            <w:tcW w:w="5643"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tanulást, a munkát és a szabadidős tevékenységeket mint a személyiségformálás eszközeit.</w:t>
            </w:r>
          </w:p>
        </w:tc>
        <w:tc>
          <w:tcPr>
            <w:tcW w:w="5643"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összehasonlítani a személyiség formálódásában a tanulás, a munka és a szabadidős tevékenységek szerepét.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Definiálja a játékot, funkcióit, ismertesse a drámajáték elméletét.</w:t>
            </w:r>
          </w:p>
        </w:tc>
        <w:tc>
          <w:tcPr>
            <w:tcW w:w="5643"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ind w:left="62" w:right="62"/>
              <w:rPr>
                <w:rFonts w:ascii="Times New Roman" w:hAnsi="Times New Roman" w:cs="Times New Roman"/>
                <w:sz w:val="20"/>
                <w:szCs w:val="20"/>
              </w:rPr>
            </w:pPr>
            <w:r>
              <w:rPr>
                <w:rFonts w:ascii="Times New Roman" w:hAnsi="Times New Roman" w:cs="Times New Roman"/>
                <w:sz w:val="20"/>
                <w:szCs w:val="20"/>
              </w:rPr>
              <w:t>Ismertesse és hasonlítsa össze a különböző játékelméleteket.</w:t>
            </w:r>
          </w:p>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Jellemezze a játék és a prevenció összefüggéseit.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Jellemezze a legfontosabb magatartászavarokat és azok lehetséges okait.</w:t>
            </w:r>
          </w:p>
        </w:tc>
        <w:tc>
          <w:tcPr>
            <w:tcW w:w="5643"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beszéd és a kommunikáció</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Értékelje a verbális és nem verbális kommunikáció legfontosabb jellegzetességeit.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tömegkommunikáció funkcióit, szerepét és hatásait.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kongruens és inkongruens kommunikáció fogalmát, jellemzőit, a hitelességet.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kóros kommunikációs zavarokat, a nyelvi kommunikáció hiányosságait, a kommunikációs gátakat és a kommunikációs zavarok leküzdésének módjait.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rPr>
          <w:cantSplit/>
        </w:trPr>
        <w:tc>
          <w:tcPr>
            <w:tcW w:w="14007" w:type="dxa"/>
            <w:gridSpan w:val="3"/>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 Társadalomismeret, néprajz, népművészet, népi kismesterségek</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Közösségek</w:t>
            </w:r>
          </w:p>
        </w:tc>
        <w:tc>
          <w:tcPr>
            <w:tcW w:w="6209"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Definiálja a helyi társadalom fogalmát, ismerje szerkezetére ható tényezőket, a hagyományformálódás folyamatát.</w:t>
            </w:r>
          </w:p>
        </w:tc>
        <w:tc>
          <w:tcPr>
            <w:tcW w:w="5643"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helyes életvitel normáit, a normákat befolyásoló tényezőket. Elemezze a közösségi élet erkölcsi és jogi dilemmáit.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Társadalmi szabályok</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társadalmi együttélés alapvető szabályait, eredetüket és rendeltetésüket, változásaikat meghatározó tényezőket. Ismerje a társadalmi szokások, normák hagyományozódását, a hagyományláncok, hagyománytípusok jelentőségét.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Elemezze a családi és közösségi élet erkölcsi és jogi dilemmáit.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Elemezze a szokás, a hagyomány, az illem, az erkölcs és a jog közötti viszonyt.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Elemezze a törvények és törvényhozók szerepét.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jellemző társadalmi csoportokat a mai Magyarországon.</w:t>
            </w:r>
          </w:p>
        </w:tc>
        <w:tc>
          <w:tcPr>
            <w:tcW w:w="5643"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társadalmi mobilitás folyamatát és az arra ható tényezőket.</w:t>
            </w:r>
          </w:p>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társadalmi esélyegyenlőtlenség okait és tényezőit.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Néprajz, népművészet, népi kismesterségek</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megkülönböztetni az írott és íratlan, valamint a szájhagyomány útján terjedő műveltséget, jellemezni a néprajztudomány ágait.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néprajzi anyagok készítési, rendszerezési és elemzési szempontjait.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táji-történelmi hagyományok szerepét, a magyarországi nemzeti, nemzetiségi és etnikai kisebbségek életmódjára jellemző hagyományokat, hiedelem- és hitvilágukat, ünnepeiket, vallási szokásaikat.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left w:w="0" w:type="dxa"/>
            <w:bottom w:w="0" w:type="dxa"/>
            <w:right w:w="0" w:type="dxa"/>
          </w:tblCellMar>
        </w:tblPrEx>
        <w:tc>
          <w:tcPr>
            <w:tcW w:w="2155"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6209"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fel az egyes népcsoportokra, nemzetiségekre jellemző tárgyi kultúrát, népművészeti jellemzőket.</w:t>
            </w:r>
          </w:p>
        </w:tc>
        <w:tc>
          <w:tcPr>
            <w:tcW w:w="5643"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kézműves anyagok tulajdonságait.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tárgyakat elemezni.</w:t>
            </w:r>
          </w:p>
        </w:tc>
      </w:tr>
    </w:tbl>
    <w:p w:rsidR="004C2997" w:rsidRDefault="004C2997" w:rsidP="004C2997">
      <w:pPr>
        <w:autoSpaceDE w:val="0"/>
        <w:autoSpaceDN w:val="0"/>
        <w:adjustRightInd w:val="0"/>
        <w:spacing w:after="0" w:line="240" w:lineRule="auto"/>
        <w:jc w:val="both"/>
        <w:rPr>
          <w:rFonts w:ascii="Times New Roman" w:hAnsi="Times New Roman" w:cs="Times New Roman"/>
          <w:sz w:val="10"/>
          <w:szCs w:val="1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sectPr w:rsidR="004C2997">
          <w:type w:val="nextColumn"/>
          <w:pgSz w:w="16838" w:h="11906" w:orient="landscape"/>
          <w:pgMar w:top="1418" w:right="1701" w:bottom="1418" w:left="1134" w:header="708" w:footer="708" w:gutter="0"/>
          <w:cols w:space="708"/>
          <w:noEndnote/>
        </w:sect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GÉPÉSZETI ALAPISMERETEK</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center"/>
        <w:rPr>
          <w:rFonts w:ascii="Times New Roman" w:hAnsi="Times New Roman" w:cs="Times New Roman"/>
          <w:b/>
          <w:bCs/>
          <w:i/>
          <w:iCs/>
          <w:color w:val="000000"/>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gépészeti alapismeretek érettségi vizsga célja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ismeretek és készségek döntő része középszinten és emelt szinten egyaránt megjelenik. A középszintű vizsga elsősorban egyszerűbb feladatok megoldását, a szóbeli kifejező készséget, a rendszerezés és az alkalmazás legalapvetőbb formáit várja el. Emelt szinten az igényesebb felépítés, az alkalmazás és integrálás összetettsége, a feladatok nehézségi fokának magasabb szintje a jellemző. A szóbeli tételsor komplexebb mivolta miatt is eltér a középszinttől.</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középszintű gépészeti alapismeretek érettségi vizsga célja annak megállapítása, hogy a vizsgázó</w:t>
      </w:r>
    </w:p>
    <w:p w:rsidR="004C2997" w:rsidRDefault="004C2997" w:rsidP="004C2997">
      <w:pPr>
        <w:autoSpaceDE w:val="0"/>
        <w:autoSpaceDN w:val="0"/>
        <w:adjustRightInd w:val="0"/>
        <w:spacing w:after="0" w:line="240" w:lineRule="auto"/>
        <w:ind w:left="360" w:right="-1"/>
        <w:jc w:val="both"/>
        <w:rPr>
          <w:rFonts w:ascii="Times New Roman" w:hAnsi="Times New Roman" w:cs="Times New Roman"/>
          <w:color w:val="000000"/>
          <w:sz w:val="20"/>
          <w:szCs w:val="20"/>
        </w:rPr>
      </w:pPr>
      <w:r>
        <w:rPr>
          <w:rFonts w:ascii="Times New Roman" w:hAnsi="Times New Roman" w:cs="Times New Roman"/>
          <w:color w:val="000000"/>
          <w:sz w:val="20"/>
          <w:szCs w:val="20"/>
        </w:rPr>
        <w:t>- képes-e helyesen alkalmazni a műszaki ábrázolás szabályait és a géprajzi szabványokat,</w:t>
      </w:r>
    </w:p>
    <w:p w:rsidR="004C2997" w:rsidRDefault="004C2997" w:rsidP="004C2997">
      <w:pPr>
        <w:autoSpaceDE w:val="0"/>
        <w:autoSpaceDN w:val="0"/>
        <w:adjustRightInd w:val="0"/>
        <w:spacing w:after="0" w:line="240" w:lineRule="auto"/>
        <w:ind w:left="360" w:right="-1"/>
        <w:jc w:val="both"/>
        <w:rPr>
          <w:rFonts w:ascii="Times New Roman" w:hAnsi="Times New Roman" w:cs="Times New Roman"/>
          <w:color w:val="000000"/>
          <w:sz w:val="20"/>
          <w:szCs w:val="20"/>
        </w:rPr>
      </w:pPr>
      <w:r>
        <w:rPr>
          <w:rFonts w:ascii="Times New Roman" w:hAnsi="Times New Roman" w:cs="Times New Roman"/>
          <w:color w:val="000000"/>
          <w:sz w:val="20"/>
          <w:szCs w:val="20"/>
        </w:rPr>
        <w:t>- képes-e a statikai és szilárdságtani alapfeladatok megoldásában alkalmazni a tanult törvényeket, eljárásokat, módszereket,</w:t>
      </w:r>
    </w:p>
    <w:p w:rsidR="004C2997" w:rsidRDefault="004C2997" w:rsidP="004C2997">
      <w:pPr>
        <w:autoSpaceDE w:val="0"/>
        <w:autoSpaceDN w:val="0"/>
        <w:adjustRightInd w:val="0"/>
        <w:spacing w:after="0" w:line="240" w:lineRule="auto"/>
        <w:ind w:left="360" w:right="-1"/>
        <w:jc w:val="both"/>
        <w:rPr>
          <w:rFonts w:ascii="Times New Roman" w:hAnsi="Times New Roman" w:cs="Times New Roman"/>
          <w:color w:val="000000"/>
          <w:sz w:val="20"/>
          <w:szCs w:val="20"/>
        </w:rPr>
      </w:pPr>
      <w:r>
        <w:rPr>
          <w:rFonts w:ascii="Times New Roman" w:hAnsi="Times New Roman" w:cs="Times New Roman"/>
          <w:color w:val="000000"/>
          <w:sz w:val="20"/>
          <w:szCs w:val="20"/>
        </w:rPr>
        <w:t>- ismeri-e a környezetünkben leggyakrabban előforduló gépelemek funkcióját, működését, szerkezeti felépítését, alkalmazási területeit,</w:t>
      </w:r>
    </w:p>
    <w:p w:rsidR="004C2997" w:rsidRDefault="004C2997" w:rsidP="004C2997">
      <w:pPr>
        <w:autoSpaceDE w:val="0"/>
        <w:autoSpaceDN w:val="0"/>
        <w:adjustRightInd w:val="0"/>
        <w:spacing w:after="0" w:line="240" w:lineRule="auto"/>
        <w:ind w:left="360" w:right="-1"/>
        <w:jc w:val="both"/>
        <w:rPr>
          <w:rFonts w:ascii="Times New Roman" w:hAnsi="Times New Roman" w:cs="Times New Roman"/>
          <w:color w:val="000000"/>
          <w:sz w:val="20"/>
          <w:szCs w:val="20"/>
        </w:rPr>
      </w:pPr>
      <w:r>
        <w:rPr>
          <w:rFonts w:ascii="Times New Roman" w:hAnsi="Times New Roman" w:cs="Times New Roman"/>
          <w:color w:val="000000"/>
          <w:sz w:val="20"/>
          <w:szCs w:val="20"/>
        </w:rPr>
        <w:t>- ismeri-e a gépelemek mérési, ellenőrzési eljárásait, módszereit,</w:t>
      </w:r>
    </w:p>
    <w:p w:rsidR="004C2997" w:rsidRDefault="004C2997" w:rsidP="004C2997">
      <w:pPr>
        <w:autoSpaceDE w:val="0"/>
        <w:autoSpaceDN w:val="0"/>
        <w:adjustRightInd w:val="0"/>
        <w:spacing w:after="0" w:line="240" w:lineRule="auto"/>
        <w:ind w:left="360" w:right="-1"/>
        <w:jc w:val="both"/>
        <w:rPr>
          <w:rFonts w:ascii="Times New Roman" w:hAnsi="Times New Roman" w:cs="Times New Roman"/>
          <w:color w:val="000000"/>
          <w:sz w:val="20"/>
          <w:szCs w:val="20"/>
        </w:rPr>
      </w:pPr>
      <w:r>
        <w:rPr>
          <w:rFonts w:ascii="Times New Roman" w:hAnsi="Times New Roman" w:cs="Times New Roman"/>
          <w:color w:val="000000"/>
          <w:sz w:val="20"/>
          <w:szCs w:val="20"/>
        </w:rPr>
        <w:t>- képes-e ismertetni a technikai környezetünkben alkalmazott legfontosabb anyagok és a leggyakrabban alkalmazott forgács nélküli megmunkálási eljárások jellemzőit,</w:t>
      </w:r>
    </w:p>
    <w:p w:rsidR="004C2997" w:rsidRDefault="004C2997" w:rsidP="004C2997">
      <w:pPr>
        <w:autoSpaceDE w:val="0"/>
        <w:autoSpaceDN w:val="0"/>
        <w:adjustRightInd w:val="0"/>
        <w:spacing w:after="0" w:line="240" w:lineRule="auto"/>
        <w:ind w:left="360" w:right="-1"/>
        <w:jc w:val="both"/>
        <w:rPr>
          <w:rFonts w:ascii="Times New Roman" w:hAnsi="Times New Roman" w:cs="Times New Roman"/>
          <w:color w:val="000000"/>
          <w:sz w:val="20"/>
          <w:szCs w:val="20"/>
        </w:rPr>
      </w:pPr>
      <w:r>
        <w:rPr>
          <w:rFonts w:ascii="Times New Roman" w:hAnsi="Times New Roman" w:cs="Times New Roman"/>
          <w:color w:val="000000"/>
          <w:sz w:val="20"/>
          <w:szCs w:val="20"/>
        </w:rPr>
        <w:t>- rendelkezik-e jártassággal gépészeti problémák megoldását célzó alapszámítások elvégzésében,</w:t>
      </w:r>
    </w:p>
    <w:p w:rsidR="004C2997" w:rsidRDefault="004C2997" w:rsidP="004C2997">
      <w:pPr>
        <w:autoSpaceDE w:val="0"/>
        <w:autoSpaceDN w:val="0"/>
        <w:adjustRightInd w:val="0"/>
        <w:spacing w:after="0" w:line="240" w:lineRule="auto"/>
        <w:ind w:left="360" w:right="-1"/>
        <w:jc w:val="both"/>
        <w:rPr>
          <w:rFonts w:ascii="Times New Roman" w:hAnsi="Times New Roman" w:cs="Times New Roman"/>
          <w:color w:val="000000"/>
          <w:sz w:val="20"/>
          <w:szCs w:val="20"/>
        </w:rPr>
      </w:pPr>
      <w:r>
        <w:rPr>
          <w:rFonts w:ascii="Times New Roman" w:hAnsi="Times New Roman" w:cs="Times New Roman"/>
          <w:color w:val="000000"/>
          <w:sz w:val="20"/>
          <w:szCs w:val="20"/>
        </w:rPr>
        <w:t>- képes-e konstrukciós és technológiai jellegű rajzokat, folyamatábrákat, szabadkézi vázlatokat, munkadarabrajzokat elkészíteni,</w:t>
      </w:r>
    </w:p>
    <w:p w:rsidR="004C2997" w:rsidRDefault="004C2997" w:rsidP="004C2997">
      <w:pPr>
        <w:autoSpaceDE w:val="0"/>
        <w:autoSpaceDN w:val="0"/>
        <w:adjustRightInd w:val="0"/>
        <w:spacing w:after="0" w:line="240" w:lineRule="auto"/>
        <w:ind w:left="360" w:right="-1"/>
        <w:jc w:val="both"/>
        <w:rPr>
          <w:rFonts w:ascii="Times New Roman" w:hAnsi="Times New Roman" w:cs="Times New Roman"/>
          <w:color w:val="000000"/>
          <w:sz w:val="20"/>
          <w:szCs w:val="20"/>
        </w:rPr>
      </w:pPr>
      <w:r>
        <w:rPr>
          <w:rFonts w:ascii="Times New Roman" w:hAnsi="Times New Roman" w:cs="Times New Roman"/>
          <w:color w:val="000000"/>
          <w:sz w:val="20"/>
          <w:szCs w:val="20"/>
        </w:rPr>
        <w:t>- ismeri-e az alapvető munkavédelmi, természetvédelmi, környezetvédelmi fogalmakat.</w:t>
      </w:r>
    </w:p>
    <w:p w:rsidR="004C2997" w:rsidRDefault="004C2997" w:rsidP="004C2997">
      <w:pPr>
        <w:autoSpaceDE w:val="0"/>
        <w:autoSpaceDN w:val="0"/>
        <w:adjustRightInd w:val="0"/>
        <w:spacing w:before="90" w:after="0" w:line="240" w:lineRule="auto"/>
        <w:ind w:right="-1"/>
        <w:jc w:val="both"/>
        <w:rPr>
          <w:rFonts w:ascii="Times New Roman" w:hAnsi="Times New Roman" w:cs="Times New Roman"/>
          <w:color w:val="000000"/>
          <w:sz w:val="20"/>
          <w:szCs w:val="20"/>
        </w:rPr>
      </w:pPr>
      <w:r>
        <w:rPr>
          <w:rFonts w:ascii="Times New Roman" w:hAnsi="Times New Roman" w:cs="Times New Roman"/>
          <w:color w:val="000000"/>
          <w:sz w:val="20"/>
          <w:szCs w:val="20"/>
        </w:rPr>
        <w:t>Az emelt szintű gépészeti alapismeretek érettségi vizsga célja annak megállapítása, hogy a vizsgázó</w:t>
      </w:r>
      <w:r>
        <w:rPr>
          <w:rFonts w:ascii="Times New Roman" w:hAnsi="Times New Roman" w:cs="Times New Roman"/>
          <w:color w:val="000000"/>
          <w:sz w:val="24"/>
          <w:szCs w:val="24"/>
        </w:rPr>
        <w:t xml:space="preserve"> </w:t>
      </w:r>
      <w:r>
        <w:rPr>
          <w:rFonts w:ascii="Times New Roman" w:hAnsi="Times New Roman" w:cs="Times New Roman"/>
          <w:color w:val="000000"/>
          <w:sz w:val="20"/>
          <w:szCs w:val="20"/>
        </w:rPr>
        <w:t>fentiekben felsoroltakon túlmenően</w:t>
      </w:r>
    </w:p>
    <w:p w:rsidR="004C2997" w:rsidRDefault="004C2997" w:rsidP="004C2997">
      <w:pPr>
        <w:autoSpaceDE w:val="0"/>
        <w:autoSpaceDN w:val="0"/>
        <w:adjustRightInd w:val="0"/>
        <w:spacing w:after="0" w:line="240" w:lineRule="auto"/>
        <w:ind w:left="360" w:right="-1"/>
        <w:jc w:val="both"/>
        <w:rPr>
          <w:rFonts w:ascii="Times New Roman" w:hAnsi="Times New Roman" w:cs="Times New Roman"/>
          <w:color w:val="000000"/>
          <w:sz w:val="20"/>
          <w:szCs w:val="20"/>
        </w:rPr>
      </w:pPr>
      <w:r>
        <w:rPr>
          <w:rFonts w:ascii="Times New Roman" w:hAnsi="Times New Roman" w:cs="Times New Roman"/>
          <w:color w:val="000000"/>
          <w:sz w:val="20"/>
          <w:szCs w:val="20"/>
        </w:rPr>
        <w:t>- tud-e véleményt alkotni anyagismeret és mechanikai tudása alapján szerkezeti elemekről, műszaki megoldásokról, azok környezeti hatásairól,</w:t>
      </w:r>
    </w:p>
    <w:p w:rsidR="004C2997" w:rsidRDefault="004C2997" w:rsidP="004C2997">
      <w:pPr>
        <w:autoSpaceDE w:val="0"/>
        <w:autoSpaceDN w:val="0"/>
        <w:adjustRightInd w:val="0"/>
        <w:spacing w:after="0" w:line="240" w:lineRule="auto"/>
        <w:ind w:left="360" w:right="-1"/>
        <w:jc w:val="both"/>
        <w:rPr>
          <w:rFonts w:ascii="Times New Roman" w:hAnsi="Times New Roman" w:cs="Times New Roman"/>
          <w:color w:val="000000"/>
          <w:sz w:val="20"/>
          <w:szCs w:val="20"/>
        </w:rPr>
      </w:pPr>
      <w:r>
        <w:rPr>
          <w:rFonts w:ascii="Times New Roman" w:hAnsi="Times New Roman" w:cs="Times New Roman"/>
          <w:color w:val="000000"/>
          <w:sz w:val="20"/>
          <w:szCs w:val="20"/>
        </w:rPr>
        <w:t>- tudja-e alkalmazni mechanikai tudását egyszerű gépelemekkel kapcsolatos számítási, méretezési feladatokban, helyesen alkalmazza-e a vonatkozó szabványokat,</w:t>
      </w:r>
    </w:p>
    <w:p w:rsidR="004C2997" w:rsidRDefault="004C2997" w:rsidP="004C2997">
      <w:pPr>
        <w:autoSpaceDE w:val="0"/>
        <w:autoSpaceDN w:val="0"/>
        <w:adjustRightInd w:val="0"/>
        <w:spacing w:after="0" w:line="240" w:lineRule="auto"/>
        <w:ind w:left="360" w:right="-1"/>
        <w:jc w:val="both"/>
        <w:rPr>
          <w:rFonts w:ascii="Times New Roman" w:hAnsi="Times New Roman" w:cs="Times New Roman"/>
          <w:color w:val="000000"/>
          <w:sz w:val="20"/>
          <w:szCs w:val="20"/>
        </w:rPr>
      </w:pPr>
      <w:r>
        <w:rPr>
          <w:rFonts w:ascii="Times New Roman" w:hAnsi="Times New Roman" w:cs="Times New Roman"/>
          <w:color w:val="000000"/>
          <w:sz w:val="20"/>
          <w:szCs w:val="20"/>
        </w:rPr>
        <w:t>- képes-e rajzok, leírások, valóságos tárgyak, modellek alapján megérteni műszaki megoldások, gépek, gépelemek szerkezeti kialakításának okait,</w:t>
      </w:r>
    </w:p>
    <w:p w:rsidR="004C2997" w:rsidRDefault="004C2997" w:rsidP="004C2997">
      <w:pPr>
        <w:autoSpaceDE w:val="0"/>
        <w:autoSpaceDN w:val="0"/>
        <w:adjustRightInd w:val="0"/>
        <w:spacing w:after="0" w:line="240" w:lineRule="auto"/>
        <w:ind w:left="360" w:right="-1"/>
        <w:jc w:val="both"/>
        <w:rPr>
          <w:rFonts w:ascii="Times New Roman" w:hAnsi="Times New Roman" w:cs="Times New Roman"/>
          <w:color w:val="000000"/>
          <w:sz w:val="20"/>
          <w:szCs w:val="20"/>
        </w:rPr>
      </w:pPr>
      <w:r>
        <w:rPr>
          <w:rFonts w:ascii="Times New Roman" w:hAnsi="Times New Roman" w:cs="Times New Roman"/>
          <w:color w:val="000000"/>
          <w:sz w:val="20"/>
          <w:szCs w:val="20"/>
        </w:rPr>
        <w:t>- képes-e a gépelemek mérési, ellenőrzési eljárásait elemezni, értékelni,</w:t>
      </w:r>
    </w:p>
    <w:p w:rsidR="004C2997" w:rsidRDefault="004C2997" w:rsidP="004C2997">
      <w:pPr>
        <w:autoSpaceDE w:val="0"/>
        <w:autoSpaceDN w:val="0"/>
        <w:adjustRightInd w:val="0"/>
        <w:spacing w:after="0" w:line="240" w:lineRule="auto"/>
        <w:ind w:left="360" w:right="-1"/>
        <w:jc w:val="both"/>
        <w:rPr>
          <w:rFonts w:ascii="Times New Roman" w:hAnsi="Times New Roman" w:cs="Times New Roman"/>
          <w:color w:val="000000"/>
          <w:sz w:val="20"/>
          <w:szCs w:val="20"/>
        </w:rPr>
      </w:pPr>
      <w:r>
        <w:rPr>
          <w:rFonts w:ascii="Times New Roman" w:hAnsi="Times New Roman" w:cs="Times New Roman"/>
          <w:color w:val="000000"/>
          <w:sz w:val="20"/>
          <w:szCs w:val="20"/>
        </w:rPr>
        <w:t>- tud-e gépészeti, technológiai szempontok szerint elemezni, számolni, értékelni,</w:t>
      </w:r>
    </w:p>
    <w:p w:rsidR="004C2997" w:rsidRDefault="004C2997" w:rsidP="004C2997">
      <w:pPr>
        <w:autoSpaceDE w:val="0"/>
        <w:autoSpaceDN w:val="0"/>
        <w:adjustRightInd w:val="0"/>
        <w:spacing w:after="0" w:line="240" w:lineRule="auto"/>
        <w:ind w:left="360" w:right="-1"/>
        <w:jc w:val="both"/>
        <w:rPr>
          <w:rFonts w:ascii="Times New Roman" w:hAnsi="Times New Roman" w:cs="Times New Roman"/>
          <w:color w:val="000000"/>
          <w:sz w:val="20"/>
          <w:szCs w:val="20"/>
        </w:rPr>
      </w:pPr>
      <w:r>
        <w:rPr>
          <w:rFonts w:ascii="Times New Roman" w:hAnsi="Times New Roman" w:cs="Times New Roman"/>
          <w:color w:val="000000"/>
          <w:sz w:val="20"/>
          <w:szCs w:val="20"/>
        </w:rPr>
        <w:t>- tud-e katalógusokat, szabványokat használni,</w:t>
      </w:r>
    </w:p>
    <w:p w:rsidR="004C2997" w:rsidRDefault="004C2997" w:rsidP="004C2997">
      <w:pPr>
        <w:autoSpaceDE w:val="0"/>
        <w:autoSpaceDN w:val="0"/>
        <w:adjustRightInd w:val="0"/>
        <w:spacing w:after="180" w:line="240" w:lineRule="auto"/>
        <w:ind w:left="360" w:right="-1"/>
        <w:jc w:val="both"/>
        <w:rPr>
          <w:rFonts w:ascii="Times New Roman" w:hAnsi="Times New Roman" w:cs="Times New Roman"/>
          <w:color w:val="000000"/>
          <w:sz w:val="20"/>
          <w:szCs w:val="20"/>
        </w:rPr>
      </w:pPr>
      <w:r>
        <w:rPr>
          <w:rFonts w:ascii="Times New Roman" w:hAnsi="Times New Roman" w:cs="Times New Roman"/>
          <w:color w:val="000000"/>
          <w:sz w:val="20"/>
          <w:szCs w:val="20"/>
        </w:rPr>
        <w:t>- tud-e megfogalmazni az egészséges és biztonságos munkafeltételek megteremtésére és az egészséges életmódra vonatkozó igényeket, ismérveket.</w:t>
      </w:r>
    </w:p>
    <w:p w:rsidR="004C2997" w:rsidRDefault="004C2997" w:rsidP="004C2997">
      <w:pPr>
        <w:autoSpaceDE w:val="0"/>
        <w:autoSpaceDN w:val="0"/>
        <w:adjustRightInd w:val="0"/>
        <w:spacing w:after="0" w:line="240" w:lineRule="auto"/>
        <w:ind w:right="72"/>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ind w:right="72"/>
        <w:rPr>
          <w:rFonts w:ascii="Times New Roman" w:hAnsi="Times New Roman" w:cs="Times New Roman"/>
          <w:sz w:val="20"/>
          <w:szCs w:val="20"/>
        </w:rPr>
      </w:pPr>
    </w:p>
    <w:tbl>
      <w:tblPr>
        <w:tblW w:w="0" w:type="auto"/>
        <w:tblInd w:w="-38" w:type="dxa"/>
        <w:tblLayout w:type="fixed"/>
        <w:tblCellMar>
          <w:left w:w="70" w:type="dxa"/>
          <w:right w:w="70" w:type="dxa"/>
        </w:tblCellMar>
        <w:tblLook w:val="0000" w:firstRow="0" w:lastRow="0" w:firstColumn="0" w:lastColumn="0" w:noHBand="0" w:noVBand="0"/>
      </w:tblPr>
      <w:tblGrid>
        <w:gridCol w:w="3094"/>
        <w:gridCol w:w="3096"/>
        <w:gridCol w:w="3096"/>
      </w:tblGrid>
      <w:tr w:rsidR="004C2997">
        <w:tblPrEx>
          <w:tblCellMar>
            <w:top w:w="0" w:type="dxa"/>
            <w:bottom w:w="0" w:type="dxa"/>
          </w:tblCellMar>
        </w:tblPrEx>
        <w:trPr>
          <w:trHeight w:val="421"/>
        </w:trPr>
        <w:tc>
          <w:tcPr>
            <w:tcW w:w="3094" w:type="dxa"/>
            <w:tcBorders>
              <w:top w:val="nil"/>
              <w:left w:val="nil"/>
              <w:bottom w:val="nil"/>
              <w:right w:val="nil"/>
            </w:tcBorders>
            <w:vAlign w:val="center"/>
          </w:tcPr>
          <w:p w:rsidR="004C2997" w:rsidRDefault="004C2997">
            <w:pPr>
              <w:autoSpaceDE w:val="0"/>
              <w:autoSpaceDN w:val="0"/>
              <w:adjustRightInd w:val="0"/>
              <w:spacing w:after="180" w:line="240" w:lineRule="auto"/>
              <w:ind w:right="15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Témakörök</w:t>
            </w:r>
          </w:p>
        </w:tc>
        <w:tc>
          <w:tcPr>
            <w:tcW w:w="3096" w:type="dxa"/>
            <w:tcBorders>
              <w:top w:val="nil"/>
              <w:left w:val="nil"/>
              <w:bottom w:val="nil"/>
              <w:right w:val="nil"/>
            </w:tcBorders>
            <w:vAlign w:val="center"/>
          </w:tcPr>
          <w:p w:rsidR="004C2997" w:rsidRDefault="004C2997">
            <w:pPr>
              <w:autoSpaceDE w:val="0"/>
              <w:autoSpaceDN w:val="0"/>
              <w:adjustRightInd w:val="0"/>
              <w:spacing w:after="180" w:line="240" w:lineRule="auto"/>
              <w:ind w:right="15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Követelmények középszinten</w:t>
            </w:r>
          </w:p>
        </w:tc>
        <w:tc>
          <w:tcPr>
            <w:tcW w:w="3096" w:type="dxa"/>
            <w:tcBorders>
              <w:top w:val="nil"/>
              <w:left w:val="nil"/>
              <w:bottom w:val="nil"/>
              <w:right w:val="nil"/>
            </w:tcBorders>
            <w:vAlign w:val="center"/>
          </w:tcPr>
          <w:p w:rsidR="004C2997" w:rsidRDefault="004C2997">
            <w:pPr>
              <w:autoSpaceDE w:val="0"/>
              <w:autoSpaceDN w:val="0"/>
              <w:adjustRightInd w:val="0"/>
              <w:spacing w:after="180" w:line="240" w:lineRule="auto"/>
              <w:ind w:right="15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Követelmények kiegészítése emelt szinten</w:t>
            </w:r>
          </w:p>
        </w:tc>
      </w:tr>
      <w:tr w:rsidR="004C2997">
        <w:tblPrEx>
          <w:tblCellMar>
            <w:top w:w="0" w:type="dxa"/>
            <w:bottom w:w="0" w:type="dxa"/>
          </w:tblCellMar>
        </w:tblPrEx>
        <w:tc>
          <w:tcPr>
            <w:tcW w:w="3094" w:type="dxa"/>
            <w:tcBorders>
              <w:top w:val="nil"/>
              <w:left w:val="nil"/>
              <w:bottom w:val="nil"/>
              <w:right w:val="nil"/>
            </w:tcBorders>
          </w:tcPr>
          <w:p w:rsidR="004C2997" w:rsidRDefault="004C2997">
            <w:pPr>
              <w:autoSpaceDE w:val="0"/>
              <w:autoSpaceDN w:val="0"/>
              <w:adjustRightInd w:val="0"/>
              <w:spacing w:after="180" w:line="240" w:lineRule="auto"/>
              <w:ind w:right="150"/>
              <w:rPr>
                <w:rFonts w:ascii="Times New Roman" w:hAnsi="Times New Roman" w:cs="Times New Roman"/>
                <w:b/>
                <w:bCs/>
                <w:color w:val="000000"/>
                <w:sz w:val="20"/>
                <w:szCs w:val="20"/>
              </w:rPr>
            </w:pPr>
            <w:r>
              <w:rPr>
                <w:rFonts w:ascii="Times New Roman" w:hAnsi="Times New Roman" w:cs="Times New Roman"/>
                <w:b/>
                <w:bCs/>
                <w:color w:val="000000"/>
                <w:sz w:val="20"/>
                <w:szCs w:val="20"/>
              </w:rPr>
              <w:t>1. Műszaki ábrázolás</w:t>
            </w:r>
          </w:p>
        </w:tc>
        <w:tc>
          <w:tcPr>
            <w:tcW w:w="3096" w:type="dxa"/>
            <w:tcBorders>
              <w:top w:val="nil"/>
              <w:left w:val="nil"/>
              <w:bottom w:val="nil"/>
              <w:right w:val="nil"/>
            </w:tcBorders>
          </w:tcPr>
          <w:p w:rsidR="004C2997" w:rsidRDefault="004C2997">
            <w:pPr>
              <w:autoSpaceDE w:val="0"/>
              <w:autoSpaceDN w:val="0"/>
              <w:adjustRightInd w:val="0"/>
              <w:spacing w:after="180" w:line="240" w:lineRule="auto"/>
              <w:ind w:right="150"/>
              <w:rPr>
                <w:rFonts w:ascii="Times New Roman" w:hAnsi="Times New Roman" w:cs="Times New Roman"/>
                <w:b/>
                <w:bCs/>
                <w:color w:val="000000"/>
                <w:sz w:val="20"/>
                <w:szCs w:val="20"/>
              </w:rPr>
            </w:pPr>
          </w:p>
        </w:tc>
        <w:tc>
          <w:tcPr>
            <w:tcW w:w="3096" w:type="dxa"/>
            <w:tcBorders>
              <w:top w:val="nil"/>
              <w:left w:val="nil"/>
              <w:bottom w:val="nil"/>
              <w:right w:val="nil"/>
            </w:tcBorders>
          </w:tcPr>
          <w:p w:rsidR="004C2997" w:rsidRDefault="004C2997">
            <w:pPr>
              <w:autoSpaceDE w:val="0"/>
              <w:autoSpaceDN w:val="0"/>
              <w:adjustRightInd w:val="0"/>
              <w:spacing w:after="180" w:line="240" w:lineRule="auto"/>
              <w:ind w:right="150"/>
              <w:rPr>
                <w:rFonts w:ascii="Times New Roman" w:hAnsi="Times New Roman" w:cs="Times New Roman"/>
                <w:b/>
                <w:bCs/>
                <w:color w:val="000000"/>
                <w:sz w:val="20"/>
                <w:szCs w:val="20"/>
              </w:rPr>
            </w:pPr>
          </w:p>
        </w:tc>
      </w:tr>
      <w:tr w:rsidR="004C2997">
        <w:tblPrEx>
          <w:tblCellMar>
            <w:top w:w="0" w:type="dxa"/>
            <w:bottom w:w="0" w:type="dxa"/>
          </w:tblCellMar>
        </w:tblPrEx>
        <w:tc>
          <w:tcPr>
            <w:tcW w:w="3094"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r>
              <w:rPr>
                <w:rFonts w:ascii="Times New Roman" w:hAnsi="Times New Roman" w:cs="Times New Roman"/>
                <w:color w:val="000000"/>
                <w:sz w:val="20"/>
                <w:szCs w:val="20"/>
              </w:rPr>
              <w:t>Ábrázoló geometriai alapismeretek</w:t>
            </w: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r>
              <w:rPr>
                <w:rFonts w:ascii="Times New Roman" w:hAnsi="Times New Roman" w:cs="Times New Roman"/>
                <w:color w:val="000000"/>
                <w:sz w:val="20"/>
                <w:szCs w:val="20"/>
              </w:rPr>
              <w:t>Géprajzi alapismeretek</w:t>
            </w: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tc>
        <w:tc>
          <w:tcPr>
            <w:tcW w:w="3096" w:type="dxa"/>
            <w:tcBorders>
              <w:top w:val="nil"/>
              <w:left w:val="nil"/>
              <w:bottom w:val="nil"/>
              <w:right w:val="nil"/>
            </w:tcBorders>
            <w:vAlign w:val="center"/>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Rajzvázlatok készítése során alkalmazza helyesen a síkmértani és térmértani alapfogalmakat, az axonometrikus, a perspektivikus és a vetületi ábrázolás szabályait.</w:t>
            </w: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r>
              <w:rPr>
                <w:rFonts w:ascii="Times New Roman" w:hAnsi="Times New Roman" w:cs="Times New Roman"/>
                <w:color w:val="000000"/>
                <w:sz w:val="20"/>
                <w:szCs w:val="20"/>
              </w:rPr>
              <w:t xml:space="preserve">Mértani test vetületi ábráiról készítsen axonometrikus szabadkézi vázlatot, illetve axonometrikus ábráról vázolja fel a vetületeket. </w:t>
            </w:r>
            <w:r>
              <w:rPr>
                <w:rFonts w:ascii="Times New Roman" w:hAnsi="Times New Roman" w:cs="Times New Roman"/>
                <w:color w:val="000000"/>
                <w:sz w:val="20"/>
                <w:szCs w:val="20"/>
              </w:rPr>
              <w:br/>
              <w:t xml:space="preserve">Ismertesse vázlatokkal a síkmetszések alapeseteit. </w:t>
            </w:r>
            <w:r>
              <w:rPr>
                <w:rFonts w:ascii="Times New Roman" w:hAnsi="Times New Roman" w:cs="Times New Roman"/>
                <w:color w:val="000000"/>
                <w:sz w:val="20"/>
                <w:szCs w:val="20"/>
              </w:rPr>
              <w:br/>
              <w:t xml:space="preserve">Mutassa be az egyszerűbb áthatásokat. </w:t>
            </w:r>
            <w:r>
              <w:rPr>
                <w:rFonts w:ascii="Times New Roman" w:hAnsi="Times New Roman" w:cs="Times New Roman"/>
                <w:color w:val="000000"/>
                <w:sz w:val="20"/>
                <w:szCs w:val="20"/>
              </w:rPr>
              <w:br/>
            </w:r>
            <w:r>
              <w:rPr>
                <w:rFonts w:ascii="Times New Roman" w:hAnsi="Times New Roman" w:cs="Times New Roman"/>
                <w:color w:val="000000"/>
                <w:sz w:val="20"/>
                <w:szCs w:val="20"/>
              </w:rPr>
              <w:lastRenderedPageBreak/>
              <w:t>Készítsen szerkesztett ábrákat.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Készítsen gépalkatrész axonometrikus ábrájáról szabadkézi vázlat formájában munkadarabrajzot. </w:t>
            </w:r>
            <w:r>
              <w:rPr>
                <w:rFonts w:ascii="Times New Roman" w:hAnsi="Times New Roman" w:cs="Times New Roman"/>
                <w:color w:val="000000"/>
                <w:sz w:val="20"/>
                <w:szCs w:val="20"/>
              </w:rPr>
              <w:br/>
              <w:t>Alkalmazza az egyszerűsített, a különleges és a jelképes ábrázolási szabályokat.</w:t>
            </w: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r>
              <w:rPr>
                <w:rFonts w:ascii="Times New Roman" w:hAnsi="Times New Roman" w:cs="Times New Roman"/>
                <w:color w:val="000000"/>
                <w:sz w:val="20"/>
                <w:szCs w:val="20"/>
              </w:rPr>
              <w:t xml:space="preserve">Lássa el a rajzot olyan szükséges kiegészítő információkkal, mint a felületi érdesség, tűrések, hőkezelés stb. </w:t>
            </w: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r>
              <w:rPr>
                <w:rFonts w:ascii="Times New Roman" w:hAnsi="Times New Roman" w:cs="Times New Roman"/>
                <w:color w:val="000000"/>
                <w:sz w:val="20"/>
                <w:szCs w:val="20"/>
              </w:rPr>
              <w:t>Készítsen szerkesztett ábrákat.</w:t>
            </w:r>
          </w:p>
        </w:tc>
        <w:tc>
          <w:tcPr>
            <w:tcW w:w="3096"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xml:space="preserve">Összetett test vetületi ábráiról szerkesszen axonometrikus ábrát, axonometrikus ábráról szerkessze meg a vetületeket. </w:t>
            </w:r>
            <w:r>
              <w:rPr>
                <w:rFonts w:ascii="Times New Roman" w:hAnsi="Times New Roman" w:cs="Times New Roman"/>
                <w:color w:val="000000"/>
                <w:sz w:val="20"/>
                <w:szCs w:val="20"/>
              </w:rPr>
              <w:br/>
              <w:t xml:space="preserve">Szerkessze meg síklapú- és forgástestek többsíkos, jellegzetes síkmetszéseit. </w:t>
            </w:r>
            <w:r>
              <w:rPr>
                <w:rFonts w:ascii="Times New Roman" w:hAnsi="Times New Roman" w:cs="Times New Roman"/>
                <w:color w:val="000000"/>
                <w:sz w:val="20"/>
                <w:szCs w:val="20"/>
              </w:rPr>
              <w:br/>
              <w:t>Szerkesszen meg közepes bonyolultságú áthatásokat.</w:t>
            </w: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r>
              <w:rPr>
                <w:rFonts w:ascii="Times New Roman" w:hAnsi="Times New Roman" w:cs="Times New Roman"/>
                <w:color w:val="000000"/>
                <w:sz w:val="20"/>
                <w:szCs w:val="20"/>
              </w:rPr>
              <w:t xml:space="preserve">Készítsen közepes nehézségű munkadarabrajzot kézi szerkesztő eljárással, valamint a CAD szoftver alkalmazásával. </w:t>
            </w:r>
            <w:r>
              <w:rPr>
                <w:rFonts w:ascii="Times New Roman" w:hAnsi="Times New Roman" w:cs="Times New Roman"/>
                <w:color w:val="000000"/>
                <w:sz w:val="20"/>
                <w:szCs w:val="20"/>
              </w:rPr>
              <w:br/>
              <w:t>Határozzon meg a csatlakozó felületeken illesztéseket, használja a tűrés és illesztés szabványait.</w:t>
            </w:r>
          </w:p>
        </w:tc>
      </w:tr>
      <w:tr w:rsidR="004C2997">
        <w:tblPrEx>
          <w:tblCellMar>
            <w:top w:w="0" w:type="dxa"/>
            <w:bottom w:w="0" w:type="dxa"/>
          </w:tblCellMar>
        </w:tblPrEx>
        <w:tc>
          <w:tcPr>
            <w:tcW w:w="3094" w:type="dxa"/>
            <w:tcBorders>
              <w:top w:val="nil"/>
              <w:left w:val="nil"/>
              <w:bottom w:val="nil"/>
              <w:right w:val="nil"/>
            </w:tcBorders>
            <w:vAlign w:val="center"/>
          </w:tcPr>
          <w:p w:rsidR="004C2997" w:rsidRDefault="004C2997">
            <w:pPr>
              <w:autoSpaceDE w:val="0"/>
              <w:autoSpaceDN w:val="0"/>
              <w:adjustRightInd w:val="0"/>
              <w:spacing w:after="180" w:line="240" w:lineRule="auto"/>
              <w:ind w:right="150"/>
              <w:rPr>
                <w:rFonts w:ascii="Times New Roman" w:hAnsi="Times New Roman" w:cs="Times New Roman"/>
                <w:b/>
                <w:bCs/>
                <w:color w:val="000000"/>
                <w:sz w:val="20"/>
                <w:szCs w:val="20"/>
              </w:rPr>
            </w:pPr>
            <w:r>
              <w:rPr>
                <w:rFonts w:ascii="Times New Roman" w:hAnsi="Times New Roman" w:cs="Times New Roman"/>
                <w:b/>
                <w:bCs/>
                <w:color w:val="000000"/>
                <w:sz w:val="20"/>
                <w:szCs w:val="20"/>
              </w:rPr>
              <w:lastRenderedPageBreak/>
              <w:t>2. Mechanika</w:t>
            </w:r>
          </w:p>
        </w:tc>
        <w:tc>
          <w:tcPr>
            <w:tcW w:w="3096" w:type="dxa"/>
            <w:tcBorders>
              <w:top w:val="nil"/>
              <w:left w:val="nil"/>
              <w:bottom w:val="nil"/>
              <w:right w:val="nil"/>
            </w:tcBorders>
            <w:vAlign w:val="center"/>
          </w:tcPr>
          <w:p w:rsidR="004C2997" w:rsidRDefault="004C2997">
            <w:pPr>
              <w:autoSpaceDE w:val="0"/>
              <w:autoSpaceDN w:val="0"/>
              <w:adjustRightInd w:val="0"/>
              <w:spacing w:after="180" w:line="240" w:lineRule="auto"/>
              <w:ind w:right="150"/>
              <w:jc w:val="center"/>
              <w:rPr>
                <w:rFonts w:ascii="Times New Roman" w:hAnsi="Times New Roman" w:cs="Times New Roman"/>
                <w:color w:val="000000"/>
                <w:sz w:val="20"/>
                <w:szCs w:val="20"/>
              </w:rPr>
            </w:pPr>
          </w:p>
        </w:tc>
        <w:tc>
          <w:tcPr>
            <w:tcW w:w="3096" w:type="dxa"/>
            <w:tcBorders>
              <w:top w:val="nil"/>
              <w:left w:val="nil"/>
              <w:bottom w:val="nil"/>
              <w:right w:val="nil"/>
            </w:tcBorders>
            <w:vAlign w:val="center"/>
          </w:tcPr>
          <w:p w:rsidR="004C2997" w:rsidRDefault="004C2997">
            <w:pPr>
              <w:autoSpaceDE w:val="0"/>
              <w:autoSpaceDN w:val="0"/>
              <w:adjustRightInd w:val="0"/>
              <w:spacing w:after="180" w:line="240" w:lineRule="auto"/>
              <w:ind w:right="150"/>
              <w:jc w:val="center"/>
              <w:rPr>
                <w:rFonts w:ascii="Times New Roman" w:hAnsi="Times New Roman" w:cs="Times New Roman"/>
                <w:color w:val="000000"/>
                <w:sz w:val="20"/>
                <w:szCs w:val="20"/>
              </w:rPr>
            </w:pPr>
          </w:p>
        </w:tc>
      </w:tr>
      <w:tr w:rsidR="004C2997">
        <w:tblPrEx>
          <w:tblCellMar>
            <w:top w:w="0" w:type="dxa"/>
            <w:bottom w:w="0" w:type="dxa"/>
          </w:tblCellMar>
        </w:tblPrEx>
        <w:tc>
          <w:tcPr>
            <w:tcW w:w="3094" w:type="dxa"/>
            <w:tcBorders>
              <w:top w:val="nil"/>
              <w:left w:val="nil"/>
              <w:bottom w:val="nil"/>
              <w:right w:val="nil"/>
            </w:tcBorders>
          </w:tcPr>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Merev testek statikája</w:t>
            </w: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Szilárdságtan</w:t>
            </w:r>
          </w:p>
        </w:tc>
        <w:tc>
          <w:tcPr>
            <w:tcW w:w="3096" w:type="dxa"/>
            <w:tcBorders>
              <w:top w:val="nil"/>
              <w:left w:val="nil"/>
              <w:bottom w:val="nil"/>
              <w:right w:val="nil"/>
            </w:tcBorders>
          </w:tcPr>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 xml:space="preserve">Ismertesse a statika alaptételeit, a kényszereket, a nyomatéki tételt. </w:t>
            </w:r>
            <w:r>
              <w:rPr>
                <w:rFonts w:ascii="Times New Roman" w:hAnsi="Times New Roman" w:cs="Times New Roman"/>
                <w:color w:val="000000"/>
                <w:sz w:val="20"/>
                <w:szCs w:val="20"/>
              </w:rPr>
              <w:br/>
              <w:t xml:space="preserve">Mutassa be az erőrendszerek eredőjének és egyensúlyának meghatározási módszereit. </w:t>
            </w:r>
            <w:r>
              <w:rPr>
                <w:rFonts w:ascii="Times New Roman" w:hAnsi="Times New Roman" w:cs="Times New Roman"/>
                <w:color w:val="000000"/>
                <w:sz w:val="20"/>
                <w:szCs w:val="20"/>
              </w:rPr>
              <w:br/>
              <w:t xml:space="preserve">Ismertesse az összetett síkidomok súlypontjának kiszámítási módszerét. </w:t>
            </w:r>
            <w:r>
              <w:rPr>
                <w:rFonts w:ascii="Times New Roman" w:hAnsi="Times New Roman" w:cs="Times New Roman"/>
                <w:color w:val="000000"/>
                <w:sz w:val="20"/>
                <w:szCs w:val="20"/>
              </w:rPr>
              <w:br/>
              <w:t xml:space="preserve">Ismertesse a kéttámaszú és a befogott tartók fogalmát, mutassa be a kötélábra, a nyomatéki ábra és a nyíróerő ábra szerkesztésének módszerét. </w:t>
            </w:r>
            <w:r>
              <w:rPr>
                <w:rFonts w:ascii="Times New Roman" w:hAnsi="Times New Roman" w:cs="Times New Roman"/>
                <w:color w:val="000000"/>
                <w:sz w:val="20"/>
                <w:szCs w:val="20"/>
              </w:rPr>
              <w:br/>
              <w:t>Számítással és szerkesztéssel végezze el a kéttámaszú és a befogott tartók statikai vizsgálatát koncentrált erőkkel történő terhelés esetében.</w:t>
            </w: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 xml:space="preserve">Ismertesse az igénybevételek fajtáit és alakváltoztató hatását. </w:t>
            </w:r>
            <w:r>
              <w:rPr>
                <w:rFonts w:ascii="Times New Roman" w:hAnsi="Times New Roman" w:cs="Times New Roman"/>
                <w:color w:val="000000"/>
                <w:sz w:val="20"/>
                <w:szCs w:val="20"/>
              </w:rPr>
              <w:br/>
              <w:t xml:space="preserve">Mutassa be összefüggések egyszerű igénybevételű alkatrészek méretezési módszereit. </w:t>
            </w:r>
            <w:r>
              <w:rPr>
                <w:rFonts w:ascii="Times New Roman" w:hAnsi="Times New Roman" w:cs="Times New Roman"/>
                <w:color w:val="000000"/>
                <w:sz w:val="20"/>
                <w:szCs w:val="20"/>
              </w:rPr>
              <w:br/>
              <w:t>Méretezzen egyszerű igénybevételekre adott szerkezeti elemet, vagy végezze el annak szilárdsági ellenőrzését.</w:t>
            </w:r>
          </w:p>
        </w:tc>
        <w:tc>
          <w:tcPr>
            <w:tcW w:w="3096" w:type="dxa"/>
            <w:tcBorders>
              <w:top w:val="nil"/>
              <w:left w:val="nil"/>
              <w:bottom w:val="nil"/>
              <w:right w:val="nil"/>
            </w:tcBorders>
          </w:tcPr>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 xml:space="preserve">Határozza meg számítással az erőrendszerek eredőjét és egyensúlyát. </w:t>
            </w:r>
            <w:r>
              <w:rPr>
                <w:rFonts w:ascii="Times New Roman" w:hAnsi="Times New Roman" w:cs="Times New Roman"/>
                <w:color w:val="000000"/>
                <w:sz w:val="20"/>
                <w:szCs w:val="20"/>
              </w:rPr>
              <w:br/>
              <w:t xml:space="preserve">Számítsa ki az összetett síkidomok súlypontját. </w:t>
            </w:r>
            <w:r>
              <w:rPr>
                <w:rFonts w:ascii="Times New Roman" w:hAnsi="Times New Roman" w:cs="Times New Roman"/>
                <w:color w:val="000000"/>
                <w:sz w:val="20"/>
                <w:szCs w:val="20"/>
              </w:rPr>
              <w:br/>
              <w:t>Készítsen szerkesztett rajzokat, és végezzen számításokat összetett terhelésű tartóknál, megosztó és vegyes terhelés esetében.</w:t>
            </w: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 xml:space="preserve">Számítsa ki az egyszerű igénybevételek esetén ébredő feszültségeket és alakváltozásokat. </w:t>
            </w:r>
            <w:r>
              <w:rPr>
                <w:rFonts w:ascii="Times New Roman" w:hAnsi="Times New Roman" w:cs="Times New Roman"/>
                <w:color w:val="000000"/>
                <w:sz w:val="20"/>
                <w:szCs w:val="20"/>
              </w:rPr>
              <w:br/>
              <w:t xml:space="preserve">Méretezzen összetett igénybevétellel terhelt egyszerűbb szerkezeti elemet, vagy végezze el annak szilárdsági ellenőrzését. </w:t>
            </w:r>
            <w:r>
              <w:rPr>
                <w:rFonts w:ascii="Times New Roman" w:hAnsi="Times New Roman" w:cs="Times New Roman"/>
                <w:color w:val="000000"/>
                <w:sz w:val="20"/>
                <w:szCs w:val="20"/>
              </w:rPr>
              <w:br/>
              <w:t>Katalógusból válassza ki a helyes anyagminőséget.</w:t>
            </w:r>
          </w:p>
        </w:tc>
      </w:tr>
      <w:tr w:rsidR="004C2997">
        <w:tblPrEx>
          <w:tblCellMar>
            <w:top w:w="0" w:type="dxa"/>
            <w:bottom w:w="0" w:type="dxa"/>
          </w:tblCellMar>
        </w:tblPrEx>
        <w:trPr>
          <w:trHeight w:val="262"/>
        </w:trPr>
        <w:tc>
          <w:tcPr>
            <w:tcW w:w="3094" w:type="dxa"/>
            <w:tcBorders>
              <w:top w:val="nil"/>
              <w:left w:val="nil"/>
              <w:bottom w:val="nil"/>
              <w:right w:val="nil"/>
            </w:tcBorders>
            <w:vAlign w:val="center"/>
          </w:tcPr>
          <w:p w:rsidR="004C2997" w:rsidRDefault="004C2997">
            <w:pPr>
              <w:autoSpaceDE w:val="0"/>
              <w:autoSpaceDN w:val="0"/>
              <w:adjustRightInd w:val="0"/>
              <w:spacing w:after="180" w:line="240" w:lineRule="auto"/>
              <w:ind w:right="150"/>
              <w:rPr>
                <w:rFonts w:ascii="Times New Roman" w:hAnsi="Times New Roman" w:cs="Times New Roman"/>
                <w:b/>
                <w:bCs/>
                <w:color w:val="000000"/>
                <w:sz w:val="20"/>
                <w:szCs w:val="20"/>
              </w:rPr>
            </w:pPr>
            <w:r>
              <w:rPr>
                <w:rFonts w:ascii="Times New Roman" w:hAnsi="Times New Roman" w:cs="Times New Roman"/>
                <w:b/>
                <w:bCs/>
                <w:color w:val="000000"/>
                <w:sz w:val="20"/>
                <w:szCs w:val="20"/>
              </w:rPr>
              <w:t>3. Gépelemek</w:t>
            </w:r>
          </w:p>
        </w:tc>
        <w:tc>
          <w:tcPr>
            <w:tcW w:w="3096" w:type="dxa"/>
            <w:tcBorders>
              <w:top w:val="nil"/>
              <w:left w:val="nil"/>
              <w:bottom w:val="nil"/>
              <w:right w:val="nil"/>
            </w:tcBorders>
            <w:vAlign w:val="center"/>
          </w:tcPr>
          <w:p w:rsidR="004C2997" w:rsidRDefault="004C2997">
            <w:pPr>
              <w:autoSpaceDE w:val="0"/>
              <w:autoSpaceDN w:val="0"/>
              <w:adjustRightInd w:val="0"/>
              <w:spacing w:after="180" w:line="240" w:lineRule="auto"/>
              <w:ind w:right="150"/>
              <w:rPr>
                <w:rFonts w:ascii="Times New Roman" w:hAnsi="Times New Roman" w:cs="Times New Roman"/>
                <w:b/>
                <w:bCs/>
                <w:color w:val="000000"/>
                <w:sz w:val="20"/>
                <w:szCs w:val="20"/>
              </w:rPr>
            </w:pPr>
          </w:p>
        </w:tc>
        <w:tc>
          <w:tcPr>
            <w:tcW w:w="3096" w:type="dxa"/>
            <w:tcBorders>
              <w:top w:val="nil"/>
              <w:left w:val="nil"/>
              <w:bottom w:val="nil"/>
              <w:right w:val="nil"/>
            </w:tcBorders>
            <w:vAlign w:val="center"/>
          </w:tcPr>
          <w:p w:rsidR="004C2997" w:rsidRDefault="004C2997">
            <w:pPr>
              <w:autoSpaceDE w:val="0"/>
              <w:autoSpaceDN w:val="0"/>
              <w:adjustRightInd w:val="0"/>
              <w:spacing w:after="180" w:line="240" w:lineRule="auto"/>
              <w:ind w:right="150"/>
              <w:rPr>
                <w:rFonts w:ascii="Times New Roman" w:hAnsi="Times New Roman" w:cs="Times New Roman"/>
                <w:b/>
                <w:bCs/>
                <w:color w:val="000000"/>
                <w:sz w:val="20"/>
                <w:szCs w:val="20"/>
              </w:rPr>
            </w:pPr>
          </w:p>
        </w:tc>
      </w:tr>
      <w:tr w:rsidR="004C2997">
        <w:tblPrEx>
          <w:tblCellMar>
            <w:top w:w="0" w:type="dxa"/>
            <w:bottom w:w="0" w:type="dxa"/>
          </w:tblCellMar>
        </w:tblPrEx>
        <w:tc>
          <w:tcPr>
            <w:tcW w:w="3094" w:type="dxa"/>
            <w:tcBorders>
              <w:top w:val="nil"/>
              <w:left w:val="nil"/>
              <w:bottom w:val="nil"/>
              <w:right w:val="nil"/>
            </w:tcBorders>
          </w:tcPr>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 xml:space="preserve">Kötőgépelemek, kötések </w:t>
            </w: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 xml:space="preserve">Rugók és lengéscsillapítók Csövek, csőszerelvények, tartályok </w:t>
            </w:r>
            <w:r>
              <w:rPr>
                <w:rFonts w:ascii="Times New Roman" w:hAnsi="Times New Roman" w:cs="Times New Roman"/>
                <w:color w:val="000000"/>
                <w:sz w:val="20"/>
                <w:szCs w:val="20"/>
              </w:rPr>
              <w:br/>
              <w:t xml:space="preserve">Tengelyek, csapágyazások </w:t>
            </w:r>
            <w:r>
              <w:rPr>
                <w:rFonts w:ascii="Times New Roman" w:hAnsi="Times New Roman" w:cs="Times New Roman"/>
                <w:color w:val="000000"/>
                <w:sz w:val="20"/>
                <w:szCs w:val="20"/>
              </w:rPr>
              <w:br/>
              <w:t xml:space="preserve">Tengelykapcsolók és fékek </w:t>
            </w:r>
            <w:r>
              <w:rPr>
                <w:rFonts w:ascii="Times New Roman" w:hAnsi="Times New Roman" w:cs="Times New Roman"/>
                <w:color w:val="000000"/>
                <w:sz w:val="20"/>
                <w:szCs w:val="20"/>
              </w:rPr>
              <w:br/>
              <w:t>Hajtások, hajtóművek</w:t>
            </w:r>
          </w:p>
        </w:tc>
        <w:tc>
          <w:tcPr>
            <w:tcW w:w="3096" w:type="dxa"/>
            <w:tcBorders>
              <w:top w:val="nil"/>
              <w:left w:val="nil"/>
              <w:bottom w:val="nil"/>
              <w:right w:val="nil"/>
            </w:tcBorders>
            <w:vAlign w:val="center"/>
          </w:tcPr>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 xml:space="preserve">Ismertesse a gépészeti gyakorlatban leggyakrabban előforduló gépelemek funkcióját, működését, szerkezeti felépítését, alkalmazási területeit. </w:t>
            </w:r>
            <w:r>
              <w:rPr>
                <w:rFonts w:ascii="Times New Roman" w:hAnsi="Times New Roman" w:cs="Times New Roman"/>
                <w:color w:val="000000"/>
                <w:sz w:val="20"/>
                <w:szCs w:val="20"/>
              </w:rPr>
              <w:br/>
              <w:t xml:space="preserve">Ábrázolja vázlattal a gépelemeket és szerkezeti megoldásaikat. </w:t>
            </w:r>
            <w:r>
              <w:rPr>
                <w:rFonts w:ascii="Times New Roman" w:hAnsi="Times New Roman" w:cs="Times New Roman"/>
                <w:color w:val="000000"/>
                <w:sz w:val="20"/>
                <w:szCs w:val="20"/>
              </w:rPr>
              <w:br/>
              <w:t xml:space="preserve">Ismertesse a szerkezetre ható terhelések következtében létrejövő igénybevételeket. </w:t>
            </w:r>
            <w:r>
              <w:rPr>
                <w:rFonts w:ascii="Times New Roman" w:hAnsi="Times New Roman" w:cs="Times New Roman"/>
                <w:color w:val="000000"/>
                <w:sz w:val="20"/>
                <w:szCs w:val="20"/>
              </w:rPr>
              <w:br/>
              <w:t xml:space="preserve">Mutassa be az egyszerű igénybevételek alapján a gépelem geometriai méreteinek kiszámítási módjait. </w:t>
            </w:r>
            <w:r>
              <w:rPr>
                <w:rFonts w:ascii="Times New Roman" w:hAnsi="Times New Roman" w:cs="Times New Roman"/>
                <w:color w:val="000000"/>
                <w:sz w:val="20"/>
                <w:szCs w:val="20"/>
              </w:rPr>
              <w:br/>
              <w:t xml:space="preserve">Határozza meg a legfontosabb működési jellemzőket. </w:t>
            </w:r>
            <w:r>
              <w:rPr>
                <w:rFonts w:ascii="Times New Roman" w:hAnsi="Times New Roman" w:cs="Times New Roman"/>
                <w:color w:val="000000"/>
                <w:sz w:val="20"/>
                <w:szCs w:val="20"/>
              </w:rPr>
              <w:br/>
              <w:t xml:space="preserve">Határozza meg az igénybevételek hatására ébredő feszültségek jellegének, valamint az alkalmazni </w:t>
            </w:r>
            <w:r>
              <w:rPr>
                <w:rFonts w:ascii="Times New Roman" w:hAnsi="Times New Roman" w:cs="Times New Roman"/>
                <w:color w:val="000000"/>
                <w:sz w:val="20"/>
                <w:szCs w:val="20"/>
              </w:rPr>
              <w:lastRenderedPageBreak/>
              <w:t xml:space="preserve">kívánt anyagok szilárdsági és keresztmetszeti jellemzőinek ismeretében a gépelem, gépszerkezet geometriai méreteit. </w:t>
            </w:r>
            <w:r>
              <w:rPr>
                <w:rFonts w:ascii="Times New Roman" w:hAnsi="Times New Roman" w:cs="Times New Roman"/>
                <w:color w:val="000000"/>
                <w:sz w:val="20"/>
                <w:szCs w:val="20"/>
              </w:rPr>
              <w:br/>
              <w:t xml:space="preserve">Végezzen egyszerűbb méretellenőrzést. </w:t>
            </w:r>
            <w:r>
              <w:rPr>
                <w:rFonts w:ascii="Times New Roman" w:hAnsi="Times New Roman" w:cs="Times New Roman"/>
                <w:color w:val="000000"/>
                <w:sz w:val="20"/>
                <w:szCs w:val="20"/>
              </w:rPr>
              <w:br/>
              <w:t>Alkalmazza a szabványokat.</w:t>
            </w:r>
          </w:p>
        </w:tc>
        <w:tc>
          <w:tcPr>
            <w:tcW w:w="3096" w:type="dxa"/>
            <w:tcBorders>
              <w:top w:val="nil"/>
              <w:left w:val="nil"/>
              <w:bottom w:val="nil"/>
              <w:right w:val="nil"/>
            </w:tcBorders>
          </w:tcPr>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xml:space="preserve">Sorolja a gépelemeket funkcionális csoportokba és mutassa be az adott csoportra jellemző, legfontosabb gépelemeket. </w:t>
            </w:r>
            <w:r>
              <w:rPr>
                <w:rFonts w:ascii="Times New Roman" w:hAnsi="Times New Roman" w:cs="Times New Roman"/>
                <w:color w:val="000000"/>
                <w:sz w:val="20"/>
                <w:szCs w:val="20"/>
              </w:rPr>
              <w:br/>
              <w:t xml:space="preserve">Válassza ki a célnak leginkább megfelelő szabványos elemeket és szerkezeti megoldásokat. </w:t>
            </w:r>
            <w:r>
              <w:rPr>
                <w:rFonts w:ascii="Times New Roman" w:hAnsi="Times New Roman" w:cs="Times New Roman"/>
                <w:color w:val="000000"/>
                <w:sz w:val="20"/>
                <w:szCs w:val="20"/>
              </w:rPr>
              <w:br/>
              <w:t>Munkája során használja a katalógusokat.</w:t>
            </w:r>
          </w:p>
        </w:tc>
      </w:tr>
      <w:tr w:rsidR="004C2997">
        <w:tblPrEx>
          <w:tblCellMar>
            <w:top w:w="0" w:type="dxa"/>
            <w:bottom w:w="0" w:type="dxa"/>
          </w:tblCellMar>
        </w:tblPrEx>
        <w:tc>
          <w:tcPr>
            <w:tcW w:w="3094" w:type="dxa"/>
            <w:tcBorders>
              <w:top w:val="nil"/>
              <w:left w:val="nil"/>
              <w:bottom w:val="nil"/>
              <w:right w:val="nil"/>
            </w:tcBorders>
            <w:vAlign w:val="center"/>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4. Műszaki mérések</w:t>
            </w:r>
          </w:p>
        </w:tc>
        <w:tc>
          <w:tcPr>
            <w:tcW w:w="3096" w:type="dxa"/>
            <w:tcBorders>
              <w:top w:val="nil"/>
              <w:left w:val="nil"/>
              <w:bottom w:val="nil"/>
              <w:right w:val="nil"/>
            </w:tcBorders>
            <w:vAlign w:val="center"/>
          </w:tcPr>
          <w:p w:rsidR="004C2997" w:rsidRDefault="004C2997">
            <w:pPr>
              <w:autoSpaceDE w:val="0"/>
              <w:autoSpaceDN w:val="0"/>
              <w:adjustRightInd w:val="0"/>
              <w:spacing w:after="180" w:line="240" w:lineRule="auto"/>
              <w:ind w:right="150"/>
              <w:rPr>
                <w:rFonts w:ascii="Times New Roman" w:hAnsi="Times New Roman" w:cs="Times New Roman"/>
                <w:b/>
                <w:bCs/>
                <w:color w:val="000000"/>
                <w:sz w:val="20"/>
                <w:szCs w:val="20"/>
              </w:rPr>
            </w:pPr>
          </w:p>
        </w:tc>
        <w:tc>
          <w:tcPr>
            <w:tcW w:w="3096" w:type="dxa"/>
            <w:tcBorders>
              <w:top w:val="nil"/>
              <w:left w:val="nil"/>
              <w:bottom w:val="nil"/>
              <w:right w:val="nil"/>
            </w:tcBorders>
            <w:vAlign w:val="center"/>
          </w:tcPr>
          <w:p w:rsidR="004C2997" w:rsidRDefault="004C2997">
            <w:pPr>
              <w:autoSpaceDE w:val="0"/>
              <w:autoSpaceDN w:val="0"/>
              <w:adjustRightInd w:val="0"/>
              <w:spacing w:after="180" w:line="240" w:lineRule="auto"/>
              <w:ind w:right="150"/>
              <w:rPr>
                <w:rFonts w:ascii="Times New Roman" w:hAnsi="Times New Roman" w:cs="Times New Roman"/>
                <w:b/>
                <w:bCs/>
                <w:color w:val="000000"/>
                <w:sz w:val="20"/>
                <w:szCs w:val="20"/>
              </w:rPr>
            </w:pPr>
          </w:p>
        </w:tc>
      </w:tr>
      <w:tr w:rsidR="004C2997">
        <w:tblPrEx>
          <w:tblCellMar>
            <w:top w:w="0" w:type="dxa"/>
            <w:bottom w:w="0" w:type="dxa"/>
          </w:tblCellMar>
        </w:tblPrEx>
        <w:tc>
          <w:tcPr>
            <w:tcW w:w="3094"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r>
              <w:rPr>
                <w:rFonts w:ascii="Times New Roman" w:hAnsi="Times New Roman" w:cs="Times New Roman"/>
                <w:color w:val="000000"/>
                <w:sz w:val="20"/>
                <w:szCs w:val="20"/>
              </w:rPr>
              <w:t>Egyszerű méret és felület ellenőrzése</w:t>
            </w: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r>
              <w:rPr>
                <w:rFonts w:ascii="Times New Roman" w:hAnsi="Times New Roman" w:cs="Times New Roman"/>
                <w:color w:val="000000"/>
                <w:sz w:val="20"/>
                <w:szCs w:val="20"/>
              </w:rPr>
              <w:t>Anyagvizsgálati mérések</w:t>
            </w:r>
          </w:p>
        </w:tc>
        <w:tc>
          <w:tcPr>
            <w:tcW w:w="3096"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az egyszerű hosszmérés mérőeszközeit.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hosszmérést.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Vázlatokkal mutassa be a szögmérést.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kúpok mérését.</w:t>
            </w:r>
          </w:p>
          <w:p w:rsidR="004C2997" w:rsidRDefault="004C2997">
            <w:pPr>
              <w:autoSpaceDE w:val="0"/>
              <w:autoSpaceDN w:val="0"/>
              <w:adjustRightInd w:val="0"/>
              <w:spacing w:after="0" w:line="240" w:lineRule="auto"/>
              <w:ind w:right="150" w:firstLine="390"/>
              <w:jc w:val="both"/>
              <w:rPr>
                <w:rFonts w:ascii="Times New Roman" w:hAnsi="Times New Roman" w:cs="Times New Roman"/>
                <w:sz w:val="20"/>
                <w:szCs w:val="20"/>
              </w:rPr>
            </w:pPr>
            <w:r>
              <w:rPr>
                <w:rFonts w:ascii="Times New Roman" w:hAnsi="Times New Roman" w:cs="Times New Roman"/>
                <w:sz w:val="20"/>
                <w:szCs w:val="20"/>
              </w:rPr>
              <w:t>Ismertesse a műhelymikroszkóp, furatmérő- és felületi érdesség mérőeszközeit.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Végezzen el alakellenőrzést.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furatok mérését.</w:t>
            </w: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r>
              <w:rPr>
                <w:rFonts w:ascii="Times New Roman" w:hAnsi="Times New Roman" w:cs="Times New Roman"/>
                <w:color w:val="000000"/>
                <w:sz w:val="20"/>
                <w:szCs w:val="20"/>
              </w:rPr>
              <w:t>Ismertesse a sorozatmérést.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és mutassa be az anyagvizsgálati mérések mérőeszközeit.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Vázlatokkal mutassa be a szakítóvizsgálatot.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keménységvizsgálatokat.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technológiai vizsgálatokat.</w:t>
            </w: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r>
              <w:rPr>
                <w:rFonts w:ascii="Times New Roman" w:hAnsi="Times New Roman" w:cs="Times New Roman"/>
                <w:color w:val="000000"/>
                <w:sz w:val="20"/>
                <w:szCs w:val="20"/>
              </w:rPr>
              <w:t>Vázlaton mutassa be az anyagelemzést.</w:t>
            </w:r>
          </w:p>
        </w:tc>
        <w:tc>
          <w:tcPr>
            <w:tcW w:w="3096"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méréssel meghatározható jellemzőket hosszmérés, szögmérés, kúpmérés, sorozatmérés esetén.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mérés eredményét</w:t>
            </w: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r>
              <w:rPr>
                <w:rFonts w:ascii="Times New Roman" w:hAnsi="Times New Roman" w:cs="Times New Roman"/>
                <w:color w:val="000000"/>
                <w:sz w:val="20"/>
                <w:szCs w:val="20"/>
              </w:rPr>
              <w:t>Értelmezze a felületi érdesség és az alakellenőrzés műszaki követelményeit.</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Sorolja fel a szakítóvizsgálattal meghatározható jellemző mért értékek eredményének értékelését.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keménységvizsgálatok mérési eredményeit.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Értékelje a technológiai vizsgálatok mérési eredményét és az alakíthatóság kapcsolatát.</w:t>
            </w: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r>
              <w:rPr>
                <w:rFonts w:ascii="Times New Roman" w:hAnsi="Times New Roman" w:cs="Times New Roman"/>
                <w:color w:val="000000"/>
                <w:sz w:val="20"/>
                <w:szCs w:val="20"/>
              </w:rPr>
              <w:t>Vázlaton mutassa be az anyagelemzést.</w:t>
            </w:r>
          </w:p>
          <w:p w:rsidR="004C2997" w:rsidRDefault="004C2997">
            <w:pPr>
              <w:autoSpaceDE w:val="0"/>
              <w:autoSpaceDN w:val="0"/>
              <w:adjustRightInd w:val="0"/>
              <w:spacing w:after="0" w:line="240" w:lineRule="auto"/>
              <w:ind w:right="150"/>
              <w:rPr>
                <w:rFonts w:ascii="Times New Roman" w:hAnsi="Times New Roman" w:cs="Times New Roman"/>
                <w:color w:val="000000"/>
                <w:sz w:val="20"/>
                <w:szCs w:val="20"/>
              </w:rPr>
            </w:pPr>
            <w:r>
              <w:rPr>
                <w:rFonts w:ascii="Times New Roman" w:hAnsi="Times New Roman" w:cs="Times New Roman"/>
                <w:color w:val="000000"/>
                <w:sz w:val="20"/>
                <w:szCs w:val="20"/>
              </w:rPr>
              <w:t>Sorolja fel az anyagelemzésből következő jellemzőket.</w:t>
            </w:r>
          </w:p>
        </w:tc>
      </w:tr>
      <w:tr w:rsidR="004C2997">
        <w:tblPrEx>
          <w:tblCellMar>
            <w:top w:w="0" w:type="dxa"/>
            <w:bottom w:w="0" w:type="dxa"/>
          </w:tblCellMar>
        </w:tblPrEx>
        <w:tc>
          <w:tcPr>
            <w:tcW w:w="3094" w:type="dxa"/>
            <w:tcBorders>
              <w:top w:val="nil"/>
              <w:left w:val="nil"/>
              <w:bottom w:val="nil"/>
              <w:right w:val="nil"/>
            </w:tcBorders>
            <w:vAlign w:val="center"/>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5. Anyagismeret</w:t>
            </w:r>
          </w:p>
        </w:tc>
        <w:tc>
          <w:tcPr>
            <w:tcW w:w="3096" w:type="dxa"/>
            <w:tcBorders>
              <w:top w:val="nil"/>
              <w:left w:val="nil"/>
              <w:bottom w:val="nil"/>
              <w:right w:val="nil"/>
            </w:tcBorders>
            <w:vAlign w:val="center"/>
          </w:tcPr>
          <w:p w:rsidR="004C2997" w:rsidRDefault="004C2997">
            <w:pPr>
              <w:autoSpaceDE w:val="0"/>
              <w:autoSpaceDN w:val="0"/>
              <w:adjustRightInd w:val="0"/>
              <w:spacing w:after="180" w:line="240" w:lineRule="auto"/>
              <w:ind w:right="150"/>
              <w:rPr>
                <w:rFonts w:ascii="Times New Roman" w:hAnsi="Times New Roman" w:cs="Times New Roman"/>
                <w:b/>
                <w:bCs/>
                <w:color w:val="000000"/>
                <w:sz w:val="20"/>
                <w:szCs w:val="20"/>
              </w:rPr>
            </w:pPr>
          </w:p>
        </w:tc>
        <w:tc>
          <w:tcPr>
            <w:tcW w:w="3096" w:type="dxa"/>
            <w:tcBorders>
              <w:top w:val="nil"/>
              <w:left w:val="nil"/>
              <w:bottom w:val="nil"/>
              <w:right w:val="nil"/>
            </w:tcBorders>
            <w:vAlign w:val="center"/>
          </w:tcPr>
          <w:p w:rsidR="004C2997" w:rsidRDefault="004C2997">
            <w:pPr>
              <w:autoSpaceDE w:val="0"/>
              <w:autoSpaceDN w:val="0"/>
              <w:adjustRightInd w:val="0"/>
              <w:spacing w:after="180" w:line="240" w:lineRule="auto"/>
              <w:ind w:right="150"/>
              <w:rPr>
                <w:rFonts w:ascii="Times New Roman" w:hAnsi="Times New Roman" w:cs="Times New Roman"/>
                <w:b/>
                <w:bCs/>
                <w:color w:val="000000"/>
                <w:sz w:val="20"/>
                <w:szCs w:val="20"/>
              </w:rPr>
            </w:pPr>
          </w:p>
        </w:tc>
      </w:tr>
      <w:tr w:rsidR="004C2997">
        <w:tblPrEx>
          <w:tblCellMar>
            <w:top w:w="0" w:type="dxa"/>
            <w:bottom w:w="0" w:type="dxa"/>
          </w:tblCellMar>
        </w:tblPrEx>
        <w:tc>
          <w:tcPr>
            <w:tcW w:w="3094" w:type="dxa"/>
            <w:tcBorders>
              <w:top w:val="nil"/>
              <w:left w:val="nil"/>
              <w:bottom w:val="nil"/>
              <w:right w:val="nil"/>
            </w:tcBorders>
          </w:tcPr>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Fémtani alapismeretek</w:t>
            </w: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 xml:space="preserve">Fémes és nemfémes szerkezeti anyagok </w:t>
            </w: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tc>
        <w:tc>
          <w:tcPr>
            <w:tcW w:w="3096" w:type="dxa"/>
            <w:tcBorders>
              <w:top w:val="nil"/>
              <w:left w:val="nil"/>
              <w:bottom w:val="nil"/>
              <w:right w:val="nil"/>
            </w:tcBorders>
            <w:vAlign w:val="center"/>
          </w:tcPr>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 xml:space="preserve">Ismertesse a legfontosabb kristálytani alapfogalmakat, a színfém és az ötvözet fogalmát. </w:t>
            </w:r>
            <w:r>
              <w:rPr>
                <w:rFonts w:ascii="Times New Roman" w:hAnsi="Times New Roman" w:cs="Times New Roman"/>
                <w:color w:val="000000"/>
                <w:sz w:val="20"/>
                <w:szCs w:val="20"/>
              </w:rPr>
              <w:br/>
              <w:t xml:space="preserve">Rajzolja le a gépészetben fontos kétalkotós alap állapotábrákat és mutassa be egy esetben, egy adott koncentrációjú ötvözet lehűlési folyamatát. </w:t>
            </w:r>
            <w:r>
              <w:rPr>
                <w:rFonts w:ascii="Times New Roman" w:hAnsi="Times New Roman" w:cs="Times New Roman"/>
                <w:color w:val="000000"/>
                <w:sz w:val="20"/>
                <w:szCs w:val="20"/>
              </w:rPr>
              <w:br/>
              <w:t xml:space="preserve">Kiadott állapotábra segítségével ismertesse a vas-karbon ötvözetrendszer metastabilis lehűlési meneteit jellegzetes acélkoncentrációkban. </w:t>
            </w:r>
            <w:r>
              <w:rPr>
                <w:rFonts w:ascii="Times New Roman" w:hAnsi="Times New Roman" w:cs="Times New Roman"/>
                <w:color w:val="000000"/>
                <w:sz w:val="20"/>
                <w:szCs w:val="20"/>
              </w:rPr>
              <w:br/>
              <w:t>Mutassa be az acél gyors hűtésekor bekövetkező változásokat, ismertesse a C görbét.</w:t>
            </w: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 xml:space="preserve">Ismertesse a gépipar területén a termelésben leggyakrabban alkalmazott fémes és nemfémes szerkezeti anyagok, előgyártmányok, nyersanyagok, alapanyagok, segédanyagok tulajdonságait és felhasználási területeit. </w:t>
            </w:r>
            <w:r>
              <w:rPr>
                <w:rFonts w:ascii="Times New Roman" w:hAnsi="Times New Roman" w:cs="Times New Roman"/>
                <w:color w:val="000000"/>
                <w:sz w:val="20"/>
                <w:szCs w:val="20"/>
              </w:rPr>
              <w:br/>
              <w:t>Csoportosítsa a műanyag késztermékek fontosabb előállítási eljárásait.</w:t>
            </w:r>
          </w:p>
        </w:tc>
        <w:tc>
          <w:tcPr>
            <w:tcW w:w="3096" w:type="dxa"/>
            <w:tcBorders>
              <w:top w:val="nil"/>
              <w:left w:val="nil"/>
              <w:bottom w:val="nil"/>
              <w:right w:val="nil"/>
            </w:tcBorders>
            <w:vAlign w:val="center"/>
          </w:tcPr>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 xml:space="preserve">Rajzolja le a vas-karbon ikerdiagramot, értelmezze az átalakulásokat és ismertesse a jellegzetes szövetszerkezeteket. </w:t>
            </w:r>
            <w:r>
              <w:rPr>
                <w:rFonts w:ascii="Times New Roman" w:hAnsi="Times New Roman" w:cs="Times New Roman"/>
                <w:color w:val="000000"/>
                <w:sz w:val="20"/>
                <w:szCs w:val="20"/>
              </w:rPr>
              <w:br/>
              <w:t xml:space="preserve">Rajzolja meg az adott koncentrációjú ötvözet lehűtési görbéjét. </w:t>
            </w:r>
            <w:r>
              <w:rPr>
                <w:rFonts w:ascii="Times New Roman" w:hAnsi="Times New Roman" w:cs="Times New Roman"/>
                <w:color w:val="000000"/>
                <w:sz w:val="20"/>
                <w:szCs w:val="20"/>
              </w:rPr>
              <w:br/>
              <w:t xml:space="preserve">Ismertesse a diffúziós átalakulás lényegét. </w:t>
            </w:r>
            <w:r>
              <w:rPr>
                <w:rFonts w:ascii="Times New Roman" w:hAnsi="Times New Roman" w:cs="Times New Roman"/>
                <w:color w:val="000000"/>
                <w:sz w:val="20"/>
                <w:szCs w:val="20"/>
              </w:rPr>
              <w:br/>
              <w:t>Ismertesse a gyors- és az izotermikus hűtés során létrejövő állapotváltozásokat és szövetszerkezeteket, ismertesse a C görbét.</w:t>
            </w: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 xml:space="preserve">Mutassa be a használatos acél- és öntöttvas anyagok főbb fizikai, mechanikai és technológiai jellemzőit, az acél- és öntöttvas szabványok rendszerét. </w:t>
            </w:r>
            <w:r>
              <w:rPr>
                <w:rFonts w:ascii="Times New Roman" w:hAnsi="Times New Roman" w:cs="Times New Roman"/>
                <w:color w:val="000000"/>
                <w:sz w:val="20"/>
                <w:szCs w:val="20"/>
              </w:rPr>
              <w:br/>
              <w:t xml:space="preserve">Jellemezze a könnyű- és színesfém ötvözetek tulajdonságait, az alakítható és az önthető ötvözeteket, ismertesse felhasználási területüket. </w:t>
            </w:r>
            <w:r>
              <w:rPr>
                <w:rFonts w:ascii="Times New Roman" w:hAnsi="Times New Roman" w:cs="Times New Roman"/>
                <w:color w:val="000000"/>
                <w:sz w:val="20"/>
                <w:szCs w:val="20"/>
              </w:rPr>
              <w:br/>
              <w:t xml:space="preserve">Ismertesse a fontosabb nemesfémek tulajdonságait és sorolja fel jellemző alkalmazási területeiket. </w:t>
            </w:r>
            <w:r>
              <w:rPr>
                <w:rFonts w:ascii="Times New Roman" w:hAnsi="Times New Roman" w:cs="Times New Roman"/>
                <w:color w:val="000000"/>
                <w:sz w:val="20"/>
                <w:szCs w:val="20"/>
              </w:rPr>
              <w:br/>
            </w:r>
            <w:r>
              <w:rPr>
                <w:rFonts w:ascii="Times New Roman" w:hAnsi="Times New Roman" w:cs="Times New Roman"/>
                <w:color w:val="000000"/>
                <w:sz w:val="20"/>
                <w:szCs w:val="20"/>
              </w:rPr>
              <w:lastRenderedPageBreak/>
              <w:t>Ismertesse a forgács nélküli műanyag megmunkálások berendezéseinek elvi felépítését.</w:t>
            </w:r>
          </w:p>
        </w:tc>
      </w:tr>
      <w:tr w:rsidR="004C2997">
        <w:tblPrEx>
          <w:tblCellMar>
            <w:top w:w="0" w:type="dxa"/>
            <w:bottom w:w="0" w:type="dxa"/>
          </w:tblCellMar>
        </w:tblPrEx>
        <w:tc>
          <w:tcPr>
            <w:tcW w:w="3094" w:type="dxa"/>
            <w:tcBorders>
              <w:top w:val="nil"/>
              <w:left w:val="nil"/>
              <w:bottom w:val="nil"/>
              <w:right w:val="nil"/>
            </w:tcBorders>
            <w:vAlign w:val="center"/>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6. Megmunkálások</w:t>
            </w:r>
          </w:p>
        </w:tc>
        <w:tc>
          <w:tcPr>
            <w:tcW w:w="3096" w:type="dxa"/>
            <w:tcBorders>
              <w:top w:val="nil"/>
              <w:left w:val="nil"/>
              <w:bottom w:val="nil"/>
              <w:right w:val="nil"/>
            </w:tcBorders>
            <w:vAlign w:val="center"/>
          </w:tcPr>
          <w:p w:rsidR="004C2997" w:rsidRDefault="004C2997">
            <w:pPr>
              <w:autoSpaceDE w:val="0"/>
              <w:autoSpaceDN w:val="0"/>
              <w:adjustRightInd w:val="0"/>
              <w:spacing w:after="180" w:line="240" w:lineRule="auto"/>
              <w:ind w:right="150"/>
              <w:rPr>
                <w:rFonts w:ascii="Times New Roman" w:hAnsi="Times New Roman" w:cs="Times New Roman"/>
                <w:b/>
                <w:bCs/>
                <w:color w:val="000000"/>
                <w:sz w:val="20"/>
                <w:szCs w:val="20"/>
              </w:rPr>
            </w:pPr>
          </w:p>
        </w:tc>
        <w:tc>
          <w:tcPr>
            <w:tcW w:w="3096" w:type="dxa"/>
            <w:tcBorders>
              <w:top w:val="nil"/>
              <w:left w:val="nil"/>
              <w:bottom w:val="nil"/>
              <w:right w:val="nil"/>
            </w:tcBorders>
            <w:vAlign w:val="center"/>
          </w:tcPr>
          <w:p w:rsidR="004C2997" w:rsidRDefault="004C2997">
            <w:pPr>
              <w:autoSpaceDE w:val="0"/>
              <w:autoSpaceDN w:val="0"/>
              <w:adjustRightInd w:val="0"/>
              <w:spacing w:after="180" w:line="240" w:lineRule="auto"/>
              <w:ind w:right="150"/>
              <w:rPr>
                <w:rFonts w:ascii="Times New Roman" w:hAnsi="Times New Roman" w:cs="Times New Roman"/>
                <w:b/>
                <w:bCs/>
                <w:color w:val="000000"/>
                <w:sz w:val="20"/>
                <w:szCs w:val="20"/>
              </w:rPr>
            </w:pPr>
          </w:p>
        </w:tc>
      </w:tr>
      <w:tr w:rsidR="004C2997">
        <w:tblPrEx>
          <w:tblCellMar>
            <w:top w:w="0" w:type="dxa"/>
            <w:bottom w:w="0" w:type="dxa"/>
          </w:tblCellMar>
        </w:tblPrEx>
        <w:tc>
          <w:tcPr>
            <w:tcW w:w="3094" w:type="dxa"/>
            <w:tcBorders>
              <w:top w:val="nil"/>
              <w:left w:val="nil"/>
              <w:bottom w:val="nil"/>
              <w:right w:val="nil"/>
            </w:tcBorders>
          </w:tcPr>
          <w:p w:rsidR="004C2997" w:rsidRDefault="004C2997">
            <w:pPr>
              <w:autoSpaceDE w:val="0"/>
              <w:autoSpaceDN w:val="0"/>
              <w:adjustRightInd w:val="0"/>
              <w:spacing w:after="0" w:line="240" w:lineRule="auto"/>
              <w:ind w:right="147"/>
              <w:rPr>
                <w:rFonts w:ascii="Times New Roman" w:hAnsi="Times New Roman" w:cs="Times New Roman"/>
                <w:sz w:val="20"/>
                <w:szCs w:val="20"/>
              </w:rPr>
            </w:pPr>
            <w:r>
              <w:rPr>
                <w:rFonts w:ascii="Times New Roman" w:hAnsi="Times New Roman" w:cs="Times New Roman"/>
                <w:sz w:val="20"/>
                <w:szCs w:val="20"/>
              </w:rPr>
              <w:t>Forgácsoló megmunkálások</w:t>
            </w:r>
          </w:p>
          <w:p w:rsidR="004C2997" w:rsidRDefault="004C2997">
            <w:pPr>
              <w:autoSpaceDE w:val="0"/>
              <w:autoSpaceDN w:val="0"/>
              <w:adjustRightInd w:val="0"/>
              <w:spacing w:after="0" w:line="240" w:lineRule="auto"/>
              <w:ind w:right="147"/>
              <w:rPr>
                <w:rFonts w:ascii="Times New Roman" w:hAnsi="Times New Roman" w:cs="Times New Roman"/>
                <w:sz w:val="20"/>
                <w:szCs w:val="20"/>
              </w:rPr>
            </w:pPr>
          </w:p>
          <w:p w:rsidR="004C2997" w:rsidRDefault="004C2997">
            <w:pPr>
              <w:autoSpaceDE w:val="0"/>
              <w:autoSpaceDN w:val="0"/>
              <w:adjustRightInd w:val="0"/>
              <w:spacing w:after="0" w:line="240" w:lineRule="auto"/>
              <w:ind w:right="147"/>
              <w:rPr>
                <w:rFonts w:ascii="Times New Roman" w:hAnsi="Times New Roman" w:cs="Times New Roman"/>
                <w:sz w:val="20"/>
                <w:szCs w:val="20"/>
              </w:rPr>
            </w:pPr>
          </w:p>
          <w:p w:rsidR="004C2997" w:rsidRDefault="004C2997">
            <w:pPr>
              <w:autoSpaceDE w:val="0"/>
              <w:autoSpaceDN w:val="0"/>
              <w:adjustRightInd w:val="0"/>
              <w:spacing w:after="0" w:line="240" w:lineRule="auto"/>
              <w:ind w:right="147"/>
              <w:rPr>
                <w:rFonts w:ascii="Times New Roman" w:hAnsi="Times New Roman" w:cs="Times New Roman"/>
                <w:sz w:val="20"/>
                <w:szCs w:val="20"/>
              </w:rPr>
            </w:pPr>
          </w:p>
          <w:p w:rsidR="004C2997" w:rsidRDefault="004C2997">
            <w:pPr>
              <w:autoSpaceDE w:val="0"/>
              <w:autoSpaceDN w:val="0"/>
              <w:adjustRightInd w:val="0"/>
              <w:spacing w:after="0" w:line="240" w:lineRule="auto"/>
              <w:ind w:right="147"/>
              <w:rPr>
                <w:rFonts w:ascii="Times New Roman" w:hAnsi="Times New Roman" w:cs="Times New Roman"/>
                <w:sz w:val="20"/>
                <w:szCs w:val="20"/>
              </w:rPr>
            </w:pPr>
            <w:r>
              <w:rPr>
                <w:rFonts w:ascii="Times New Roman" w:hAnsi="Times New Roman" w:cs="Times New Roman"/>
                <w:sz w:val="20"/>
                <w:szCs w:val="20"/>
              </w:rPr>
              <w:t xml:space="preserve">Forgács nélküli megmunkálások </w:t>
            </w:r>
            <w:r>
              <w:rPr>
                <w:rFonts w:ascii="Times New Roman" w:hAnsi="Times New Roman" w:cs="Times New Roman"/>
                <w:sz w:val="20"/>
                <w:szCs w:val="20"/>
              </w:rPr>
              <w:br/>
            </w:r>
          </w:p>
          <w:p w:rsidR="004C2997" w:rsidRDefault="004C2997">
            <w:pPr>
              <w:autoSpaceDE w:val="0"/>
              <w:autoSpaceDN w:val="0"/>
              <w:adjustRightInd w:val="0"/>
              <w:spacing w:after="0" w:line="240" w:lineRule="auto"/>
              <w:ind w:right="147"/>
              <w:rPr>
                <w:rFonts w:ascii="Times New Roman" w:hAnsi="Times New Roman" w:cs="Times New Roman"/>
                <w:sz w:val="20"/>
                <w:szCs w:val="20"/>
              </w:rPr>
            </w:pPr>
          </w:p>
          <w:p w:rsidR="004C2997" w:rsidRDefault="004C2997">
            <w:pPr>
              <w:autoSpaceDE w:val="0"/>
              <w:autoSpaceDN w:val="0"/>
              <w:adjustRightInd w:val="0"/>
              <w:spacing w:after="0" w:line="240" w:lineRule="auto"/>
              <w:ind w:right="147"/>
              <w:rPr>
                <w:rFonts w:ascii="Times New Roman" w:hAnsi="Times New Roman" w:cs="Times New Roman"/>
                <w:sz w:val="20"/>
                <w:szCs w:val="20"/>
              </w:rPr>
            </w:pPr>
          </w:p>
          <w:p w:rsidR="004C2997" w:rsidRDefault="004C2997">
            <w:pPr>
              <w:autoSpaceDE w:val="0"/>
              <w:autoSpaceDN w:val="0"/>
              <w:adjustRightInd w:val="0"/>
              <w:spacing w:after="0" w:line="240" w:lineRule="auto"/>
              <w:ind w:right="147"/>
              <w:rPr>
                <w:rFonts w:ascii="Times New Roman" w:hAnsi="Times New Roman" w:cs="Times New Roman"/>
                <w:sz w:val="20"/>
                <w:szCs w:val="20"/>
              </w:rPr>
            </w:pPr>
            <w:r>
              <w:rPr>
                <w:rFonts w:ascii="Times New Roman" w:hAnsi="Times New Roman" w:cs="Times New Roman"/>
                <w:sz w:val="20"/>
                <w:szCs w:val="20"/>
              </w:rPr>
              <w:t xml:space="preserve">Hőkezelések </w:t>
            </w:r>
            <w:r>
              <w:rPr>
                <w:rFonts w:ascii="Times New Roman" w:hAnsi="Times New Roman" w:cs="Times New Roman"/>
                <w:sz w:val="20"/>
                <w:szCs w:val="20"/>
              </w:rPr>
              <w:br/>
            </w:r>
          </w:p>
          <w:p w:rsidR="004C2997" w:rsidRDefault="004C2997">
            <w:pPr>
              <w:autoSpaceDE w:val="0"/>
              <w:autoSpaceDN w:val="0"/>
              <w:adjustRightInd w:val="0"/>
              <w:spacing w:after="0" w:line="240" w:lineRule="auto"/>
              <w:ind w:right="147"/>
              <w:rPr>
                <w:rFonts w:ascii="Times New Roman" w:hAnsi="Times New Roman" w:cs="Times New Roman"/>
                <w:sz w:val="20"/>
                <w:szCs w:val="20"/>
              </w:rPr>
            </w:pPr>
            <w:r>
              <w:rPr>
                <w:rFonts w:ascii="Times New Roman" w:hAnsi="Times New Roman" w:cs="Times New Roman"/>
                <w:sz w:val="20"/>
                <w:szCs w:val="20"/>
              </w:rPr>
              <w:t>Hegesztés</w:t>
            </w:r>
          </w:p>
          <w:p w:rsidR="004C2997" w:rsidRDefault="004C2997">
            <w:pPr>
              <w:autoSpaceDE w:val="0"/>
              <w:autoSpaceDN w:val="0"/>
              <w:adjustRightInd w:val="0"/>
              <w:spacing w:after="0" w:line="240" w:lineRule="auto"/>
              <w:ind w:right="147"/>
              <w:rPr>
                <w:rFonts w:ascii="Times New Roman" w:hAnsi="Times New Roman" w:cs="Times New Roman"/>
                <w:sz w:val="20"/>
                <w:szCs w:val="20"/>
              </w:rPr>
            </w:pPr>
            <w:r>
              <w:rPr>
                <w:rFonts w:ascii="Times New Roman" w:hAnsi="Times New Roman" w:cs="Times New Roman"/>
                <w:sz w:val="20"/>
                <w:szCs w:val="20"/>
              </w:rPr>
              <w:t xml:space="preserve">Forrasztás </w:t>
            </w:r>
            <w:r>
              <w:rPr>
                <w:rFonts w:ascii="Times New Roman" w:hAnsi="Times New Roman" w:cs="Times New Roman"/>
                <w:sz w:val="20"/>
                <w:szCs w:val="20"/>
              </w:rPr>
              <w:br/>
            </w:r>
          </w:p>
          <w:p w:rsidR="004C2997" w:rsidRDefault="004C2997">
            <w:pPr>
              <w:autoSpaceDE w:val="0"/>
              <w:autoSpaceDN w:val="0"/>
              <w:adjustRightInd w:val="0"/>
              <w:spacing w:after="0" w:line="240" w:lineRule="auto"/>
              <w:ind w:right="147"/>
              <w:rPr>
                <w:rFonts w:ascii="Times New Roman" w:hAnsi="Times New Roman" w:cs="Times New Roman"/>
                <w:sz w:val="20"/>
                <w:szCs w:val="20"/>
              </w:rPr>
            </w:pPr>
          </w:p>
          <w:p w:rsidR="004C2997" w:rsidRDefault="004C2997">
            <w:pPr>
              <w:autoSpaceDE w:val="0"/>
              <w:autoSpaceDN w:val="0"/>
              <w:adjustRightInd w:val="0"/>
              <w:spacing w:after="0" w:line="240" w:lineRule="auto"/>
              <w:ind w:right="147"/>
              <w:rPr>
                <w:rFonts w:ascii="Times New Roman" w:hAnsi="Times New Roman" w:cs="Times New Roman"/>
                <w:sz w:val="20"/>
                <w:szCs w:val="20"/>
              </w:rPr>
            </w:pPr>
            <w:r>
              <w:rPr>
                <w:rFonts w:ascii="Times New Roman" w:hAnsi="Times New Roman" w:cs="Times New Roman"/>
                <w:sz w:val="20"/>
                <w:szCs w:val="20"/>
              </w:rPr>
              <w:t>Műanyagok megmunkálása</w:t>
            </w:r>
          </w:p>
        </w:tc>
        <w:tc>
          <w:tcPr>
            <w:tcW w:w="3096" w:type="dxa"/>
            <w:tcBorders>
              <w:top w:val="nil"/>
              <w:left w:val="nil"/>
              <w:bottom w:val="nil"/>
              <w:right w:val="nil"/>
            </w:tcBorders>
          </w:tcPr>
          <w:p w:rsidR="004C2997" w:rsidRDefault="004C2997">
            <w:pPr>
              <w:autoSpaceDE w:val="0"/>
              <w:autoSpaceDN w:val="0"/>
              <w:adjustRightInd w:val="0"/>
              <w:spacing w:after="0" w:line="240" w:lineRule="auto"/>
              <w:ind w:right="147"/>
              <w:rPr>
                <w:rFonts w:ascii="Times New Roman" w:hAnsi="Times New Roman" w:cs="Times New Roman"/>
                <w:sz w:val="20"/>
                <w:szCs w:val="20"/>
              </w:rPr>
            </w:pPr>
            <w:r>
              <w:rPr>
                <w:rFonts w:ascii="Times New Roman" w:hAnsi="Times New Roman" w:cs="Times New Roman"/>
                <w:sz w:val="20"/>
                <w:szCs w:val="20"/>
              </w:rPr>
              <w:t>Ismertesse a forgácsoló megmunkálásokat! (esztergálás, fúrás, marás, darabolás, köszörülés stb.)</w:t>
            </w:r>
          </w:p>
          <w:p w:rsidR="004C2997" w:rsidRDefault="004C2997">
            <w:pPr>
              <w:autoSpaceDE w:val="0"/>
              <w:autoSpaceDN w:val="0"/>
              <w:adjustRightInd w:val="0"/>
              <w:spacing w:after="0" w:line="240" w:lineRule="auto"/>
              <w:ind w:right="147"/>
              <w:rPr>
                <w:rFonts w:ascii="Times New Roman" w:hAnsi="Times New Roman" w:cs="Times New Roman"/>
                <w:sz w:val="20"/>
                <w:szCs w:val="20"/>
              </w:rPr>
            </w:pPr>
            <w:r>
              <w:rPr>
                <w:rFonts w:ascii="Times New Roman" w:hAnsi="Times New Roman" w:cs="Times New Roman"/>
                <w:sz w:val="20"/>
                <w:szCs w:val="20"/>
              </w:rPr>
              <w:t xml:space="preserve">Ismertesse a fontosabb forgács nélküli melegalakító technológiákat (öntés, kovácsolás, hengerlés, sajtolás). </w:t>
            </w:r>
            <w:r>
              <w:rPr>
                <w:rFonts w:ascii="Times New Roman" w:hAnsi="Times New Roman" w:cs="Times New Roman"/>
                <w:sz w:val="20"/>
                <w:szCs w:val="20"/>
              </w:rPr>
              <w:br/>
              <w:t xml:space="preserve">Mutassa be az acélok hőkezelő eljárásait. </w:t>
            </w:r>
            <w:r>
              <w:rPr>
                <w:rFonts w:ascii="Times New Roman" w:hAnsi="Times New Roman" w:cs="Times New Roman"/>
                <w:sz w:val="20"/>
                <w:szCs w:val="20"/>
              </w:rPr>
              <w:br/>
              <w:t xml:space="preserve">Csoportosítsa a hegesztés és a forrasztás fajtáit, ismertesse technológiáit és ezek anyagait, berendezéseit. </w:t>
            </w:r>
            <w:r>
              <w:rPr>
                <w:rFonts w:ascii="Times New Roman" w:hAnsi="Times New Roman" w:cs="Times New Roman"/>
                <w:sz w:val="20"/>
                <w:szCs w:val="20"/>
              </w:rPr>
              <w:br/>
              <w:t>Ismertesse a műanyag megmunkálásra alkalmazott sajtoló és fröccsöntő eljárást.</w:t>
            </w:r>
          </w:p>
        </w:tc>
        <w:tc>
          <w:tcPr>
            <w:tcW w:w="3096" w:type="dxa"/>
            <w:tcBorders>
              <w:top w:val="nil"/>
              <w:left w:val="nil"/>
              <w:bottom w:val="nil"/>
              <w:right w:val="nil"/>
            </w:tcBorders>
          </w:tcPr>
          <w:p w:rsidR="004C2997" w:rsidRDefault="004C2997">
            <w:pPr>
              <w:autoSpaceDE w:val="0"/>
              <w:autoSpaceDN w:val="0"/>
              <w:adjustRightInd w:val="0"/>
              <w:spacing w:after="0" w:line="240" w:lineRule="auto"/>
              <w:ind w:right="147"/>
              <w:rPr>
                <w:rFonts w:ascii="Times New Roman" w:hAnsi="Times New Roman" w:cs="Times New Roman"/>
                <w:sz w:val="20"/>
                <w:szCs w:val="20"/>
              </w:rPr>
            </w:pPr>
            <w:r>
              <w:rPr>
                <w:rFonts w:ascii="Times New Roman" w:hAnsi="Times New Roman" w:cs="Times New Roman"/>
                <w:sz w:val="20"/>
                <w:szCs w:val="20"/>
              </w:rPr>
              <w:t>Ismertesse a forgácsoló megmunkálásokat!</w:t>
            </w:r>
          </w:p>
          <w:p w:rsidR="004C2997" w:rsidRDefault="004C2997">
            <w:pPr>
              <w:autoSpaceDE w:val="0"/>
              <w:autoSpaceDN w:val="0"/>
              <w:adjustRightInd w:val="0"/>
              <w:spacing w:after="0" w:line="240" w:lineRule="auto"/>
              <w:ind w:right="147"/>
              <w:rPr>
                <w:rFonts w:ascii="Times New Roman" w:hAnsi="Times New Roman" w:cs="Times New Roman"/>
                <w:sz w:val="20"/>
                <w:szCs w:val="20"/>
              </w:rPr>
            </w:pPr>
            <w:r>
              <w:rPr>
                <w:rFonts w:ascii="Times New Roman" w:hAnsi="Times New Roman" w:cs="Times New Roman"/>
                <w:sz w:val="20"/>
                <w:szCs w:val="20"/>
              </w:rPr>
              <w:t>(esztergálás, fúrás, marás, darabolás, köszörülés stb.)</w:t>
            </w:r>
          </w:p>
          <w:p w:rsidR="004C2997" w:rsidRDefault="004C2997">
            <w:pPr>
              <w:autoSpaceDE w:val="0"/>
              <w:autoSpaceDN w:val="0"/>
              <w:adjustRightInd w:val="0"/>
              <w:spacing w:after="0" w:line="240" w:lineRule="auto"/>
              <w:ind w:right="147"/>
              <w:rPr>
                <w:rFonts w:ascii="Times New Roman" w:hAnsi="Times New Roman" w:cs="Times New Roman"/>
                <w:sz w:val="20"/>
                <w:szCs w:val="20"/>
              </w:rPr>
            </w:pPr>
            <w:r>
              <w:rPr>
                <w:rFonts w:ascii="Times New Roman" w:hAnsi="Times New Roman" w:cs="Times New Roman"/>
                <w:sz w:val="20"/>
                <w:szCs w:val="20"/>
              </w:rPr>
              <w:t xml:space="preserve">Mutassa be az acélok felületkezelő eljárásait. </w:t>
            </w:r>
            <w:r>
              <w:rPr>
                <w:rFonts w:ascii="Times New Roman" w:hAnsi="Times New Roman" w:cs="Times New Roman"/>
                <w:sz w:val="20"/>
                <w:szCs w:val="20"/>
              </w:rPr>
              <w:br/>
              <w:t xml:space="preserve">Mutassa be az öntészeti vasötvözetek, illetve a réz- és alumíniumötvözetek hőkezelésének sajátosságait. </w:t>
            </w:r>
            <w:r>
              <w:rPr>
                <w:rFonts w:ascii="Times New Roman" w:hAnsi="Times New Roman" w:cs="Times New Roman"/>
                <w:sz w:val="20"/>
                <w:szCs w:val="20"/>
              </w:rPr>
              <w:br/>
            </w:r>
          </w:p>
          <w:p w:rsidR="004C2997" w:rsidRDefault="004C2997">
            <w:pPr>
              <w:autoSpaceDE w:val="0"/>
              <w:autoSpaceDN w:val="0"/>
              <w:adjustRightInd w:val="0"/>
              <w:spacing w:after="0" w:line="240" w:lineRule="auto"/>
              <w:ind w:right="147"/>
              <w:rPr>
                <w:rFonts w:ascii="Times New Roman" w:hAnsi="Times New Roman" w:cs="Times New Roman"/>
                <w:sz w:val="20"/>
                <w:szCs w:val="20"/>
              </w:rPr>
            </w:pPr>
          </w:p>
          <w:p w:rsidR="004C2997" w:rsidRDefault="004C2997">
            <w:pPr>
              <w:autoSpaceDE w:val="0"/>
              <w:autoSpaceDN w:val="0"/>
              <w:adjustRightInd w:val="0"/>
              <w:spacing w:after="0" w:line="240" w:lineRule="auto"/>
              <w:ind w:right="147"/>
              <w:rPr>
                <w:rFonts w:ascii="Times New Roman" w:hAnsi="Times New Roman" w:cs="Times New Roman"/>
                <w:sz w:val="20"/>
                <w:szCs w:val="20"/>
              </w:rPr>
            </w:pPr>
          </w:p>
          <w:p w:rsidR="004C2997" w:rsidRDefault="004C2997">
            <w:pPr>
              <w:autoSpaceDE w:val="0"/>
              <w:autoSpaceDN w:val="0"/>
              <w:adjustRightInd w:val="0"/>
              <w:spacing w:after="0" w:line="240" w:lineRule="auto"/>
              <w:ind w:right="147"/>
              <w:rPr>
                <w:rFonts w:ascii="Times New Roman" w:hAnsi="Times New Roman" w:cs="Times New Roman"/>
                <w:sz w:val="20"/>
                <w:szCs w:val="20"/>
              </w:rPr>
            </w:pPr>
          </w:p>
          <w:p w:rsidR="004C2997" w:rsidRDefault="004C2997">
            <w:pPr>
              <w:autoSpaceDE w:val="0"/>
              <w:autoSpaceDN w:val="0"/>
              <w:adjustRightInd w:val="0"/>
              <w:spacing w:after="0" w:line="240" w:lineRule="auto"/>
              <w:ind w:right="147"/>
              <w:rPr>
                <w:rFonts w:ascii="Times New Roman" w:hAnsi="Times New Roman" w:cs="Times New Roman"/>
                <w:sz w:val="20"/>
                <w:szCs w:val="20"/>
              </w:rPr>
            </w:pPr>
            <w:r>
              <w:rPr>
                <w:rFonts w:ascii="Times New Roman" w:hAnsi="Times New Roman" w:cs="Times New Roman"/>
                <w:sz w:val="20"/>
                <w:szCs w:val="20"/>
              </w:rPr>
              <w:t>Ismertesse a műanyag megmunkálásra alkalmazott extrudáló eljárást.</w:t>
            </w:r>
          </w:p>
        </w:tc>
      </w:tr>
      <w:tr w:rsidR="004C2997">
        <w:tblPrEx>
          <w:tblCellMar>
            <w:top w:w="0" w:type="dxa"/>
            <w:bottom w:w="0" w:type="dxa"/>
          </w:tblCellMar>
        </w:tblPrEx>
        <w:tc>
          <w:tcPr>
            <w:tcW w:w="3094" w:type="dxa"/>
            <w:tcBorders>
              <w:top w:val="nil"/>
              <w:left w:val="nil"/>
              <w:bottom w:val="nil"/>
              <w:right w:val="nil"/>
            </w:tcBorders>
            <w:vAlign w:val="center"/>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7. Munka-, tűz-, és környezetvédelem</w:t>
            </w:r>
          </w:p>
        </w:tc>
        <w:tc>
          <w:tcPr>
            <w:tcW w:w="3096" w:type="dxa"/>
            <w:tcBorders>
              <w:top w:val="nil"/>
              <w:left w:val="nil"/>
              <w:bottom w:val="nil"/>
              <w:right w:val="nil"/>
            </w:tcBorders>
            <w:vAlign w:val="center"/>
          </w:tcPr>
          <w:p w:rsidR="004C2997" w:rsidRDefault="004C2997">
            <w:pPr>
              <w:autoSpaceDE w:val="0"/>
              <w:autoSpaceDN w:val="0"/>
              <w:adjustRightInd w:val="0"/>
              <w:spacing w:after="180" w:line="240" w:lineRule="auto"/>
              <w:ind w:right="150"/>
              <w:rPr>
                <w:rFonts w:ascii="Times New Roman" w:hAnsi="Times New Roman" w:cs="Times New Roman"/>
                <w:b/>
                <w:bCs/>
                <w:color w:val="000000"/>
                <w:sz w:val="20"/>
                <w:szCs w:val="20"/>
              </w:rPr>
            </w:pPr>
          </w:p>
        </w:tc>
        <w:tc>
          <w:tcPr>
            <w:tcW w:w="3096" w:type="dxa"/>
            <w:tcBorders>
              <w:top w:val="nil"/>
              <w:left w:val="nil"/>
              <w:bottom w:val="nil"/>
              <w:right w:val="nil"/>
            </w:tcBorders>
            <w:vAlign w:val="center"/>
          </w:tcPr>
          <w:p w:rsidR="004C2997" w:rsidRDefault="004C2997">
            <w:pPr>
              <w:autoSpaceDE w:val="0"/>
              <w:autoSpaceDN w:val="0"/>
              <w:adjustRightInd w:val="0"/>
              <w:spacing w:after="180" w:line="240" w:lineRule="auto"/>
              <w:ind w:right="150"/>
              <w:rPr>
                <w:rFonts w:ascii="Times New Roman" w:hAnsi="Times New Roman" w:cs="Times New Roman"/>
                <w:b/>
                <w:bCs/>
                <w:color w:val="000000"/>
                <w:sz w:val="20"/>
                <w:szCs w:val="20"/>
              </w:rPr>
            </w:pPr>
          </w:p>
        </w:tc>
      </w:tr>
      <w:tr w:rsidR="004C2997">
        <w:tblPrEx>
          <w:tblCellMar>
            <w:top w:w="0" w:type="dxa"/>
            <w:bottom w:w="0" w:type="dxa"/>
          </w:tblCellMar>
        </w:tblPrEx>
        <w:tc>
          <w:tcPr>
            <w:tcW w:w="3094" w:type="dxa"/>
            <w:tcBorders>
              <w:top w:val="nil"/>
              <w:left w:val="nil"/>
              <w:bottom w:val="nil"/>
              <w:right w:val="nil"/>
            </w:tcBorders>
          </w:tcPr>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Munka- és tűzvédelem</w:t>
            </w: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Környezetvédelmi alapfogalmak</w:t>
            </w:r>
          </w:p>
        </w:tc>
        <w:tc>
          <w:tcPr>
            <w:tcW w:w="3096"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munkavédelem területeit.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Definiálja a munkabaleset fogalmát.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munkabalesetek ügyvitelét.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az elsősegélynyújtást.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munkahelyek kialakítását befolyásoló tényezőket.</w:t>
            </w: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 xml:space="preserve">Ismertesse a természet- és a környezetvédelem célját, fő feladatait. </w:t>
            </w:r>
            <w:r>
              <w:rPr>
                <w:rFonts w:ascii="Times New Roman" w:hAnsi="Times New Roman" w:cs="Times New Roman"/>
                <w:color w:val="000000"/>
                <w:sz w:val="20"/>
                <w:szCs w:val="20"/>
              </w:rPr>
              <w:br/>
              <w:t xml:space="preserve">Sorolja fel környezetünk szennyező forrásait és ismertesse a szennyezés megelőzésének, illetve megszüntetésének lehetőségeit. </w:t>
            </w:r>
            <w:r>
              <w:rPr>
                <w:rFonts w:ascii="Times New Roman" w:hAnsi="Times New Roman" w:cs="Times New Roman"/>
                <w:color w:val="000000"/>
                <w:sz w:val="20"/>
                <w:szCs w:val="20"/>
              </w:rPr>
              <w:br/>
              <w:t>Definiálja az ergonómiát és ismertesse munkahelyi szerepét.</w:t>
            </w:r>
          </w:p>
        </w:tc>
        <w:tc>
          <w:tcPr>
            <w:tcW w:w="3096" w:type="dxa"/>
            <w:tcBorders>
              <w:top w:val="nil"/>
              <w:left w:val="nil"/>
              <w:bottom w:val="nil"/>
              <w:right w:val="nil"/>
            </w:tcBorders>
          </w:tcPr>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 xml:space="preserve">Ismertesse a színdinamika lényegét, jelentőségét. </w:t>
            </w:r>
            <w:r>
              <w:rPr>
                <w:rFonts w:ascii="Times New Roman" w:hAnsi="Times New Roman" w:cs="Times New Roman"/>
                <w:color w:val="000000"/>
                <w:sz w:val="20"/>
                <w:szCs w:val="20"/>
              </w:rPr>
              <w:br/>
              <w:t xml:space="preserve">Értelmezze a szociális kölcsönhatás és a személyes tér fogalmát és jelentőségét. </w:t>
            </w:r>
            <w:r>
              <w:rPr>
                <w:rFonts w:ascii="Times New Roman" w:hAnsi="Times New Roman" w:cs="Times New Roman"/>
                <w:color w:val="000000"/>
                <w:sz w:val="20"/>
                <w:szCs w:val="20"/>
              </w:rPr>
              <w:br/>
            </w: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p>
          <w:p w:rsidR="004C2997" w:rsidRDefault="004C2997">
            <w:pPr>
              <w:autoSpaceDE w:val="0"/>
              <w:autoSpaceDN w:val="0"/>
              <w:adjustRightInd w:val="0"/>
              <w:spacing w:after="0" w:line="240" w:lineRule="auto"/>
              <w:ind w:right="147"/>
              <w:rPr>
                <w:rFonts w:ascii="Times New Roman" w:hAnsi="Times New Roman" w:cs="Times New Roman"/>
                <w:color w:val="000000"/>
                <w:sz w:val="20"/>
                <w:szCs w:val="20"/>
              </w:rPr>
            </w:pPr>
            <w:r>
              <w:rPr>
                <w:rFonts w:ascii="Times New Roman" w:hAnsi="Times New Roman" w:cs="Times New Roman"/>
                <w:color w:val="000000"/>
                <w:sz w:val="20"/>
                <w:szCs w:val="20"/>
              </w:rPr>
              <w:t>Ismertesse egy munkahellyel, pl. iskolával, tanműhellyel szemben megfogalmazható legfontosabb ergonómiai követelményeket.</w:t>
            </w: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ELEKTRONIKAI ALAPISMERETEK</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ind w:left="431"/>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left="431"/>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Az elektronikai alapismeretek érettségi vizsga célja</w:t>
      </w:r>
    </w:p>
    <w:p w:rsidR="004C2997" w:rsidRDefault="004C2997" w:rsidP="004C2997">
      <w:pPr>
        <w:autoSpaceDE w:val="0"/>
        <w:autoSpaceDN w:val="0"/>
        <w:adjustRightInd w:val="0"/>
        <w:spacing w:after="120" w:line="240" w:lineRule="auto"/>
        <w:ind w:firstLine="284"/>
        <w:rPr>
          <w:rFonts w:ascii="Times New Roman" w:hAnsi="Times New Roman" w:cs="Times New Roman"/>
          <w:sz w:val="20"/>
          <w:szCs w:val="20"/>
        </w:rPr>
      </w:pPr>
      <w:r>
        <w:rPr>
          <w:rFonts w:ascii="Times New Roman" w:hAnsi="Times New Roman" w:cs="Times New Roman"/>
          <w:sz w:val="20"/>
          <w:szCs w:val="20"/>
        </w:rPr>
        <w:t xml:space="preserve">Az ismeretek és készségek legnagyobb része középszinten és emelt szinten egyaránt megjelenik. A középszintű célok elsősorban az egyszerűbb ismeretszerzési eljárásokat, kifejező készséget, a rendszerezés és az alkalmazás legalapvetőbb formáit várja el, emelt szinten pedig az igényesebb felépítés, az alkalmazás és integrálás összetettsége, a feladatok nehézségi fokának erősödése jelentkezik. </w:t>
      </w: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 középszintű vizsga célja annak megállapítása, hogy a vizsgázó</w:t>
      </w:r>
    </w:p>
    <w:p w:rsidR="004C2997" w:rsidRDefault="004C2997" w:rsidP="004C2997">
      <w:pPr>
        <w:tabs>
          <w:tab w:val="left" w:pos="139"/>
          <w:tab w:val="left" w:pos="35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műszaki szemlélettel és a műszaki műveltség részét képező elektrotechnikai-elektronikai alapismeretekkel,</w:t>
      </w:r>
    </w:p>
    <w:p w:rsidR="004C2997" w:rsidRDefault="004C2997" w:rsidP="004C2997">
      <w:pPr>
        <w:tabs>
          <w:tab w:val="left" w:pos="139"/>
          <w:tab w:val="left" w:pos="35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ismereteit a mindennapokban tapasztalt villamos jelenségekkel, egyszerű technikai eszközök működésével összekapcsolni,</w:t>
      </w:r>
    </w:p>
    <w:p w:rsidR="004C2997" w:rsidRDefault="004C2997" w:rsidP="004C2997">
      <w:pPr>
        <w:tabs>
          <w:tab w:val="left" w:pos="139"/>
          <w:tab w:val="left" w:pos="35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elsajátította-e az elektrotechnika és az elektronika alapfogalmaihoz kapcsolódó összefüggések alkalmazását,</w:t>
      </w:r>
    </w:p>
    <w:p w:rsidR="004C2997" w:rsidRDefault="004C2997" w:rsidP="004C2997">
      <w:pPr>
        <w:tabs>
          <w:tab w:val="left" w:pos="139"/>
          <w:tab w:val="left" w:pos="35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az elektrotechnikai-elektronikai alapmennyiségek mértékegységeinek és mértékeinek ismeretével, átszámítási mechanizmusával, egyszerű elektrotechnikai és elektronikai alapfeladatok megoldási készségével,</w:t>
      </w:r>
    </w:p>
    <w:p w:rsidR="004C2997" w:rsidRDefault="004C2997" w:rsidP="004C2997">
      <w:pPr>
        <w:tabs>
          <w:tab w:val="left" w:pos="139"/>
          <w:tab w:val="left" w:pos="35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az elektrotechnika-elektronika alapvető fontosságú tényeinek, fogalmainak és alaptörvényeinek szabatos definiálására, jellemzésére,</w:t>
      </w:r>
    </w:p>
    <w:p w:rsidR="004C2997" w:rsidRDefault="004C2997" w:rsidP="004C2997">
      <w:pPr>
        <w:tabs>
          <w:tab w:val="left" w:pos="139"/>
          <w:tab w:val="left" w:pos="35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megszerzett ismeretei felhasználásával elektrotechnikai-elektronikai jelenségeket, összefüggéseket megmagyarázni, és folyamatokat összehasonlítani.</w:t>
      </w:r>
    </w:p>
    <w:p w:rsidR="004C2997" w:rsidRDefault="004C2997" w:rsidP="004C2997">
      <w:pPr>
        <w:autoSpaceDE w:val="0"/>
        <w:autoSpaceDN w:val="0"/>
        <w:adjustRightInd w:val="0"/>
        <w:spacing w:after="0" w:line="240" w:lineRule="auto"/>
        <w:rPr>
          <w:rFonts w:ascii="Times New Roman" w:hAnsi="Times New Roman" w:cs="Times New Roman"/>
          <w:sz w:val="12"/>
          <w:szCs w:val="12"/>
        </w:rPr>
      </w:pPr>
    </w:p>
    <w:p w:rsidR="004C2997" w:rsidRDefault="004C2997" w:rsidP="004C2997">
      <w:pPr>
        <w:autoSpaceDE w:val="0"/>
        <w:autoSpaceDN w:val="0"/>
        <w:adjustRightInd w:val="0"/>
        <w:spacing w:after="0" w:line="240" w:lineRule="auto"/>
        <w:ind w:firstLine="284"/>
        <w:rPr>
          <w:rFonts w:ascii="Times New Roman" w:hAnsi="Times New Roman" w:cs="Times New Roman"/>
          <w:sz w:val="20"/>
          <w:szCs w:val="20"/>
        </w:rPr>
      </w:pPr>
      <w:r>
        <w:rPr>
          <w:rFonts w:ascii="Times New Roman" w:hAnsi="Times New Roman" w:cs="Times New Roman"/>
          <w:sz w:val="20"/>
          <w:szCs w:val="20"/>
        </w:rPr>
        <w:t>Az emelt szintű vizsga célja annak megállapítása, hogy a vizsgázó a fentiekben felsoroltakon túlmenően</w:t>
      </w:r>
    </w:p>
    <w:p w:rsidR="004C2997" w:rsidRDefault="004C2997" w:rsidP="004C2997">
      <w:pPr>
        <w:tabs>
          <w:tab w:val="left" w:pos="139"/>
          <w:tab w:val="left" w:pos="35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elsajátította-e a speciális szakmai tantárgyak tanulásához szükséges műszaki feladatmegoldó képességet,</w:t>
      </w:r>
    </w:p>
    <w:p w:rsidR="004C2997" w:rsidRDefault="004C2997" w:rsidP="004C2997">
      <w:pPr>
        <w:tabs>
          <w:tab w:val="left" w:pos="139"/>
          <w:tab w:val="left" w:pos="35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levezetni, igazolni, ábrázolni és értékelni az elektrotechnikai-elektronikai összefüggéseket és folyamatokat,</w:t>
      </w:r>
    </w:p>
    <w:p w:rsidR="004C2997" w:rsidRDefault="004C2997" w:rsidP="004C2997">
      <w:pPr>
        <w:tabs>
          <w:tab w:val="left" w:pos="139"/>
          <w:tab w:val="left" w:pos="357"/>
        </w:tabs>
        <w:autoSpaceDE w:val="0"/>
        <w:autoSpaceDN w:val="0"/>
        <w:adjustRightInd w:val="0"/>
        <w:spacing w:after="0" w:line="240" w:lineRule="auto"/>
        <w:ind w:left="567"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elemezni és méretezni a legfontosabb elektrotechnikai-elektronikai alapáramköröket,</w:t>
      </w:r>
    </w:p>
    <w:p w:rsidR="004C2997" w:rsidRDefault="004C2997" w:rsidP="004C2997">
      <w:pPr>
        <w:tabs>
          <w:tab w:val="left" w:pos="139"/>
          <w:tab w:val="left" w:pos="357"/>
        </w:tabs>
        <w:autoSpaceDE w:val="0"/>
        <w:autoSpaceDN w:val="0"/>
        <w:adjustRightInd w:val="0"/>
        <w:spacing w:after="0" w:line="240" w:lineRule="auto"/>
        <w:ind w:left="567" w:hanging="283"/>
        <w:rPr>
          <w:rFonts w:ascii="Times New Roman" w:hAnsi="Times New Roman" w:cs="Times New Roman"/>
          <w:b/>
          <w:bCs/>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az alapfogalmak, a folyamatok, a jelenségek és törvényszerűségek integrálási képességével.</w:t>
      </w: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ind w:firstLine="222"/>
        <w:rPr>
          <w:rFonts w:ascii="Times New Roman" w:hAnsi="Times New Roman" w:cs="Times New Roman"/>
          <w:sz w:val="20"/>
          <w:szCs w:val="20"/>
        </w:rPr>
      </w:pPr>
      <w:r>
        <w:rPr>
          <w:rFonts w:ascii="Times New Roman" w:hAnsi="Times New Roman" w:cs="Times New Roman"/>
          <w:sz w:val="20"/>
          <w:szCs w:val="20"/>
        </w:rPr>
        <w:t xml:space="preserve">Az Elektronikai alapismeretek érettségi vizsgatárgy tartalmi követelményei alapvetően az </w:t>
      </w:r>
      <w:r>
        <w:rPr>
          <w:rFonts w:ascii="Times New Roman" w:hAnsi="Times New Roman" w:cs="Times New Roman"/>
          <w:i/>
          <w:iCs/>
          <w:sz w:val="20"/>
          <w:szCs w:val="20"/>
        </w:rPr>
        <w:t>Elektrotechnika-elektronika szakmacsoport érettségire épülő szakképesítéseinek</w:t>
      </w:r>
      <w:r>
        <w:rPr>
          <w:rFonts w:ascii="Times New Roman" w:hAnsi="Times New Roman" w:cs="Times New Roman"/>
          <w:sz w:val="20"/>
          <w:szCs w:val="20"/>
        </w:rPr>
        <w:t xml:space="preserve"> központi programjainak elektrotechnika és elektronika alapjai témaköreire épülnek.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sectPr w:rsidR="004C2997">
          <w:pgSz w:w="11906" w:h="16838"/>
          <w:pgMar w:top="1134" w:right="1134" w:bottom="1134" w:left="1134" w:header="708" w:footer="708" w:gutter="0"/>
          <w:cols w:space="708"/>
          <w:noEndnote/>
        </w:sect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714"/>
        <w:gridCol w:w="4995"/>
        <w:gridCol w:w="4819"/>
      </w:tblGrid>
      <w:tr w:rsidR="004C2997">
        <w:tblPrEx>
          <w:tblCellMar>
            <w:top w:w="0" w:type="dxa"/>
            <w:bottom w:w="0" w:type="dxa"/>
          </w:tblCellMar>
        </w:tblPrEx>
        <w:tc>
          <w:tcPr>
            <w:tcW w:w="4714" w:type="dxa"/>
            <w:shd w:val="clear" w:color="000000" w:fill="auto"/>
            <w:vAlign w:val="center"/>
          </w:tcPr>
          <w:p w:rsidR="004C2997" w:rsidRDefault="004C2997">
            <w:pPr>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4995" w:type="dxa"/>
            <w:shd w:val="clear" w:color="000000" w:fill="auto"/>
            <w:vAlign w:val="center"/>
          </w:tcPr>
          <w:p w:rsidR="004C2997" w:rsidRDefault="004C2997">
            <w:pPr>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4819" w:type="dxa"/>
            <w:shd w:val="clear" w:color="000000" w:fill="auto"/>
            <w:vAlign w:val="center"/>
          </w:tcPr>
          <w:p w:rsidR="004C2997" w:rsidRDefault="004C2997">
            <w:pPr>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rPr>
          <w:cantSplit/>
        </w:trPr>
        <w:tc>
          <w:tcPr>
            <w:tcW w:w="14528" w:type="dxa"/>
            <w:gridSpan w:val="3"/>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1. Villamos alapfogalmak</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Feszültség, áram, töltés, ellenállás, vezetőképesség</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Definiálja a feszültség, az áram, a töltés, az ellenállás és a vezetőképesség fogalmát, jellemzőit, mértékegységeit.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Végezzen átszámításokat a mértékegységekkel a prefixumok szerint.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Ellenállásokkal kapcsolatos számítások.</w:t>
            </w:r>
          </w:p>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Ellenállások hőfokfüggése (NTK, PTK)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számításokat végezni az ellenállás megadott paraméterei segítségével.</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az ellenállások hőfokfüggésének gyakorlati vonatkozásait.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Ellenállások a gyakorlatban, rajzjelek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ellenállások fajtáit és katalógus-adatait, az ellenállások szabványos jelölésmódjait.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Hasonlítsa össze és jellemezze a vezető és a szigetelő anyagokat.</w:t>
            </w:r>
          </w:p>
        </w:tc>
      </w:tr>
      <w:tr w:rsidR="004C2997">
        <w:tblPrEx>
          <w:tblCellMar>
            <w:top w:w="0" w:type="dxa"/>
            <w:bottom w:w="0" w:type="dxa"/>
          </w:tblCellMar>
        </w:tblPrEx>
        <w:trPr>
          <w:cantSplit/>
        </w:trPr>
        <w:tc>
          <w:tcPr>
            <w:tcW w:w="14528" w:type="dxa"/>
            <w:gridSpan w:val="3"/>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2. Egyenáramú hálózatok alaptörvényei</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Az áramkör fogalma, egyenáramú hálózatok alaptörvényei (Ohm, Kirchhoff)</w:t>
            </w:r>
          </w:p>
          <w:p w:rsidR="004C2997" w:rsidRDefault="004C2997">
            <w:pPr>
              <w:autoSpaceDE w:val="0"/>
              <w:autoSpaceDN w:val="0"/>
              <w:adjustRightInd w:val="0"/>
              <w:spacing w:after="0" w:line="240" w:lineRule="auto"/>
              <w:ind w:firstLine="227"/>
              <w:rPr>
                <w:rFonts w:ascii="Times New Roman" w:hAnsi="Times New Roman" w:cs="Times New Roman"/>
                <w:sz w:val="20"/>
                <w:szCs w:val="20"/>
              </w:rPr>
            </w:pPr>
            <w:r>
              <w:rPr>
                <w:rFonts w:ascii="Times New Roman" w:hAnsi="Times New Roman" w:cs="Times New Roman"/>
                <w:sz w:val="20"/>
                <w:szCs w:val="20"/>
              </w:rPr>
              <w:t>Ellenállás-hálózatok, eredő ellenállás számítások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Definiálja az egyenáramú hálózatok Ohm- és Kirchhoff- törvényeit, végezzen eredő ellenállás számításokat soros, párhuzamos és vegyes kapcsolások esetén.</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Vezesse le a csillag-delta átalakítást.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Rajzolja fel az alaptörvények igazolására szolgáló mérési elrendezéseket és ismertesse a mérések menetét.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Nevezetes hálózatok: feszültségosztó, áramosztó, Wheatstone-híd, alkalmazások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Definiálja a feszültségosztás és az áramosztás törvényét.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Végezzen számításokat egyszerű feszültség- és áramosztó áramkörökön, számítson ki előtét- és söntellenállásokat.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áram- és feszültségmérő méréshatár kiterjesztésére vonatkozó megoldásokat.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Igazolja a feszültségosztás és az áramosztás törvényét.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Vezesse le a Wheatstone-híd kiegyenlítését igazoló összefüggést.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Méretezzen alapműszerek méréshatár kiterjesztésére szolgáló előtét- és söntellenállásokat.</w:t>
            </w:r>
          </w:p>
        </w:tc>
      </w:tr>
      <w:tr w:rsidR="004C2997">
        <w:tblPrEx>
          <w:tblCellMar>
            <w:top w:w="0" w:type="dxa"/>
            <w:bottom w:w="0" w:type="dxa"/>
          </w:tblCellMar>
        </w:tblPrEx>
        <w:trPr>
          <w:cantSplit/>
        </w:trPr>
        <w:tc>
          <w:tcPr>
            <w:tcW w:w="14528" w:type="dxa"/>
            <w:gridSpan w:val="3"/>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3. A villamos áram hatásai</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Hőhatás</w:t>
            </w:r>
          </w:p>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Vegyi hatás</w:t>
            </w:r>
          </w:p>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Élettani hatás</w:t>
            </w:r>
          </w:p>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Mágneses hatás</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Ismertesse a villamos- és a hőenergia közötti kapcsolatot. Magyarázza el az áram hőhatásának okait.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folyadékok vezetésére, az anyagok kiválasztására vonatkozó folyamatokat.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Definiálja Faraday törvényét.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az elektrolízis jellemző gyakorlati alkalmazási lehetőségeit.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Sorolja fel a korrózió elleni védekezés módjait.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áram emberi ideg- és izomrendszerre vonatkozó hatásait.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mágneses hatással kapcsolatos gyakorlati alkalmazásokat.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Végezzen számításokat a fajhő segítségével.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Igazolja Faraday törvényét.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Végezzen számításokat Faraday törvényének felhasználásával.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galvánelemek és az akkumulátorok működését és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Fejtse ki részletesen az áram élettani járulékos hatásainak biológiai vonatkozásait.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Elemezze a mágneses tér mozgó töltéshordozókra gyakorolt hatásának következményeit.</w:t>
            </w:r>
          </w:p>
        </w:tc>
      </w:tr>
      <w:tr w:rsidR="004C2997">
        <w:tblPrEx>
          <w:tblCellMar>
            <w:top w:w="0" w:type="dxa"/>
            <w:bottom w:w="0" w:type="dxa"/>
          </w:tblCellMar>
        </w:tblPrEx>
        <w:trPr>
          <w:cantSplit/>
        </w:trPr>
        <w:tc>
          <w:tcPr>
            <w:tcW w:w="14528" w:type="dxa"/>
            <w:gridSpan w:val="3"/>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4. Energiaforrások</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A villamos munka, a teljesítmény, a hatásfok és a terhelhetőség</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villamos munka,a villamos teljesítmény és a hatásfok fogalmát és mértékegységeit.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Számítással határozza meg a villamos munkát és </w:t>
            </w:r>
            <w:r>
              <w:rPr>
                <w:rFonts w:ascii="Times New Roman" w:hAnsi="Times New Roman" w:cs="Times New Roman"/>
                <w:sz w:val="20"/>
                <w:szCs w:val="20"/>
              </w:rPr>
              <w:lastRenderedPageBreak/>
              <w:t>teljesítményt.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lastRenderedPageBreak/>
              <w:t>Ideális és valóságos generátorok.</w:t>
            </w:r>
          </w:p>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A feszültség- és áramgenerátorok helyettesítő képei,</w:t>
            </w:r>
            <w:r>
              <w:rPr>
                <w:rFonts w:ascii="Times New Roman" w:hAnsi="Times New Roman" w:cs="Times New Roman"/>
                <w:sz w:val="20"/>
                <w:szCs w:val="20"/>
              </w:rPr>
              <w:br/>
              <w:t>soros és párhuzamos kapcsolása (Norton, Thevenin)</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belső ellenállás, a forrásfeszültség és a</w:t>
            </w:r>
            <w:r>
              <w:rPr>
                <w:rFonts w:ascii="Times New Roman" w:hAnsi="Times New Roman" w:cs="Times New Roman"/>
                <w:sz w:val="20"/>
                <w:szCs w:val="20"/>
              </w:rPr>
              <w:br/>
              <w:t>kapocsfeszültség, az ideális és a valóságos generátor és a helyettesítő kép fogalmát.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Végezzen számításokat generátorok soros, párhuzamos és vegyes kapcsolásaira.</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Norton és a Thevenin helyettesítő képek közötti kapcsolatot.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Számítással határozza meg egyszerűbb aktív kétpólusok helyettesítő elemeit.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A szuperpozíció tétele</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Definiálja a szuperpozíció tételét.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Elemezze a szuperpozíció tételét, végezzen számításokat a tétel segítségével.</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Generátorok teljesítményviszonyai és hatásfoka, az</w:t>
            </w:r>
            <w:r>
              <w:rPr>
                <w:rFonts w:ascii="Times New Roman" w:hAnsi="Times New Roman" w:cs="Times New Roman"/>
                <w:sz w:val="20"/>
                <w:szCs w:val="20"/>
              </w:rPr>
              <w:br/>
              <w:t>illesztés fogalma és gyakorlata</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generátorok lehetséges terhelési állapotait.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generátorok teljesítményviszonyait és hatásfokát, az illesztés fogalmát.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Ábrázolja a teljesítmény- és hatásfok-görbét a terhelő ellenállás függvényében a jellemző értékek feltüntetésével.</w:t>
            </w:r>
          </w:p>
        </w:tc>
      </w:tr>
      <w:tr w:rsidR="004C2997">
        <w:tblPrEx>
          <w:tblCellMar>
            <w:top w:w="0" w:type="dxa"/>
            <w:bottom w:w="0" w:type="dxa"/>
          </w:tblCellMar>
        </w:tblPrEx>
        <w:trPr>
          <w:cantSplit/>
        </w:trPr>
        <w:tc>
          <w:tcPr>
            <w:tcW w:w="14528" w:type="dxa"/>
            <w:gridSpan w:val="3"/>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5. Villamos erőtér</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A villamos tér fogalma, jellemzői és szemléltetése, Coulomb törvénye</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villamos tér fogalmát és értelmezze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Definiálja a Coulomb-törvényt.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Fejtse ki részletesen a kisülés, a csúcshatás és az árnyékolás gyakorlati jelentőségét.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Ábrázolja Q töltésű fémgömb esetén a villamos térerősséget a távolság függvényében.</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Anyagok viselkedése villamos térben</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villamos térerősség és az anyagok kapcsolatát.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polarizációt, az átütést, az átütési szilárdságot, a dielektromos veszteséget és a piezovillamos jelenséget.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Fejtse ki részletesen a polarizáció, az átütés, a piezovillamos jelenség belső okait, gyakorlati jelentőségét.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Kondenzátorok, kapacitások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és értelmezze a kapacitás fogalmát és mértékegységét és a hozzá kapcsolódó prefixumait, a kondenzátorok típusait, azok katalógusadatait.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Vezesse le a kondenzátorok soros és párhuzamos eredőire vonatkozó összefüggéseket.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Töltés, kisütés, energia</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kondenzátor feltöltési és kisütési folyamatát, értelmezze az időállandó és a kondenzátor energiájának fogalmát.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Ábrázolja a kondenzátortöltési és kisütési görbéit, s tüntesse fel a jellemző értékeket.</w:t>
            </w:r>
          </w:p>
        </w:tc>
      </w:tr>
      <w:tr w:rsidR="004C2997">
        <w:tblPrEx>
          <w:tblCellMar>
            <w:top w:w="0" w:type="dxa"/>
            <w:bottom w:w="0" w:type="dxa"/>
          </w:tblCellMar>
        </w:tblPrEx>
        <w:trPr>
          <w:cantSplit/>
        </w:trPr>
        <w:tc>
          <w:tcPr>
            <w:tcW w:w="14528" w:type="dxa"/>
            <w:gridSpan w:val="3"/>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6. Mágneses erőtér</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A mágneses erőtér jellemzői és szemléltetése, erő-hatások mágneses erőtérben</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mágneses erőtér fogalmát és értelmezze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mágneses erőtér erőhatásait.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Vezesse le a gerjesztési törvényt.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Számítsa ki egyszerű mágneses körök alapjellemzőit.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mágneses erő irányának meghatározását.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Anyagok viselkedése mágneses térben</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az anyagok viselkedését mágneses erőtérben.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mágnesezési görbéket, értelmezze a mágneses permeabilitást, a hiszterézist.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Elektromágneses indukció</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Faraday és a Lenz-törvényt, és ismertesse az egyes indukció-fajtákat.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indukciós jelenségek alkalmazásának lehetőségét.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Magyarázza el az örvényáram létrejöttének okait.</w:t>
            </w:r>
            <w:r>
              <w:rPr>
                <w:rFonts w:ascii="Times New Roman" w:hAnsi="Times New Roman" w:cs="Times New Roman"/>
                <w:sz w:val="20"/>
                <w:szCs w:val="20"/>
              </w:rPr>
              <w:br/>
              <w:t>Mutassa be az örvényáram gyakorlati vonatkozásait.</w:t>
            </w:r>
          </w:p>
        </w:tc>
      </w:tr>
      <w:tr w:rsidR="004C2997">
        <w:tblPrEx>
          <w:tblCellMar>
            <w:top w:w="0" w:type="dxa"/>
            <w:bottom w:w="0" w:type="dxa"/>
          </w:tblCellMar>
        </w:tblPrEx>
        <w:trPr>
          <w:cantSplit/>
        </w:trPr>
        <w:tc>
          <w:tcPr>
            <w:tcW w:w="14528" w:type="dxa"/>
            <w:gridSpan w:val="3"/>
          </w:tcPr>
          <w:p w:rsidR="004C2997" w:rsidRDefault="004C2997">
            <w:pPr>
              <w:autoSpaceDE w:val="0"/>
              <w:autoSpaceDN w:val="0"/>
              <w:adjustRightInd w:val="0"/>
              <w:spacing w:after="0" w:line="240" w:lineRule="auto"/>
              <w:ind w:left="227" w:hanging="227"/>
              <w:rPr>
                <w:rFonts w:ascii="Times New Roman" w:hAnsi="Times New Roman" w:cs="Times New Roman"/>
                <w:b/>
                <w:bCs/>
                <w:sz w:val="20"/>
                <w:szCs w:val="20"/>
              </w:rPr>
            </w:pPr>
            <w:r>
              <w:rPr>
                <w:rFonts w:ascii="Times New Roman" w:hAnsi="Times New Roman" w:cs="Times New Roman"/>
                <w:b/>
                <w:bCs/>
                <w:sz w:val="20"/>
                <w:szCs w:val="20"/>
              </w:rPr>
              <w:t>7. Szinuszos mennyiségek</w:t>
            </w:r>
            <w:r>
              <w:rPr>
                <w:rFonts w:ascii="Times New Roman" w:hAnsi="Times New Roman" w:cs="Times New Roman"/>
                <w:b/>
                <w:bCs/>
                <w:sz w:val="20"/>
                <w:szCs w:val="20"/>
              </w:rPr>
              <w:br/>
              <w:t>Váltakozó áramú áramkörök</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lastRenderedPageBreak/>
              <w:t>A szinuszos váltakozó mennyiségek</w:t>
            </w:r>
          </w:p>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Egyszerű váltakozó áramú áramkörök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szinuszos váltakozó jel jellemzőit: a szinuszos váltakozó jel amplitúdóját, frekvenciáját, körfrekvenciáját, pillanatnyi értékét és fázisszögét, középértékeit.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tisztán ohmos, induktív és kapacitív fogyasztó jellemzőit.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szinuszos váltakozó jel alaktényezőit (csúcstényezőt és formatényezőt) az egyenirányítatlan, az egyutasan és a kétutasan egyenirányított szinuszos jelek esetén.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szinuszos váltakozó jel középértékei közötti kapcsolatokat.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Összetett váltakozó áramú áramkörök</w:t>
            </w:r>
          </w:p>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Valódi tekercsek, kondenzátorok és veszteségeik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az impedancia és az admittancia fogalmát és kapcsolatát.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Végezzen számításokat vektorábrák segítségével a soros és a párhuzamos R-L, R-C és R-L-C áramkörökön.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Definiálja a határfrekvenciákat, a rezonancia frekvenciát és végezzen egyszerű rezgőköri számításokat.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Ábrázolja a soros és párhuzamos R-L, R-C, R-L-C áramkörök impedanciájának és fázisszögének frekvenciafüggését.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Fejtse ki részletesen a rezgőkörök gyakorlati alkalmazásának lehetőségeit és végezzen rezgőkörrel kapcsolatos számításokat.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Váltakozó áramú teljesítmények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váltakozó áramú teljesítményeket és a teljesítménytényezőt.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Elemezze a fázisjavítás szükségességét és mutassa be jellemző megoldásait.</w:t>
            </w:r>
          </w:p>
        </w:tc>
      </w:tr>
      <w:tr w:rsidR="004C2997">
        <w:tblPrEx>
          <w:tblCellMar>
            <w:top w:w="0" w:type="dxa"/>
            <w:bottom w:w="0" w:type="dxa"/>
          </w:tblCellMar>
        </w:tblPrEx>
        <w:trPr>
          <w:cantSplit/>
        </w:trPr>
        <w:tc>
          <w:tcPr>
            <w:tcW w:w="14528" w:type="dxa"/>
            <w:gridSpan w:val="3"/>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8. Többfázisú hálózatok, a villamos energia előállítása és szállítása</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A többfázisú rendszer fogalma</w:t>
            </w:r>
          </w:p>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A háromfázisú rendszer lényege, jellemzői, csillag- és háromszögkapcsolás, teljesítmények, szimmetrikus és aszimmetrikus terhelés</w:t>
            </w:r>
          </w:p>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A villamos energia előállítása, szállítása és elosztása</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háromfázisú rendszer fogalmát,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villamos energia előállításának, szállításának és elosztásának gyakorlati lehetőségeit.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többfázisú rendszer fogalmát,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Hasonlítsa össze jellemzői alapján a csillag- és a háromszögkapcsolást.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hagyományos és alternatív energiaforrások alkalmazásának lehetőségét.</w:t>
            </w:r>
          </w:p>
        </w:tc>
      </w:tr>
      <w:tr w:rsidR="004C2997">
        <w:tblPrEx>
          <w:tblCellMar>
            <w:top w:w="0" w:type="dxa"/>
            <w:bottom w:w="0" w:type="dxa"/>
          </w:tblCellMar>
        </w:tblPrEx>
        <w:trPr>
          <w:cantSplit/>
        </w:trPr>
        <w:tc>
          <w:tcPr>
            <w:tcW w:w="14528" w:type="dxa"/>
            <w:gridSpan w:val="3"/>
            <w:tcBorders>
              <w:bottom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9. Villamos gépek</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Transzformátorok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transzformátor felépítését, működését, veszteségeit, értelmezze áttételeit és rajzjelét.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transzformátor veszteségeinek okait és a csökkentésére szolgáló eljárásokat.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A villamos forgógépek felosztása és jellemzői</w:t>
            </w:r>
          </w:p>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Egy- és háromfázisú generátorok</w:t>
            </w:r>
          </w:p>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Egyenáramú generátorok és motorok</w:t>
            </w:r>
          </w:p>
          <w:p w:rsidR="004C2997" w:rsidRDefault="004C2997">
            <w:pPr>
              <w:autoSpaceDE w:val="0"/>
              <w:autoSpaceDN w:val="0"/>
              <w:adjustRightInd w:val="0"/>
              <w:spacing w:after="0" w:line="240" w:lineRule="auto"/>
              <w:ind w:left="227"/>
              <w:rPr>
                <w:rFonts w:ascii="Times New Roman" w:hAnsi="Times New Roman" w:cs="Times New Roman"/>
                <w:sz w:val="20"/>
                <w:szCs w:val="20"/>
              </w:rPr>
            </w:pPr>
            <w:r>
              <w:rPr>
                <w:rFonts w:ascii="Times New Roman" w:hAnsi="Times New Roman" w:cs="Times New Roman"/>
                <w:sz w:val="20"/>
                <w:szCs w:val="20"/>
              </w:rPr>
              <w:t>Váltakozó áramú motorok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Csoportosítsa a villamos gépeket és ismertesse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egy- és háromfázisú váltakozóáramú-, valamint az egyenáramú generátorok és motorok felépítését, működését.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villamos gépek legfontosabb jellemzőit és gyakorlati alkalmazásait.</w:t>
            </w:r>
          </w:p>
        </w:tc>
      </w:tr>
      <w:tr w:rsidR="004C2997">
        <w:tblPrEx>
          <w:tblCellMar>
            <w:top w:w="0" w:type="dxa"/>
            <w:bottom w:w="0" w:type="dxa"/>
          </w:tblCellMar>
        </w:tblPrEx>
        <w:trPr>
          <w:cantSplit/>
        </w:trPr>
        <w:tc>
          <w:tcPr>
            <w:tcW w:w="14528" w:type="dxa"/>
            <w:gridSpan w:val="3"/>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10. Passzív elektronikai áramkörök</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kétpólusok felosztása és jellemzői</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kétpólusok jellemzőit (Z, Y)</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Jellemezze grafikusan a kétpólusok egyes csoportjait.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négypólusok felosztása és jellemzői</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Csoportosítsa a négypólusokat.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négypólusok jellemzőit paraméteres egyenleteik alapján (Z, Y).</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Számítsa ki a négypólus csillapítását, értelmezze a szint fogalmát.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Határozza meg egyszerűbb négypólusok Z-, Y- és H-paraméteres egyenletrendszereit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Szűrő áramkörök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Csoportosítsa a szűrőket frekvenciaátvitel szerint.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Méretezzen egyszerű szűrőáramköröket.</w:t>
            </w:r>
          </w:p>
        </w:tc>
      </w:tr>
      <w:tr w:rsidR="004C2997">
        <w:tblPrEx>
          <w:tblCellMar>
            <w:top w:w="0" w:type="dxa"/>
            <w:bottom w:w="0" w:type="dxa"/>
          </w:tblCellMar>
        </w:tblPrEx>
        <w:trPr>
          <w:cantSplit/>
        </w:trPr>
        <w:tc>
          <w:tcPr>
            <w:tcW w:w="14528" w:type="dxa"/>
            <w:gridSpan w:val="3"/>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11. Félvezető áramköri elemek</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Félvezető diódák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félvezető fizika alapjait.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Értelmezze a félvezető dióda felépítését, működését és </w:t>
            </w:r>
            <w:r>
              <w:rPr>
                <w:rFonts w:ascii="Times New Roman" w:hAnsi="Times New Roman" w:cs="Times New Roman"/>
                <w:sz w:val="20"/>
                <w:szCs w:val="20"/>
              </w:rPr>
              <w:lastRenderedPageBreak/>
              <w:t>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Rajzolja fel karakterisztikáját és jelképét.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félvezető dióda működését egyenirányító kapcsolásokban.</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Fejtse ki részletesen a félvezetők működésének elektrofizikai és elektrokémiai vonatkozásait.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Értelmezze az egyenáramú és a differenciális ellenállást.</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Méretezze a puffer- és a szűrőkondenzátort.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szűrés jóságát.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lastRenderedPageBreak/>
              <w:t>Speciális diódák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Zener-, a varicap-, az alagút-, a Schottky-, a tűs- és a LED-dióda felépítését, gyakorlati alkalmazási lehetőségeit.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Bipoláris tranzisztorok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bipoláris tranzisztor felépítését, működését, feszültség-, áramviszonyait és a tranzisztorhatást.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bipoláris tranzisztor jellemzőit.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Elemezze a jelleggörbék, a paraméterek és a helyettesítő képek közötti kapcsolatrendszert.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Rajzolja fel a tranzisztor h-paraméteres helyettesítő képét.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Unipoláris tranzisztorok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az unipoláris tranzisztorok felépítését, működését, feszültség- és áramviszonyait.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az unipoláris tranzisztorok jellemzőit.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Elemezze a jelleggörbék, a paraméterek és a helyettesítő képek közötti kapcsolatrendszert.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bipoláris és az unipoláris tranzisztorok felépítése, működése és alkalmazása közötti különbözőségeket, emelje ki a térvezérlés szerepét.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Egyéb félvezetők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négyrétegű dióda, a tirisztor, a diac, a triac, az UJT és a lézerdióda felépítését, működését, karakterisztikáját és gyakorlati alkalmazásait.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Rajzolja fel jelképi jelöléseiket.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diódák, a tranzisztorok és az egyéb félvezetők katalógusadatait.</w:t>
            </w:r>
          </w:p>
        </w:tc>
      </w:tr>
      <w:tr w:rsidR="004C2997">
        <w:tblPrEx>
          <w:tblCellMar>
            <w:top w:w="0" w:type="dxa"/>
            <w:bottom w:w="0" w:type="dxa"/>
          </w:tblCellMar>
        </w:tblPrEx>
        <w:trPr>
          <w:cantSplit/>
        </w:trPr>
        <w:tc>
          <w:tcPr>
            <w:tcW w:w="14528" w:type="dxa"/>
            <w:gridSpan w:val="3"/>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12. Tranzisztoros alapáramkörök</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Munkapont beállítás, alapfogalmak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munkapont, a munkaegyenes szerepét, és mutassa be a munkapont beállítására szolgáló kapcsolásokat.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Tranzisztoros alapkapcsolások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Rajzolja fel a bipoláris és unipoláris tranzisztoros alapkapcsolásokat,  és magyarázza el működésüket.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Számítsa ki a közös emitteres és a közös source-ú  erősítő váltakozóáramú jellemzőit.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Rajzolja fel a bipoláris tranzisztoros alapkapcsolásokat, h-paraméteres helyettesítő képeiket, és magyarázza el működésüket.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Többfokozatú erősítők, csatolások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többfokozatú erősítők csatolási lehetőségeit, azok alkalmazási korlátait.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többfokozatú erősítők váltakozó áramú jellemzőit.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Rajzolja fel a többfokozatú erősítők helyettesítő képeit, számítsa ki váltakozó áramú jellemzőit.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Visszacsatolások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lehetséges visszacsatolásokat, és ismertesse azok váltakozó áramú jellemzőkre gyakorolt hatásait.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Mutasson példát a visszacsatolás alkalmazására a munkapont stabilizálásában.</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Rajzolja fel egy jellemző visszacsatolású egyszerű erősítő helyettesítő képét, és számítsa ki váltakozó áramú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Azonosítsa az alapkapcsolások visszacsatolásait.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Frekvenciafüggés, határfrekvenciák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az erősítők frekvenciafüggését.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Definiálja az erősítők határfrekvenciáit.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Elemezze az erősítők frekvenciafüggésének okait, a </w:t>
            </w:r>
            <w:r>
              <w:rPr>
                <w:rFonts w:ascii="Times New Roman" w:hAnsi="Times New Roman" w:cs="Times New Roman"/>
                <w:sz w:val="20"/>
                <w:szCs w:val="20"/>
              </w:rPr>
              <w:lastRenderedPageBreak/>
              <w:t>határfrekvenciák módosításának céljait és lehetőségeit.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lastRenderedPageBreak/>
              <w:t>Zajok és torzítások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zajok és torzítások okait, fajtáit és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zajok és torzítások csökkentésének lehetőségeit.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torzítási tényezőket.</w:t>
            </w:r>
          </w:p>
        </w:tc>
      </w:tr>
      <w:tr w:rsidR="004C2997">
        <w:tblPrEx>
          <w:tblCellMar>
            <w:top w:w="0" w:type="dxa"/>
            <w:bottom w:w="0" w:type="dxa"/>
          </w:tblCellMar>
        </w:tblPrEx>
        <w:trPr>
          <w:cantSplit/>
        </w:trPr>
        <w:tc>
          <w:tcPr>
            <w:tcW w:w="14528" w:type="dxa"/>
            <w:gridSpan w:val="3"/>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13. Alapáramkörök alkalmazásai</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A szélessávú és a hangolt erősítők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szélessávú és a hangolt erősítők működését és jellemzőit, mutassa be gyakorlati alkalmazási lehetőségeit.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Számítsa ki a hangolt erősítő váltakozó áramú jellemzőit.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Nagyjelű erősítők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kivezérelhetőség, a hatásfok és a nagyjelű erősítés fogalmát, erősítők gyakorlati alkalmazási lehetőségeit.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nagyjelű erősítők fajtáit és munkapont-beállítási lehetőségeiket.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fel a korszerű teljesítményerősítő kapcsolásokat.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egyes erősítőosztályok hatásfokát meghatározó tényezőket.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Oszcillátorok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berezgés feltételeit.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Csoportosítsa az oszcillátorokat.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egy tipikus kis- és nagyfrekvenciás oszcillátor működését.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az oszcillátorok gyakorlati alkalmazási lehetőségeit.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Stabilizátorok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stabilizátor kapcsolások működését, jellemzőit, és ismertesse gyakorlati alkalmazási lehetőségeiket.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Méretezzen egyszerű stabilizátor kapcsolásokat.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A műveleti erősítők alapjai, alapkapcsolások, integrálás</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műveleti erősítők tömbvázlatos felépítését, jelképi jelöléseit és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Rajzolja fel a műveleti erősítős alapkapcsolásokat, értelmezze jellemzőiket.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Méretezzen műveleti erősítős alapkapcsolásokat. </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műveleti erősítők egyéb alkal mazási céljait, és mutasson be jellemző alkalmazásokat.</w:t>
            </w:r>
          </w:p>
        </w:tc>
      </w:tr>
      <w:tr w:rsidR="004C2997">
        <w:tblPrEx>
          <w:tblCellMar>
            <w:top w:w="0" w:type="dxa"/>
            <w:bottom w:w="0" w:type="dxa"/>
          </w:tblCellMar>
        </w:tblPrEx>
        <w:trPr>
          <w:cantSplit/>
        </w:trPr>
        <w:tc>
          <w:tcPr>
            <w:tcW w:w="14528" w:type="dxa"/>
            <w:gridSpan w:val="3"/>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14. Impulzustechnikai alapáramkörök</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Az impulzus fogalma és fajtái, az impulzusformák jellemzői</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az impulzus fogalmát,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Rajzolja fel a legfontosabb impulzus fajtákat.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Értelmezze a négyszögjelekhez is alkalmazható Fourier-elvet. </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Passzív jelformálás: differenciáló, integráló és vágó áramkörök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passzív jelformáló áramköröket.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Magyarázza el a differenciáló-, az integráló- és a vágó áramkörök működését.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passzív jelformálók gyakorlati alkalmazási területeit.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differenciálást és az integrálást meghatározó időviszonyokat.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Impulzusok előállítási módjai: a félvezetőelemek kapcsoló üzemmódja, multivibrátorok, aktív jelformálók. Schmitt-trigger áramkör</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félvezető elemek és a műveleti erősítő kapcsoló üzemmódját.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időzítő áramkör működését.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Méretezzen egy műveleti erősítővel felépített astabil multivibrátort.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Méretezzen időzítő áramkörrel megvalósított kapcsolást.</w:t>
            </w:r>
          </w:p>
        </w:tc>
      </w:tr>
      <w:tr w:rsidR="004C2997">
        <w:tblPrEx>
          <w:tblCellMar>
            <w:top w:w="0" w:type="dxa"/>
            <w:bottom w:w="0" w:type="dxa"/>
          </w:tblCellMar>
        </w:tblPrEx>
        <w:trPr>
          <w:cantSplit/>
        </w:trPr>
        <w:tc>
          <w:tcPr>
            <w:tcW w:w="14528" w:type="dxa"/>
            <w:gridSpan w:val="3"/>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15. Digitális alapáramkörök</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Logikai alapfogalmak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Definiálja a digitális jelek fogalmát és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Ismertesse a kettes és a tizenhatos számrendszer jellemzőit és az átszámítási algoritmusokat.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leggyakrabban alkalmazott numerikus és az alfanumerikus kódokat.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logikai függvények leírási módjait.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logikai algebra alaptörvényeit és alaptételeit, az algebrai és a grafikus egyszerűsítés szabályait.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Ismertesse a hibafelderítő kódokat és a hibajavítás elvét.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Mutassa be a minterm- és a maxtermtáblák felépítésének elvét.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lastRenderedPageBreak/>
              <w:t>Logikai alapáramkörök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Realizáljon egyszerűsített logikai függvényeket.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tárolók alaptípusait, írja fel vezérlési táblázatukat.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egy egyszerű feladaton keresztül a szinkron szekvenciális hálózatok megvalósításának módszerét.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funkcionális áramkörök (multiplexer, demultiplexer, számláló, összeadó, regiszter) működését,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az A/D és D/A átalakítás szükségességét, megvalósításának lehetőségét.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Magyarázza el egy NAND kapu működését a belső kapcsolási rajz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Magyarázza el a mester-szolga és az élvezérelt tárolók működését.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Magyarázza el a funkcionális áramkörök (multiplexer, demultiplexer, számláló, összeadó, regiszter) felépítését, működését, ismertesse jellemzőiket.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az A/D és D/A átalakítás fogalmát, szükségességét, magyarázza el a működésüket.</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16. Információátvitel, modulációs eljárások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Információátvitel</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információ fogalmát.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az információ átvitelének lehetséges módjait.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átviteli közegek jellemző tulajdonságait.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Ismertesse az optikai átvitel jellemzőit. </w:t>
            </w:r>
          </w:p>
        </w:tc>
      </w:tr>
      <w:tr w:rsidR="004C2997">
        <w:tblPrEx>
          <w:tblCellMar>
            <w:top w:w="0" w:type="dxa"/>
            <w:bottom w:w="0" w:type="dxa"/>
          </w:tblCellMar>
        </w:tblPrEx>
        <w:tc>
          <w:tcPr>
            <w:tcW w:w="4714" w:type="dxa"/>
          </w:tcPr>
          <w:p w:rsidR="004C2997" w:rsidRDefault="004C2997">
            <w:pPr>
              <w:autoSpaceDE w:val="0"/>
              <w:autoSpaceDN w:val="0"/>
              <w:adjustRightInd w:val="0"/>
              <w:spacing w:after="0" w:line="240" w:lineRule="auto"/>
              <w:ind w:left="312"/>
              <w:rPr>
                <w:rFonts w:ascii="Times New Roman" w:hAnsi="Times New Roman" w:cs="Times New Roman"/>
                <w:sz w:val="20"/>
                <w:szCs w:val="20"/>
              </w:rPr>
            </w:pPr>
            <w:r>
              <w:rPr>
                <w:rFonts w:ascii="Times New Roman" w:hAnsi="Times New Roman" w:cs="Times New Roman"/>
                <w:sz w:val="20"/>
                <w:szCs w:val="20"/>
              </w:rPr>
              <w:t>Modulációs eljárások</w:t>
            </w:r>
          </w:p>
        </w:tc>
        <w:tc>
          <w:tcPr>
            <w:tcW w:w="4995"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az analóg modulációs és demodulációs eljárásokat, azok alkalmazási lehetőségeit.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idő és frekvencia multiplex rendszerek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leggyakrabban alkalmazott kódmodulációs eljárásokat és jellemzőiket.</w:t>
            </w:r>
          </w:p>
        </w:tc>
        <w:tc>
          <w:tcPr>
            <w:tcW w:w="481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Magyarázza el a modulációs eljárások szükségességét.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az idő és frekvenciaosztásos átviteli rendszer jellemzőit.</w:t>
            </w:r>
          </w:p>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sectPr w:rsidR="004C2997">
          <w:type w:val="nextColumn"/>
          <w:pgSz w:w="16838" w:h="11906" w:orient="landscape"/>
          <w:pgMar w:top="1418" w:right="1701" w:bottom="1418" w:left="1134" w:header="708" w:footer="708" w:gutter="0"/>
          <w:cols w:space="708"/>
          <w:noEndnote/>
        </w:sect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INFORMATIKAI ALAPISMERETEK</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ind w:firstLine="431"/>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431"/>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Az informatikai alapismeretek érettségi vizsga célja:</w:t>
      </w:r>
    </w:p>
    <w:p w:rsidR="004C2997" w:rsidRDefault="004C2997" w:rsidP="004C2997">
      <w:pPr>
        <w:autoSpaceDE w:val="0"/>
        <w:autoSpaceDN w:val="0"/>
        <w:adjustRightInd w:val="0"/>
        <w:spacing w:after="0" w:line="240" w:lineRule="auto"/>
        <w:ind w:firstLine="431"/>
        <w:rPr>
          <w:rFonts w:ascii="Times New Roman" w:hAnsi="Times New Roman" w:cs="Times New Roman"/>
          <w:sz w:val="20"/>
          <w:szCs w:val="20"/>
        </w:rPr>
      </w:pPr>
      <w:r>
        <w:rPr>
          <w:rFonts w:ascii="Times New Roman" w:hAnsi="Times New Roman" w:cs="Times New Roman"/>
          <w:sz w:val="20"/>
          <w:szCs w:val="20"/>
        </w:rPr>
        <w:t xml:space="preserve">Az informatikai alapismeretek szakmai alapozó vizsgatárgy vizsgakövetelménye az informatika szakmacsoportban oktató szakközépiskolák számára készült. </w:t>
      </w:r>
    </w:p>
    <w:p w:rsidR="004C2997" w:rsidRDefault="004C2997" w:rsidP="004C2997">
      <w:pPr>
        <w:autoSpaceDE w:val="0"/>
        <w:autoSpaceDN w:val="0"/>
        <w:adjustRightInd w:val="0"/>
        <w:spacing w:after="0" w:line="240" w:lineRule="auto"/>
        <w:ind w:firstLine="431"/>
        <w:rPr>
          <w:rFonts w:ascii="Times New Roman" w:hAnsi="Times New Roman" w:cs="Times New Roman"/>
          <w:sz w:val="20"/>
          <w:szCs w:val="20"/>
        </w:rPr>
      </w:pPr>
      <w:r>
        <w:rPr>
          <w:rFonts w:ascii="Times New Roman" w:hAnsi="Times New Roman" w:cs="Times New Roman"/>
          <w:sz w:val="20"/>
          <w:szCs w:val="20"/>
        </w:rPr>
        <w:t>A komplex vizsgaforma igazodik a vizsgatárgy gyakorlati hasznosításának jellegéhez: a számítógép előtt elvégzendő vizsgatevékenység interaktivitást feltételező feladatokon keresztül kéri számon az elméleti, és a gyakorlati ismereteket, a szóbeli vizsga pedig az elméleti ismereteket.</w:t>
      </w:r>
    </w:p>
    <w:p w:rsidR="004C2997" w:rsidRDefault="004C2997" w:rsidP="004C2997">
      <w:pPr>
        <w:autoSpaceDE w:val="0"/>
        <w:autoSpaceDN w:val="0"/>
        <w:adjustRightInd w:val="0"/>
        <w:spacing w:after="0" w:line="240" w:lineRule="auto"/>
        <w:ind w:firstLine="431"/>
        <w:rPr>
          <w:rFonts w:ascii="Times New Roman" w:hAnsi="Times New Roman" w:cs="Times New Roman"/>
          <w:sz w:val="20"/>
          <w:szCs w:val="20"/>
        </w:rPr>
      </w:pPr>
      <w:r>
        <w:rPr>
          <w:rFonts w:ascii="Times New Roman" w:hAnsi="Times New Roman" w:cs="Times New Roman"/>
          <w:sz w:val="20"/>
          <w:szCs w:val="20"/>
        </w:rPr>
        <w:t xml:space="preserve">Az informatikai alapismeretek összetett vizsgatárgy, követelményei figyelembe veszik a szakmacsoport két alapvető szakmaterületének, a hardveres és a szoftveres területek eltéréseit és sajátosságait. </w:t>
      </w:r>
    </w:p>
    <w:p w:rsidR="004C2997" w:rsidRDefault="004C2997" w:rsidP="004C2997">
      <w:pPr>
        <w:autoSpaceDE w:val="0"/>
        <w:autoSpaceDN w:val="0"/>
        <w:adjustRightInd w:val="0"/>
        <w:spacing w:after="0" w:line="240" w:lineRule="auto"/>
        <w:ind w:firstLine="431"/>
        <w:rPr>
          <w:rFonts w:ascii="Times New Roman" w:hAnsi="Times New Roman" w:cs="Times New Roman"/>
          <w:sz w:val="20"/>
          <w:szCs w:val="20"/>
        </w:rPr>
      </w:pPr>
      <w:r>
        <w:rPr>
          <w:rFonts w:ascii="Times New Roman" w:hAnsi="Times New Roman" w:cs="Times New Roman"/>
          <w:sz w:val="20"/>
          <w:szCs w:val="20"/>
        </w:rPr>
        <w:t>A középszintű vizsgakövetelmények figyelembe veszik a szakmai előkészítő érettséginek azt a funkcióját, hogy a vizsgával a szakmai alapozás központi elvek szerint megvalósuló lezárása megtörténjék, így elősegítse a vizsgázóknak az informatikai szakterületen belül a szakma kiválasztását, és előkészítse bekapcsolódásukat a szakmai képzésbe. Középszinten a vizsga célja, hogy a vizsgázó adjon számot a szakmacsoportos alapozó oktatás során szerzett ismereteinek tartalmáról és mértékéről.</w:t>
      </w:r>
    </w:p>
    <w:p w:rsidR="004C2997" w:rsidRDefault="004C2997" w:rsidP="004C2997">
      <w:pPr>
        <w:autoSpaceDE w:val="0"/>
        <w:autoSpaceDN w:val="0"/>
        <w:adjustRightInd w:val="0"/>
        <w:spacing w:after="0" w:line="240" w:lineRule="auto"/>
        <w:ind w:firstLine="431"/>
        <w:rPr>
          <w:rFonts w:ascii="Times New Roman" w:hAnsi="Times New Roman" w:cs="Times New Roman"/>
          <w:sz w:val="20"/>
          <w:szCs w:val="20"/>
        </w:rPr>
      </w:pPr>
      <w:r>
        <w:rPr>
          <w:rFonts w:ascii="Times New Roman" w:hAnsi="Times New Roman" w:cs="Times New Roman"/>
          <w:sz w:val="20"/>
          <w:szCs w:val="20"/>
        </w:rPr>
        <w:t>Az emelt szintű követelmények tartalmazzák a középszintű követelményeket is. Középszinten alapvetően az ismeret és a megértés szintje a jellemző, emelt szinten előtérbe kerül az alkalmazási és integrálási képesség is.</w:t>
      </w:r>
    </w:p>
    <w:p w:rsidR="004C2997" w:rsidRDefault="004C2997" w:rsidP="004C2997">
      <w:pPr>
        <w:autoSpaceDE w:val="0"/>
        <w:autoSpaceDN w:val="0"/>
        <w:adjustRightInd w:val="0"/>
        <w:spacing w:after="0" w:line="240" w:lineRule="auto"/>
        <w:ind w:firstLine="431"/>
        <w:rPr>
          <w:rFonts w:ascii="Times New Roman" w:hAnsi="Times New Roman" w:cs="Times New Roman"/>
          <w:sz w:val="20"/>
          <w:szCs w:val="20"/>
        </w:rPr>
      </w:pPr>
      <w:r>
        <w:rPr>
          <w:rFonts w:ascii="Times New Roman" w:hAnsi="Times New Roman" w:cs="Times New Roman"/>
          <w:sz w:val="20"/>
          <w:szCs w:val="20"/>
        </w:rPr>
        <w:t>Az emelt szintű vizsgakövetelmények figyelembe veszik a szakmai előkészítő érettségi azon célját is, hogy segítse a szakirány szerinti felsőfokú szakképző intézményekben történő továbbtanulást. Ezen túlmenően figyelembe veszi azt is, hogy bizonyos szakterületekhez – az adott intézmény pedagógiai programjában rögzített előírásokkal összhangban – szükségessé válhat az emelt szintű vizsga letétele.</w:t>
      </w:r>
    </w:p>
    <w:p w:rsidR="004C2997" w:rsidRDefault="004C2997" w:rsidP="004C2997">
      <w:pPr>
        <w:autoSpaceDE w:val="0"/>
        <w:autoSpaceDN w:val="0"/>
        <w:adjustRightInd w:val="0"/>
        <w:spacing w:after="120" w:line="240" w:lineRule="auto"/>
        <w:ind w:firstLine="431"/>
        <w:rPr>
          <w:rFonts w:ascii="Times New Roman" w:hAnsi="Times New Roman" w:cs="Times New Roman"/>
          <w:sz w:val="20"/>
          <w:szCs w:val="20"/>
        </w:rPr>
      </w:pPr>
      <w:r>
        <w:rPr>
          <w:rFonts w:ascii="Times New Roman" w:hAnsi="Times New Roman" w:cs="Times New Roman"/>
          <w:sz w:val="20"/>
          <w:szCs w:val="20"/>
        </w:rPr>
        <w:t>Az ismeretek és készségek legnagyobb része közép- és emelt szinten egyaránt megjelenik. A középszintű célok elsősorban az egyszerűbb ismeretszerzési eljárásokat, kifejező készséget, a rendszerezés és az alkalmazás legalapvetőbb formáit várja el, míg emelt szinten az igényesebb felépítés, az alkalmazás és integrálás összetettsége, a feladatok nehézségi fokának erősödése a jellemző.</w:t>
      </w:r>
    </w:p>
    <w:p w:rsidR="004C2997" w:rsidRDefault="004C2997" w:rsidP="004C2997">
      <w:pPr>
        <w:autoSpaceDE w:val="0"/>
        <w:autoSpaceDN w:val="0"/>
        <w:adjustRightInd w:val="0"/>
        <w:spacing w:after="0" w:line="240" w:lineRule="auto"/>
        <w:ind w:firstLine="431"/>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431"/>
        <w:rPr>
          <w:rFonts w:ascii="Times New Roman" w:hAnsi="Times New Roman" w:cs="Times New Roman"/>
          <w:sz w:val="20"/>
          <w:szCs w:val="20"/>
        </w:rPr>
      </w:pPr>
      <w:r>
        <w:rPr>
          <w:rFonts w:ascii="Times New Roman" w:hAnsi="Times New Roman" w:cs="Times New Roman"/>
          <w:sz w:val="20"/>
          <w:szCs w:val="20"/>
        </w:rPr>
        <w:t>A középszintű vizsga célja annak megállapítása, hogy a vizsgázó:</w:t>
      </w:r>
    </w:p>
    <w:p w:rsidR="004C2997" w:rsidRDefault="004C2997" w:rsidP="004C2997">
      <w:pPr>
        <w:autoSpaceDE w:val="0"/>
        <w:autoSpaceDN w:val="0"/>
        <w:adjustRightInd w:val="0"/>
        <w:spacing w:after="0" w:line="240" w:lineRule="auto"/>
        <w:ind w:firstLine="431"/>
        <w:rPr>
          <w:rFonts w:ascii="Times New Roman" w:hAnsi="Times New Roman" w:cs="Times New Roman"/>
          <w:sz w:val="20"/>
          <w:szCs w:val="20"/>
        </w:rPr>
      </w:pP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helyi hálózatba (LAN) felhasználóként belépni,</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a hálózat erőforrásait – jogosultságának megfelelően – használni. (Belépés, jelszó változtatás, programindítás, adatmentés, felhasználói környezet létrehozása, illetve módosítása),</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az informatikai hálózatok kialakításához, használatához szükséges fogalmakat, eszközök, módszerek, eljárások alapjait,</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[Topológia, protokollok, fizikai közegek, csatlakozók, lezárók, hálózatok kialakítására szolgáló aktív eszközök {jelismétlő (repeater), többportos jelismétlő (multiport repeater – hub), híd (bridge), kapcsoló (switch), útválasztó (router)} ISO/OSI-modell, TCP/IP.]</w:t>
      </w:r>
    </w:p>
    <w:p w:rsidR="004C2997" w:rsidRDefault="004C2997" w:rsidP="004C2997">
      <w:pPr>
        <w:tabs>
          <w:tab w:val="left" w:pos="139"/>
          <w:tab w:val="left" w:pos="357"/>
          <w:tab w:val="left" w:pos="720"/>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az algoritmikus gondolkodásra, tudja-e alkalmazni az algoritmus-leíró eszközöket,</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legfontosabb programozási tételeket,</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egy fejlesztői környezetben egyszerű programot készíteni, abban hibát keresni, tesztelést végezni,</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a gyakorlatban használni egy adatbáziskezelő programot,</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egy létező adatbázisból meghatározott feltételek szerint adatokat kinyerni és előírt formátumban megjeleníteni,</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dokumentumok és a táblázatok használatára,</w:t>
      </w:r>
    </w:p>
    <w:p w:rsidR="004C2997" w:rsidRDefault="004C2997" w:rsidP="004C2997">
      <w:pPr>
        <w:tabs>
          <w:tab w:val="left" w:pos="139"/>
          <w:tab w:val="left" w:pos="357"/>
          <w:tab w:val="left" w:pos="720"/>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szövegszerkesztő és táblázatkezelő programok kimeneteként HTML formátumú dokumentumokat előállítani,</w:t>
      </w:r>
    </w:p>
    <w:p w:rsidR="004C2997" w:rsidRDefault="004C2997" w:rsidP="004C2997">
      <w:pPr>
        <w:tabs>
          <w:tab w:val="left" w:pos="139"/>
          <w:tab w:val="left" w:pos="357"/>
          <w:tab w:val="left" w:pos="720"/>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adott témában prezentációt készíteni,</w:t>
      </w:r>
    </w:p>
    <w:p w:rsidR="004C2997" w:rsidRDefault="004C2997" w:rsidP="004C2997">
      <w:pPr>
        <w:tabs>
          <w:tab w:val="left" w:pos="139"/>
          <w:tab w:val="left" w:pos="357"/>
          <w:tab w:val="left" w:pos="720"/>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térinformatika alapjait,</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valamely algoritmus-leíró eszközzel egy egyszerű feladatot algoritmizálni,</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egy elemi feladatot a megfogalmazásától a kész program átadásáig önállóan megvalósítani,</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relációs adatbázis kialakításának főbb szempontjait,</w:t>
      </w:r>
    </w:p>
    <w:p w:rsidR="004C2997" w:rsidRDefault="004C2997" w:rsidP="004C2997">
      <w:pPr>
        <w:tabs>
          <w:tab w:val="left" w:pos="139"/>
          <w:tab w:val="left" w:pos="357"/>
          <w:tab w:val="left" w:pos="720"/>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az SQL nyelv alapelemeit, tud-e egyszerű lekérdezéseket létrehozni,</w:t>
      </w:r>
    </w:p>
    <w:p w:rsidR="004C2997" w:rsidRDefault="004C2997" w:rsidP="004C2997">
      <w:pPr>
        <w:tabs>
          <w:tab w:val="left" w:pos="139"/>
          <w:tab w:val="left" w:pos="357"/>
          <w:tab w:val="left" w:pos="720"/>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villamos alapfogalmakat,</w:t>
      </w:r>
    </w:p>
    <w:p w:rsidR="004C2997" w:rsidRDefault="004C2997" w:rsidP="004C2997">
      <w:pPr>
        <w:tabs>
          <w:tab w:val="left" w:pos="139"/>
          <w:tab w:val="left" w:pos="357"/>
          <w:tab w:val="left" w:pos="720"/>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alkalmazni az egyen- és váltakozóáramú elektrotechnikai ismereteit,</w:t>
      </w:r>
    </w:p>
    <w:p w:rsidR="004C2997" w:rsidRDefault="004C2997" w:rsidP="004C2997">
      <w:pPr>
        <w:tabs>
          <w:tab w:val="left" w:pos="139"/>
          <w:tab w:val="left" w:pos="357"/>
          <w:tab w:val="left" w:pos="720"/>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az analóg elektronika hardveres területen alkalmazott alapáramköreit és eszközeit,</w:t>
      </w:r>
    </w:p>
    <w:p w:rsidR="004C2997" w:rsidRDefault="004C2997" w:rsidP="004C2997">
      <w:pPr>
        <w:tabs>
          <w:tab w:val="left" w:pos="139"/>
          <w:tab w:val="left" w:pos="357"/>
          <w:tab w:val="left" w:pos="720"/>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digitális technika alapfogalmait és alapáramköreinek működését, alkalmazási területüket.</w:t>
      </w:r>
    </w:p>
    <w:p w:rsidR="004C2997" w:rsidRDefault="004C2997" w:rsidP="004C2997">
      <w:pPr>
        <w:autoSpaceDE w:val="0"/>
        <w:autoSpaceDN w:val="0"/>
        <w:adjustRightInd w:val="0"/>
        <w:spacing w:after="0" w:line="240" w:lineRule="auto"/>
        <w:ind w:left="431"/>
        <w:rPr>
          <w:rFonts w:ascii="Times New Roman" w:hAnsi="Times New Roman" w:cs="Times New Roman"/>
          <w:sz w:val="20"/>
          <w:szCs w:val="20"/>
        </w:rPr>
      </w:pPr>
    </w:p>
    <w:p w:rsidR="004C2997" w:rsidRDefault="004C2997" w:rsidP="004C2997">
      <w:pPr>
        <w:autoSpaceDE w:val="0"/>
        <w:autoSpaceDN w:val="0"/>
        <w:adjustRightInd w:val="0"/>
        <w:spacing w:after="120" w:line="240" w:lineRule="auto"/>
        <w:ind w:left="715" w:hanging="284"/>
        <w:rPr>
          <w:rFonts w:ascii="Times New Roman" w:hAnsi="Times New Roman" w:cs="Times New Roman"/>
          <w:sz w:val="20"/>
          <w:szCs w:val="20"/>
        </w:rPr>
      </w:pPr>
      <w:r>
        <w:rPr>
          <w:rFonts w:ascii="Times New Roman" w:hAnsi="Times New Roman" w:cs="Times New Roman"/>
          <w:sz w:val="20"/>
          <w:szCs w:val="20"/>
        </w:rPr>
        <w:t>Az emelt szintű vizsga célja annak megállapítása, hogy a vizsgázó fentiekben felsoroltakon túlmenően:</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legyen képes a dokumentumokkal és a táblázatokkal emelt szintű műveleteket végezni,</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megfelelő gyakorlottsággal használni a tanult programnyelv programfejlesztői lehetőségeit,</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valamely algoritmus-leíró eszközzel a megadott feladatot algoritmizálni,</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egy egyszerű feladatot a megfogalmazásától a kész program átadásáig önállóan megvalósítani,</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relációs adatbázisok kialakításának főbb szempontjait,</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egy szóban megfogalmazott egyszerű feladatot relációs adatbázissá konvertálni, és azt megvalósítani,</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az SQL elemeit, tud-e egyszerű lekérdezéseket létrehozni,</w:t>
      </w:r>
    </w:p>
    <w:p w:rsidR="004C2997" w:rsidRDefault="004C2997" w:rsidP="004C2997">
      <w:pPr>
        <w:tabs>
          <w:tab w:val="left" w:pos="139"/>
          <w:tab w:val="left" w:pos="357"/>
        </w:tabs>
        <w:autoSpaceDE w:val="0"/>
        <w:autoSpaceDN w:val="0"/>
        <w:adjustRightInd w:val="0"/>
        <w:spacing w:after="0" w:line="240" w:lineRule="auto"/>
        <w:ind w:left="715"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egy objektumorientált fejlesztői környezetet használni,</w:t>
      </w:r>
    </w:p>
    <w:p w:rsidR="004C2997" w:rsidRDefault="004C2997" w:rsidP="004C2997">
      <w:pPr>
        <w:tabs>
          <w:tab w:val="left" w:pos="139"/>
          <w:tab w:val="left" w:pos="360"/>
        </w:tabs>
        <w:autoSpaceDE w:val="0"/>
        <w:autoSpaceDN w:val="0"/>
        <w:adjustRightInd w:val="0"/>
        <w:spacing w:after="0" w:line="240" w:lineRule="auto"/>
        <w:ind w:left="784" w:hanging="36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áramköri számításokat végezni,</w:t>
      </w:r>
    </w:p>
    <w:p w:rsidR="004C2997" w:rsidRDefault="004C2997" w:rsidP="004C2997">
      <w:pPr>
        <w:tabs>
          <w:tab w:val="left" w:pos="139"/>
          <w:tab w:val="left" w:pos="360"/>
        </w:tabs>
        <w:autoSpaceDE w:val="0"/>
        <w:autoSpaceDN w:val="0"/>
        <w:adjustRightInd w:val="0"/>
        <w:spacing w:after="0" w:line="240" w:lineRule="auto"/>
        <w:ind w:left="784" w:hanging="36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használni a funkcionális áramköröket egyszerű alkalmazásokban.</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sectPr w:rsidR="004C2997">
          <w:pgSz w:w="11906" w:h="16838"/>
          <w:pgMar w:top="1134" w:right="1134" w:bottom="1134" w:left="1134" w:header="708" w:footer="708" w:gutter="0"/>
          <w:cols w:space="708"/>
          <w:noEndnote/>
        </w:sect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right="72"/>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20"/>
        <w:gridCol w:w="3153"/>
        <w:gridCol w:w="1620"/>
        <w:gridCol w:w="1711"/>
        <w:gridCol w:w="2789"/>
        <w:gridCol w:w="1620"/>
        <w:gridCol w:w="1651"/>
      </w:tblGrid>
      <w:tr w:rsidR="004C2997">
        <w:tblPrEx>
          <w:tblCellMar>
            <w:top w:w="0" w:type="dxa"/>
            <w:bottom w:w="0" w:type="dxa"/>
          </w:tblCellMar>
        </w:tblPrEx>
        <w:tc>
          <w:tcPr>
            <w:tcW w:w="2020" w:type="dxa"/>
            <w:shd w:val="clear" w:color="000000" w:fill="auto"/>
            <w:vAlign w:val="center"/>
          </w:tcPr>
          <w:p w:rsidR="004C2997" w:rsidRDefault="004C2997">
            <w:pPr>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6484" w:type="dxa"/>
            <w:gridSpan w:val="3"/>
            <w:shd w:val="clear"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6060" w:type="dxa"/>
            <w:gridSpan w:val="3"/>
            <w:shd w:val="clear"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2020" w:type="dxa"/>
            <w:shd w:val="clear" w:color="000000" w:fill="auto"/>
            <w:vAlign w:val="center"/>
          </w:tcPr>
          <w:p w:rsidR="004C2997" w:rsidRDefault="004C2997">
            <w:pPr>
              <w:autoSpaceDE w:val="0"/>
              <w:autoSpaceDN w:val="0"/>
              <w:adjustRightInd w:val="0"/>
              <w:spacing w:before="6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Tartalmi szint</w:t>
            </w:r>
          </w:p>
        </w:tc>
        <w:tc>
          <w:tcPr>
            <w:tcW w:w="3153" w:type="dxa"/>
            <w:shd w:val="clear"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Viselkedési szint</w:t>
            </w:r>
          </w:p>
        </w:tc>
        <w:tc>
          <w:tcPr>
            <w:tcW w:w="1620" w:type="dxa"/>
            <w:shd w:val="clear"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Feltételek</w:t>
            </w:r>
          </w:p>
        </w:tc>
        <w:tc>
          <w:tcPr>
            <w:tcW w:w="1711" w:type="dxa"/>
            <w:shd w:val="clear"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Teljesítési szint</w:t>
            </w:r>
          </w:p>
        </w:tc>
        <w:tc>
          <w:tcPr>
            <w:tcW w:w="2789" w:type="dxa"/>
            <w:shd w:val="clear"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Viselkedési szint</w:t>
            </w:r>
          </w:p>
        </w:tc>
        <w:tc>
          <w:tcPr>
            <w:tcW w:w="1620" w:type="dxa"/>
            <w:shd w:val="clear"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Feltételek</w:t>
            </w:r>
          </w:p>
        </w:tc>
        <w:tc>
          <w:tcPr>
            <w:tcW w:w="1651" w:type="dxa"/>
            <w:shd w:val="clear"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Teljesítési szint</w:t>
            </w:r>
          </w:p>
        </w:tc>
      </w:tr>
      <w:tr w:rsidR="004C2997">
        <w:tblPrEx>
          <w:tblCellMar>
            <w:top w:w="0" w:type="dxa"/>
            <w:bottom w:w="0" w:type="dxa"/>
          </w:tblCellMar>
        </w:tblPrEx>
        <w:tc>
          <w:tcPr>
            <w:tcW w:w="14564" w:type="dxa"/>
            <w:gridSpan w:val="7"/>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1. Hardver alapismeretek</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számítógépek felépítése</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Neumann-elvű számítógépek elvi felépítését és a tárolt program elvét.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Funkcionális egységek</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ismertetni az alapvető hardver elemek funkcióit.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felsorolni egy számítógép konfiguráció összeállításához szükséges eszközöket, szerszámokat, szabályokat, perifériákat. Az ismeretek birtokában a vizsgázó legyen képes meghatározni az adott alkalmazási területre megfelelő konfigurációt.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multimédiás környezet hardver (hangszóró, mikrofon, webkamera) elemeit.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rendelkezésre álló eszközök közül történő kiválasztással.</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ismertetni a nagykapacitású tárolóeszközök működése között meglevő különbségeket.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buszrendszerek előnyeinek és hátrányainak ismeretében.</w:t>
            </w: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w:t>
            </w:r>
          </w:p>
        </w:tc>
      </w:tr>
      <w:tr w:rsidR="004C2997">
        <w:tblPrEx>
          <w:tblCellMar>
            <w:top w:w="0" w:type="dxa"/>
            <w:bottom w:w="0" w:type="dxa"/>
          </w:tblCellMar>
        </w:tblPrEx>
        <w:tc>
          <w:tcPr>
            <w:tcW w:w="14564" w:type="dxa"/>
            <w:gridSpan w:val="7"/>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2. Szoftver alapismeretek</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számítógép előkészítése</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tanult operációs rendszerhez alkalmazható fájlrendszer(eke)t.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az informatikai tevékenységek dokumentálását. </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 számítógépes feladat.</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az alkalmazott fájlrendszer alkalmazásszintű jellemzőit, előnyeit, hátrányait, tudja választását megindokolni. </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 számítógépes feladatok.</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Programok telepítése</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partíciók létrehozását és formázását.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egy operációs rendszer telepítését.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installálni a szokásos felhasználói programokat.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szoftverjogokat (licence, shareware, freeware).</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 számítógépes feladat.</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egy számítógépre két  operációsrendszer telepítésének módját.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esetleg szükséges segédprogram használatával.</w:t>
            </w: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 számítógépes feladatok.</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Operációs rendszer </w:t>
            </w:r>
            <w:r>
              <w:rPr>
                <w:rFonts w:ascii="Times New Roman" w:hAnsi="Times New Roman" w:cs="Times New Roman"/>
                <w:sz w:val="20"/>
                <w:szCs w:val="20"/>
              </w:rPr>
              <w:lastRenderedPageBreak/>
              <w:t>használata</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Ismerje a zárt, és a nyílt forráskódú </w:t>
            </w:r>
            <w:r>
              <w:rPr>
                <w:rFonts w:ascii="Times New Roman" w:hAnsi="Times New Roman" w:cs="Times New Roman"/>
                <w:sz w:val="20"/>
                <w:szCs w:val="20"/>
              </w:rPr>
              <w:lastRenderedPageBreak/>
              <w:t>operációs rendszerek ismérveit, tulajdonságait, különbségeit.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tanult operációs rendszer állományait, a betöltési folyamatot, a memóriakezelést.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könyvtárszerkezetet kialakítani, másolni, törölni, átnevezni.</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Jogosultságok </w:t>
            </w:r>
            <w:r>
              <w:rPr>
                <w:rFonts w:ascii="Times New Roman" w:hAnsi="Times New Roman" w:cs="Times New Roman"/>
                <w:sz w:val="20"/>
                <w:szCs w:val="20"/>
              </w:rPr>
              <w:lastRenderedPageBreak/>
              <w:t>szerint.</w:t>
            </w: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Számítógéppel </w:t>
            </w:r>
            <w:r>
              <w:rPr>
                <w:rFonts w:ascii="Times New Roman" w:hAnsi="Times New Roman" w:cs="Times New Roman"/>
                <w:sz w:val="20"/>
                <w:szCs w:val="20"/>
              </w:rPr>
              <w:lastRenderedPageBreak/>
              <w:t>végzett interaktív gyakorlat.</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Két telepített operációs rendszer </w:t>
            </w:r>
            <w:r>
              <w:rPr>
                <w:rFonts w:ascii="Times New Roman" w:hAnsi="Times New Roman" w:cs="Times New Roman"/>
                <w:sz w:val="20"/>
                <w:szCs w:val="20"/>
              </w:rPr>
              <w:lastRenderedPageBreak/>
              <w:t>esetén legyen képes bármelyiket elindítani.</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használni </w:t>
            </w:r>
            <w:r>
              <w:rPr>
                <w:rFonts w:ascii="Times New Roman" w:hAnsi="Times New Roman" w:cs="Times New Roman"/>
                <w:sz w:val="20"/>
                <w:szCs w:val="20"/>
              </w:rPr>
              <w:lastRenderedPageBreak/>
              <w:t>kívánt programok ismeretében.</w:t>
            </w: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Számítógéppel </w:t>
            </w:r>
            <w:r>
              <w:rPr>
                <w:rFonts w:ascii="Times New Roman" w:hAnsi="Times New Roman" w:cs="Times New Roman"/>
                <w:sz w:val="20"/>
                <w:szCs w:val="20"/>
              </w:rPr>
              <w:lastRenderedPageBreak/>
              <w:t>végzett interaktív gyakorlat.</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Állományok kezelése</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és tudja alkalmazni az állománykezelő parancsokat.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állomány attribútumokat, tudja azokat megváltoztatni.</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Segédprogramok telepítése, használata</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állományok tömörítésére. Ismerje a tömörítési fajtákat.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Alkalmazzon víruskereső programot.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lemezkarbantartást; állomány töredezettség-mentesítést végezni. Legyen képes valamilyen külső tároló eszközre biztonsági másolatot készíteni.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meghatározni a lemezkarbantartás javasolt időintervallumát.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multimédiás környezet (hangszóró, mikrofon, webkamera) szoftver elemeit.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Kereskedelmi vagy szabad szoftver felhasz-nálásával.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Operációs rend-szer segédprog-ramjával.</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lemezkarbantartás szükségességének és fontosságának ismeretében.</w:t>
            </w: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Értékelje a veszteséges és a veszteség nélküli tömörítések tulajdonságait.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w:t>
            </w:r>
          </w:p>
        </w:tc>
      </w:tr>
      <w:tr w:rsidR="004C2997">
        <w:tblPrEx>
          <w:tblCellMar>
            <w:top w:w="0" w:type="dxa"/>
            <w:bottom w:w="0" w:type="dxa"/>
          </w:tblCellMar>
        </w:tblPrEx>
        <w:tc>
          <w:tcPr>
            <w:tcW w:w="14564" w:type="dxa"/>
            <w:gridSpan w:val="7"/>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3. Szövegszerkesztés</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Szövegszerkesztő program kezelése</w:t>
            </w:r>
          </w:p>
        </w:tc>
        <w:tc>
          <w:tcPr>
            <w:tcW w:w="3153"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 xml:space="preserve">Legyen képes a program használatára. </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Tudjon szöveges állományt előírt helyről beolvasni, menteni; konvertálni.</w:t>
            </w:r>
            <w:r>
              <w:rPr>
                <w:rFonts w:ascii="Times New Roman" w:hAnsi="Times New Roman" w:cs="Times New Roman"/>
                <w:sz w:val="20"/>
                <w:szCs w:val="20"/>
              </w:rPr>
              <w:br/>
              <w:t xml:space="preserve">Rutinszerűen alkalmazza a formázásokat. Tudjon a szövegbe objektumokat csatolni vagy beilleszteni. </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Tudjon tartalomjegyzéket generálni. Ismerje az ábrajegyzéket.</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lastRenderedPageBreak/>
              <w:t>Értse a csatolás és beillesztés közötti különbséget.</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Használja a helyesírás ellenőrzőt, az automatikus elválasztást.</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Tudjon élőfejet és élőlábat készíteni. Ismerje a stílus fogalmát, jelentőségét.</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Tudjon körlevelet készíteni különböző forrásból származó adatok és törzsdokumentum felhasználásával.</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Ismerjen legalább két programcsomagot az irodai alkalmazások használatához.</w:t>
            </w:r>
          </w:p>
        </w:tc>
        <w:tc>
          <w:tcPr>
            <w:tcW w:w="1620" w:type="dxa"/>
          </w:tcPr>
          <w:p w:rsidR="004C2997" w:rsidRDefault="004C2997">
            <w:pPr>
              <w:autoSpaceDE w:val="0"/>
              <w:autoSpaceDN w:val="0"/>
              <w:adjustRightInd w:val="0"/>
              <w:spacing w:after="0" w:line="220" w:lineRule="exact"/>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c>
          <w:tcPr>
            <w:tcW w:w="2789"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Tudjon saját stílust definiálni.</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A tanult program lehetőségeit használva a körlevél adatbázisá-ból legyen képes különböző méretű borítékokra és szabványos címkékre nyomtatni.</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Tudjon űrlapot készíteni.</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Alkalmazzon képfeldolgozó programot a szövegbe illesztendő képek módosításához.</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lastRenderedPageBreak/>
              <w:t>Alkalmazza az elemi ábrák rajzolási funkcióit.</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Legyen képes különböző forrásokból származó objektumok csatolására és beillesztésére.</w:t>
            </w:r>
          </w:p>
        </w:tc>
        <w:tc>
          <w:tcPr>
            <w:tcW w:w="1620" w:type="dxa"/>
          </w:tcPr>
          <w:p w:rsidR="004C2997" w:rsidRDefault="004C2997">
            <w:pPr>
              <w:autoSpaceDE w:val="0"/>
              <w:autoSpaceDN w:val="0"/>
              <w:adjustRightInd w:val="0"/>
              <w:spacing w:after="0" w:line="220" w:lineRule="exact"/>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Grafikus információk kezelése</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valamely képfájl tartalmának módosítási lehetőségeit.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Weblapok kezelése</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weblap készítés alapjait. Ismerje egy grafikus Webszerkesztő használatát.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HTML leíró nyelv alapelemeit.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Szövegszerkesztő és célprogram.</w:t>
            </w: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szövegszerkesztővel és egy grafikus Webszerkesztővel egyszerű weblapot szerkeszteni, készíteni.</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r>
      <w:tr w:rsidR="004C2997">
        <w:tblPrEx>
          <w:tblCellMar>
            <w:top w:w="0" w:type="dxa"/>
            <w:bottom w:w="0" w:type="dxa"/>
          </w:tblCellMar>
        </w:tblPrEx>
        <w:tc>
          <w:tcPr>
            <w:tcW w:w="14564" w:type="dxa"/>
            <w:gridSpan w:val="7"/>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4. Táblázatkezelés</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Táblázatkezelő program kezelése</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Legyen képes a program használatára.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Legyen képes a munkakörnyezet megfelelő beállítására.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különböző adattípusokat.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Legyen képes egyszerű gyakorlati feladatok kapcsán konstansokkal, hivatkozásokkal, függvényekkel dolgozni.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szűrők használatát. Az elkészült táblázatokon tudjon formázási előírásokat megvalósítani. Legyen képes diagramok készítésére. Az elkészült táblázatokat, diagramokat tudja kinyomtatni.</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bonyolultabb (egymásba ágyazott, több paraméteres, különböző kategóriájú) függvényekkel is dolgozni.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r>
      <w:tr w:rsidR="004C2997">
        <w:tblPrEx>
          <w:tblCellMar>
            <w:top w:w="0" w:type="dxa"/>
            <w:bottom w:w="0" w:type="dxa"/>
          </w:tblCellMar>
        </w:tblPrEx>
        <w:tc>
          <w:tcPr>
            <w:tcW w:w="14564" w:type="dxa"/>
            <w:gridSpan w:val="7"/>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5. Prezentáció és multimédia</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Prezentációkészítő program kezelése</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egy adott témát bemutató diasorozat elkészítésére.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prezentáció készítés alapfogalmait (a kevesebb több -, a kontraszt-, a struktúra-, és az egységesség szabály)</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sablon, a tervezősablon, a színséma, az egyéni háttér fogalmát és alkalmazását.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diamozgatást, a szövegekkel, a képekkel és más objektumokkal való műveleteket.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animációkat, és különböző effektusokat létrehozni.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hiperhivatkozásokat kezelni.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kiválasztani a helyes vetítési formát (pl. időzítés), valamint a nyomtatást.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Kereskedelmi vagy szabad szoftver felhasználásával.</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Használjon akciógombokat.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akciógombokkal vezérelt bemutatót készíteni.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időzítés jelentőségét, alkalmazásának szerepét.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Multimédia </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egy egyszerű hangrögzítő és rajzkészítő szoftver használatát.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szokványos hang- és képformátumokat, a közöttük lévő konvertálási lehetőségeket.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 és számítógéppel végzett interaktív gyakorlat.</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konvertálásokat végezni az egyes formátumok között.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az adott feladathoz kiválasztani a megfelelő hang- és képformátumot.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 és számítógéppel végzett interaktív gyakorlat.</w:t>
            </w:r>
          </w:p>
        </w:tc>
      </w:tr>
      <w:tr w:rsidR="004C2997">
        <w:tblPrEx>
          <w:tblCellMar>
            <w:top w:w="0" w:type="dxa"/>
            <w:bottom w:w="0" w:type="dxa"/>
          </w:tblCellMar>
        </w:tblPrEx>
        <w:tc>
          <w:tcPr>
            <w:tcW w:w="14564" w:type="dxa"/>
            <w:gridSpan w:val="7"/>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6. Informatikai alapismeretek</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Számábrázolás, számrendszerek</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bináris, decimális, hexadecimális, oktális, binárisan kódolt decimális számábrázolást. Segédeszköz használata nélkül legyen képes 8 bites bináris számok oda-vissza alakítására bináris, decimális, hexadecimális számok esetében.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aritmetikai és logikai műveleteket végrehajtani kettes számrendszerben</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ismertetni a számítógépes számábrázolásból adódó hibákat.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fix- és lebegőpontos ábrázolást.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egy megadott számot az előírt módon ábrázolni.</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Kódolás</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kód, kódolás fogalmát. Ismerjen numerikus és alfanumerikus kódokat.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feladat.</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Ismerjen legalább kétféle hibafelismerő kódot.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titkosítás alapjait.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feladat.</w:t>
            </w:r>
          </w:p>
        </w:tc>
      </w:tr>
      <w:tr w:rsidR="004C2997">
        <w:tblPrEx>
          <w:tblCellMar>
            <w:top w:w="0" w:type="dxa"/>
            <w:bottom w:w="0" w:type="dxa"/>
          </w:tblCellMar>
        </w:tblPrEx>
        <w:tc>
          <w:tcPr>
            <w:tcW w:w="14564" w:type="dxa"/>
            <w:gridSpan w:val="7"/>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7. Hálózati ismeretek</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LAN</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információs hálózatok fajtáit, az internet és az intranet fogalmát,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Legyen képes a helyi hálózat erőforrásait használni.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biztonsági hierarchiát. Ismerje és tudja alkalmazni a számítógép és a kommunikáció biztonságát szolgáló eszközök fajtáit (tűzfal, vírusvédelem, kémprogramok elleni védelem).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Tudja a felhasználói környezetet beállítani.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fel a hibát a hálózat működésében.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IP címzés jellegzetességeit.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lokális hálózatok építőelemeit, a leggyakrabban használt fizikai közegeket, tulajdonságaikat.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ismertetni legalább három szokásos aktív eszköz funkcióját.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a különböző topológiákat ismertetni. Tudja ismertetni az ISO/OSI és a TCP/IP modellek, illetve protokollok sajátosságait.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rendelkezésre álló, kizárólag oktatási célra szolgáló hálózat segítségével.</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rendelkezésre álló eszközök közül történő kiválasztással.</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rendelkezésre álló ábrák segítségével.</w:t>
            </w: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hogy milyen eszközöket, klienseket és protokollokat kell installálni a használt operációs rendszer alatt, hogy pont-pont, illetve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kliens-szerver, valamint modemes kapcsolatot meg lehessen valósítani.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kliens oldali operációs rendszerek komponenseinek frissítését a javító csomagok használatát.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Internet</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internet felépítését, szolgáltatásait, használatát.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böngészőprogramo-kat, a keresőgépeket és azok használatát.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az elektronikus levelezés alapfogalmait (e-mail cím szerkezete és felépítése, protokollok), egy levelező program működését, beállításait, valamint a levelekkel történő műveleteket (írás, másolás, mentés, nyomtatás, címjegyzék </w:t>
            </w:r>
            <w:r>
              <w:rPr>
                <w:rFonts w:ascii="Times New Roman" w:hAnsi="Times New Roman" w:cs="Times New Roman"/>
                <w:sz w:val="20"/>
                <w:szCs w:val="20"/>
              </w:rPr>
              <w:lastRenderedPageBreak/>
              <w:t>létrehozása, csatolások).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levelezés lehetőségeit és veszélyeit.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Interneten történő adatátvitel lehetőségeit, és a kommunikációs csatornákat.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összetett keresés lehetőségeit.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file-okat le-, ill. feltölteni.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FTP szerver használatára.</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r>
      <w:tr w:rsidR="004C2997">
        <w:tblPrEx>
          <w:tblCellMar>
            <w:top w:w="0" w:type="dxa"/>
            <w:bottom w:w="0" w:type="dxa"/>
          </w:tblCellMar>
        </w:tblPrEx>
        <w:tc>
          <w:tcPr>
            <w:tcW w:w="14564" w:type="dxa"/>
            <w:gridSpan w:val="7"/>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lastRenderedPageBreak/>
              <w:t>8. Programozási alapismeretek</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A feladatmegoldás lépései, módszerei</w:t>
            </w:r>
          </w:p>
        </w:tc>
        <w:tc>
          <w:tcPr>
            <w:tcW w:w="3153"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Ismerje a megoldás lépéseit (feladat meghatározása, specifikáció, algoritmus-készítés, kódolás, tesztelés, hibakeresés, javítás, hatékonyságvizsgálat, dokumentálás). Változók és típusaik, kiinduló és végpont meghatározása.</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Ismerje az elemi adattípusokat.</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 xml:space="preserve">Ismerje a tömböt, a karakterláncot és a rekordot. </w:t>
            </w:r>
          </w:p>
        </w:tc>
        <w:tc>
          <w:tcPr>
            <w:tcW w:w="1620" w:type="dxa"/>
          </w:tcPr>
          <w:p w:rsidR="004C2997" w:rsidRDefault="004C2997">
            <w:pPr>
              <w:autoSpaceDE w:val="0"/>
              <w:autoSpaceDN w:val="0"/>
              <w:adjustRightInd w:val="0"/>
              <w:spacing w:after="0" w:line="220" w:lineRule="exact"/>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Számítógépes feladat.</w:t>
            </w:r>
          </w:p>
        </w:tc>
        <w:tc>
          <w:tcPr>
            <w:tcW w:w="2789"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Ismerje a verem, a sor és a lista struktúrákat.</w:t>
            </w:r>
          </w:p>
        </w:tc>
        <w:tc>
          <w:tcPr>
            <w:tcW w:w="1620" w:type="dxa"/>
          </w:tcPr>
          <w:p w:rsidR="004C2997" w:rsidRDefault="004C2997">
            <w:pPr>
              <w:autoSpaceDE w:val="0"/>
              <w:autoSpaceDN w:val="0"/>
              <w:adjustRightInd w:val="0"/>
              <w:spacing w:after="0" w:line="220" w:lineRule="exact"/>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20" w:lineRule="exact"/>
              <w:rPr>
                <w:rFonts w:ascii="Times New Roman" w:hAnsi="Times New Roman" w:cs="Times New Roman"/>
                <w:sz w:val="20"/>
                <w:szCs w:val="20"/>
              </w:rPr>
            </w:pPr>
          </w:p>
        </w:tc>
      </w:tr>
      <w:tr w:rsidR="004C2997">
        <w:tblPrEx>
          <w:tblCellMar>
            <w:top w:w="0" w:type="dxa"/>
            <w:bottom w:w="0" w:type="dxa"/>
          </w:tblCellMar>
        </w:tblPrEx>
        <w:tc>
          <w:tcPr>
            <w:tcW w:w="2020"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Algoritmusok</w:t>
            </w:r>
          </w:p>
          <w:p w:rsidR="004C2997" w:rsidRDefault="004C2997">
            <w:pPr>
              <w:autoSpaceDE w:val="0"/>
              <w:autoSpaceDN w:val="0"/>
              <w:adjustRightInd w:val="0"/>
              <w:spacing w:after="0" w:line="220" w:lineRule="exact"/>
              <w:rPr>
                <w:rFonts w:ascii="Times New Roman" w:hAnsi="Times New Roman" w:cs="Times New Roman"/>
                <w:sz w:val="20"/>
                <w:szCs w:val="20"/>
              </w:rPr>
            </w:pPr>
          </w:p>
        </w:tc>
        <w:tc>
          <w:tcPr>
            <w:tcW w:w="3153"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Ismerje az algoritmus-leíró eszközöket.</w:t>
            </w:r>
          </w:p>
        </w:tc>
        <w:tc>
          <w:tcPr>
            <w:tcW w:w="1620" w:type="dxa"/>
          </w:tcPr>
          <w:p w:rsidR="004C2997" w:rsidRDefault="004C2997">
            <w:pPr>
              <w:autoSpaceDE w:val="0"/>
              <w:autoSpaceDN w:val="0"/>
              <w:adjustRightInd w:val="0"/>
              <w:spacing w:after="0" w:line="220" w:lineRule="exact"/>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c>
          <w:tcPr>
            <w:tcW w:w="2789"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Szövegesen megfogalmazott feladat megoldását legyen képes egy algoritmus-leíró eszköz segítségével megjeleníteni.</w:t>
            </w:r>
          </w:p>
        </w:tc>
        <w:tc>
          <w:tcPr>
            <w:tcW w:w="1620" w:type="dxa"/>
          </w:tcPr>
          <w:p w:rsidR="004C2997" w:rsidRDefault="004C2997">
            <w:pPr>
              <w:autoSpaceDE w:val="0"/>
              <w:autoSpaceDN w:val="0"/>
              <w:adjustRightInd w:val="0"/>
              <w:spacing w:after="0" w:line="220" w:lineRule="exact"/>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Programnyelv</w:t>
            </w:r>
          </w:p>
        </w:tc>
        <w:tc>
          <w:tcPr>
            <w:tcW w:w="3153"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Tudjon egyszerű programot létrehozni a tanult nyelv fejlesztői környezetében. Ismerje a nyelv elemeit, szerkezetét. Tudjon forrás-kódot létrehozni.</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Ismerje a fordítás és szerkesztés folyamatát, tudja a gyakorlatban alkalmazni.</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c>
          <w:tcPr>
            <w:tcW w:w="2789"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Tudjon szöveges állományokat kezelni.</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Ismerje a program-modulok beépítési lehetőségét.</w:t>
            </w:r>
          </w:p>
        </w:tc>
        <w:tc>
          <w:tcPr>
            <w:tcW w:w="1620" w:type="dxa"/>
          </w:tcPr>
          <w:p w:rsidR="004C2997" w:rsidRDefault="004C2997">
            <w:pPr>
              <w:autoSpaceDE w:val="0"/>
              <w:autoSpaceDN w:val="0"/>
              <w:adjustRightInd w:val="0"/>
              <w:spacing w:after="0" w:line="220" w:lineRule="exact"/>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Programozási ismeretek</w:t>
            </w:r>
          </w:p>
        </w:tc>
        <w:tc>
          <w:tcPr>
            <w:tcW w:w="3153" w:type="dxa"/>
          </w:tcPr>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Deklaráció, értékadás, változók, konstansok. Alkalmazza az elemi adattípusokat.</w:t>
            </w:r>
          </w:p>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Alkalmazza a vezérlési szerkezeteket.</w:t>
            </w:r>
          </w:p>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Tudjon egy egyszerű probléma megoldására programot készíteni.</w:t>
            </w:r>
            <w:r>
              <w:rPr>
                <w:rFonts w:ascii="Times New Roman" w:hAnsi="Times New Roman" w:cs="Times New Roman"/>
                <w:sz w:val="20"/>
                <w:szCs w:val="20"/>
              </w:rPr>
              <w:br/>
              <w:t>A kapott eredményt tudja megjeleníteni az elsődleges output eszközön.</w:t>
            </w:r>
          </w:p>
        </w:tc>
        <w:tc>
          <w:tcPr>
            <w:tcW w:w="1620" w:type="dxa"/>
          </w:tcPr>
          <w:p w:rsidR="004C2997" w:rsidRDefault="004C2997">
            <w:pPr>
              <w:autoSpaceDE w:val="0"/>
              <w:autoSpaceDN w:val="0"/>
              <w:adjustRightInd w:val="0"/>
              <w:spacing w:after="0" w:line="200" w:lineRule="exact"/>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c>
          <w:tcPr>
            <w:tcW w:w="2789" w:type="dxa"/>
          </w:tcPr>
          <w:p w:rsidR="004C2997" w:rsidRDefault="004C2997">
            <w:pPr>
              <w:autoSpaceDE w:val="0"/>
              <w:autoSpaceDN w:val="0"/>
              <w:adjustRightInd w:val="0"/>
              <w:spacing w:after="0" w:line="200" w:lineRule="exact"/>
              <w:rPr>
                <w:rFonts w:ascii="Times New Roman" w:hAnsi="Times New Roman" w:cs="Times New Roman"/>
                <w:sz w:val="20"/>
                <w:szCs w:val="20"/>
              </w:rPr>
            </w:pPr>
          </w:p>
        </w:tc>
        <w:tc>
          <w:tcPr>
            <w:tcW w:w="1620" w:type="dxa"/>
          </w:tcPr>
          <w:p w:rsidR="004C2997" w:rsidRDefault="004C2997">
            <w:pPr>
              <w:autoSpaceDE w:val="0"/>
              <w:autoSpaceDN w:val="0"/>
              <w:adjustRightInd w:val="0"/>
              <w:spacing w:after="0" w:line="200" w:lineRule="exact"/>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20" w:type="dxa"/>
          </w:tcPr>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Programozási tételek</w:t>
            </w:r>
          </w:p>
        </w:tc>
        <w:tc>
          <w:tcPr>
            <w:tcW w:w="3153" w:type="dxa"/>
          </w:tcPr>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 xml:space="preserve">Ismerje a programozási tételeket. Tudja ismertetni ezek célját, </w:t>
            </w:r>
            <w:r>
              <w:rPr>
                <w:rFonts w:ascii="Times New Roman" w:hAnsi="Times New Roman" w:cs="Times New Roman"/>
                <w:sz w:val="20"/>
                <w:szCs w:val="20"/>
              </w:rPr>
              <w:lastRenderedPageBreak/>
              <w:t>alkalmazási körét.</w:t>
            </w:r>
          </w:p>
          <w:p w:rsidR="004C2997" w:rsidRDefault="004C2997">
            <w:pPr>
              <w:autoSpaceDE w:val="0"/>
              <w:autoSpaceDN w:val="0"/>
              <w:adjustRightInd w:val="0"/>
              <w:spacing w:after="0" w:line="200" w:lineRule="exact"/>
              <w:ind w:left="140" w:hanging="140"/>
              <w:rPr>
                <w:rFonts w:ascii="Times New Roman" w:hAnsi="Times New Roman" w:cs="Times New Roman"/>
                <w:sz w:val="20"/>
                <w:szCs w:val="20"/>
              </w:rPr>
            </w:pPr>
            <w:r>
              <w:rPr>
                <w:rFonts w:ascii="Times New Roman" w:hAnsi="Times New Roman" w:cs="Times New Roman"/>
                <w:sz w:val="20"/>
                <w:szCs w:val="20"/>
              </w:rPr>
              <w:t>– összegzés tétele</w:t>
            </w:r>
          </w:p>
          <w:p w:rsidR="004C2997" w:rsidRDefault="004C2997">
            <w:pPr>
              <w:autoSpaceDE w:val="0"/>
              <w:autoSpaceDN w:val="0"/>
              <w:adjustRightInd w:val="0"/>
              <w:spacing w:after="0" w:line="200" w:lineRule="exact"/>
              <w:ind w:left="140" w:hanging="140"/>
              <w:rPr>
                <w:rFonts w:ascii="Times New Roman" w:hAnsi="Times New Roman" w:cs="Times New Roman"/>
                <w:sz w:val="20"/>
                <w:szCs w:val="20"/>
              </w:rPr>
            </w:pPr>
            <w:r>
              <w:rPr>
                <w:rFonts w:ascii="Times New Roman" w:hAnsi="Times New Roman" w:cs="Times New Roman"/>
                <w:sz w:val="20"/>
                <w:szCs w:val="20"/>
              </w:rPr>
              <w:t>– eldöntés tétele</w:t>
            </w:r>
          </w:p>
          <w:p w:rsidR="004C2997" w:rsidRDefault="004C2997">
            <w:pPr>
              <w:autoSpaceDE w:val="0"/>
              <w:autoSpaceDN w:val="0"/>
              <w:adjustRightInd w:val="0"/>
              <w:spacing w:after="0" w:line="200" w:lineRule="exact"/>
              <w:ind w:left="140" w:hanging="140"/>
              <w:rPr>
                <w:rFonts w:ascii="Times New Roman" w:hAnsi="Times New Roman" w:cs="Times New Roman"/>
                <w:sz w:val="20"/>
                <w:szCs w:val="20"/>
              </w:rPr>
            </w:pPr>
            <w:r>
              <w:rPr>
                <w:rFonts w:ascii="Times New Roman" w:hAnsi="Times New Roman" w:cs="Times New Roman"/>
                <w:sz w:val="20"/>
                <w:szCs w:val="20"/>
              </w:rPr>
              <w:t>– kiválasztás tétele</w:t>
            </w:r>
          </w:p>
          <w:p w:rsidR="004C2997" w:rsidRDefault="004C2997">
            <w:pPr>
              <w:autoSpaceDE w:val="0"/>
              <w:autoSpaceDN w:val="0"/>
              <w:adjustRightInd w:val="0"/>
              <w:spacing w:after="0" w:line="200" w:lineRule="exact"/>
              <w:ind w:left="140" w:hanging="140"/>
              <w:rPr>
                <w:rFonts w:ascii="Times New Roman" w:hAnsi="Times New Roman" w:cs="Times New Roman"/>
                <w:sz w:val="20"/>
                <w:szCs w:val="20"/>
              </w:rPr>
            </w:pPr>
            <w:r>
              <w:rPr>
                <w:rFonts w:ascii="Times New Roman" w:hAnsi="Times New Roman" w:cs="Times New Roman"/>
                <w:sz w:val="20"/>
                <w:szCs w:val="20"/>
              </w:rPr>
              <w:t>– keresés tételei</w:t>
            </w:r>
          </w:p>
          <w:p w:rsidR="004C2997" w:rsidRDefault="004C2997">
            <w:pPr>
              <w:autoSpaceDE w:val="0"/>
              <w:autoSpaceDN w:val="0"/>
              <w:adjustRightInd w:val="0"/>
              <w:spacing w:after="0" w:line="200" w:lineRule="exact"/>
              <w:ind w:left="140" w:hanging="140"/>
              <w:rPr>
                <w:rFonts w:ascii="Times New Roman" w:hAnsi="Times New Roman" w:cs="Times New Roman"/>
                <w:sz w:val="20"/>
                <w:szCs w:val="20"/>
              </w:rPr>
            </w:pPr>
            <w:r>
              <w:rPr>
                <w:rFonts w:ascii="Times New Roman" w:hAnsi="Times New Roman" w:cs="Times New Roman"/>
                <w:sz w:val="20"/>
                <w:szCs w:val="20"/>
              </w:rPr>
              <w:t>– megszámlálás tétele</w:t>
            </w:r>
          </w:p>
          <w:p w:rsidR="004C2997" w:rsidRDefault="004C2997">
            <w:pPr>
              <w:autoSpaceDE w:val="0"/>
              <w:autoSpaceDN w:val="0"/>
              <w:adjustRightInd w:val="0"/>
              <w:spacing w:after="0" w:line="200" w:lineRule="exact"/>
              <w:ind w:left="140" w:hanging="140"/>
              <w:rPr>
                <w:rFonts w:ascii="Times New Roman" w:hAnsi="Times New Roman" w:cs="Times New Roman"/>
                <w:sz w:val="20"/>
                <w:szCs w:val="20"/>
              </w:rPr>
            </w:pPr>
            <w:r>
              <w:rPr>
                <w:rFonts w:ascii="Times New Roman" w:hAnsi="Times New Roman" w:cs="Times New Roman"/>
                <w:sz w:val="20"/>
                <w:szCs w:val="20"/>
              </w:rPr>
              <w:t>– szélsőérték kiválasztás tételei</w:t>
            </w:r>
          </w:p>
          <w:p w:rsidR="004C2997" w:rsidRDefault="004C2997">
            <w:pPr>
              <w:autoSpaceDE w:val="0"/>
              <w:autoSpaceDN w:val="0"/>
              <w:adjustRightInd w:val="0"/>
              <w:spacing w:after="0" w:line="200" w:lineRule="exact"/>
              <w:ind w:left="140" w:hanging="140"/>
              <w:rPr>
                <w:rFonts w:ascii="Times New Roman" w:hAnsi="Times New Roman" w:cs="Times New Roman"/>
                <w:sz w:val="20"/>
                <w:szCs w:val="20"/>
              </w:rPr>
            </w:pPr>
            <w:r>
              <w:rPr>
                <w:rFonts w:ascii="Times New Roman" w:hAnsi="Times New Roman" w:cs="Times New Roman"/>
                <w:sz w:val="20"/>
                <w:szCs w:val="20"/>
              </w:rPr>
              <w:t>– kiválogatás tétele</w:t>
            </w:r>
          </w:p>
          <w:p w:rsidR="004C2997" w:rsidRDefault="004C2997">
            <w:pPr>
              <w:autoSpaceDE w:val="0"/>
              <w:autoSpaceDN w:val="0"/>
              <w:adjustRightInd w:val="0"/>
              <w:spacing w:after="0" w:line="200" w:lineRule="exact"/>
              <w:ind w:left="140" w:hanging="140"/>
              <w:rPr>
                <w:rFonts w:ascii="Times New Roman" w:hAnsi="Times New Roman" w:cs="Times New Roman"/>
                <w:sz w:val="20"/>
                <w:szCs w:val="20"/>
              </w:rPr>
            </w:pPr>
            <w:r>
              <w:rPr>
                <w:rFonts w:ascii="Times New Roman" w:hAnsi="Times New Roman" w:cs="Times New Roman"/>
                <w:sz w:val="20"/>
                <w:szCs w:val="20"/>
              </w:rPr>
              <w:t>– metszetképzés tétele</w:t>
            </w:r>
          </w:p>
          <w:p w:rsidR="004C2997" w:rsidRDefault="004C2997">
            <w:pPr>
              <w:autoSpaceDE w:val="0"/>
              <w:autoSpaceDN w:val="0"/>
              <w:adjustRightInd w:val="0"/>
              <w:spacing w:after="0" w:line="200" w:lineRule="exact"/>
              <w:ind w:left="140" w:hanging="140"/>
              <w:rPr>
                <w:rFonts w:ascii="Times New Roman" w:hAnsi="Times New Roman" w:cs="Times New Roman"/>
                <w:sz w:val="20"/>
                <w:szCs w:val="20"/>
              </w:rPr>
            </w:pPr>
            <w:r>
              <w:rPr>
                <w:rFonts w:ascii="Times New Roman" w:hAnsi="Times New Roman" w:cs="Times New Roman"/>
                <w:sz w:val="20"/>
                <w:szCs w:val="20"/>
              </w:rPr>
              <w:t>– egyesítés tétele</w:t>
            </w:r>
          </w:p>
          <w:p w:rsidR="004C2997" w:rsidRDefault="004C2997">
            <w:pPr>
              <w:autoSpaceDE w:val="0"/>
              <w:autoSpaceDN w:val="0"/>
              <w:adjustRightInd w:val="0"/>
              <w:spacing w:after="0" w:line="200" w:lineRule="exact"/>
              <w:ind w:left="140" w:hanging="140"/>
              <w:rPr>
                <w:rFonts w:ascii="Times New Roman" w:hAnsi="Times New Roman" w:cs="Times New Roman"/>
                <w:sz w:val="20"/>
                <w:szCs w:val="20"/>
              </w:rPr>
            </w:pPr>
            <w:r>
              <w:rPr>
                <w:rFonts w:ascii="Times New Roman" w:hAnsi="Times New Roman" w:cs="Times New Roman"/>
                <w:sz w:val="20"/>
                <w:szCs w:val="20"/>
              </w:rPr>
              <w:t>– összefuttatás tétele</w:t>
            </w:r>
          </w:p>
          <w:p w:rsidR="004C2997" w:rsidRDefault="004C2997">
            <w:pPr>
              <w:autoSpaceDE w:val="0"/>
              <w:autoSpaceDN w:val="0"/>
              <w:adjustRightInd w:val="0"/>
              <w:spacing w:after="0" w:line="200" w:lineRule="exact"/>
              <w:ind w:left="140" w:hanging="140"/>
              <w:rPr>
                <w:rFonts w:ascii="Times New Roman" w:hAnsi="Times New Roman" w:cs="Times New Roman"/>
                <w:sz w:val="20"/>
                <w:szCs w:val="20"/>
              </w:rPr>
            </w:pPr>
            <w:r>
              <w:rPr>
                <w:rFonts w:ascii="Times New Roman" w:hAnsi="Times New Roman" w:cs="Times New Roman"/>
                <w:sz w:val="20"/>
                <w:szCs w:val="20"/>
              </w:rPr>
              <w:t>– buborékos rendezés</w:t>
            </w:r>
          </w:p>
          <w:p w:rsidR="004C2997" w:rsidRDefault="004C2997">
            <w:pPr>
              <w:autoSpaceDE w:val="0"/>
              <w:autoSpaceDN w:val="0"/>
              <w:adjustRightInd w:val="0"/>
              <w:spacing w:after="0" w:line="200" w:lineRule="exact"/>
              <w:ind w:left="140" w:hanging="140"/>
              <w:rPr>
                <w:rFonts w:ascii="Times New Roman" w:hAnsi="Times New Roman" w:cs="Times New Roman"/>
                <w:sz w:val="20"/>
                <w:szCs w:val="20"/>
              </w:rPr>
            </w:pPr>
            <w:r>
              <w:rPr>
                <w:rFonts w:ascii="Times New Roman" w:hAnsi="Times New Roman" w:cs="Times New Roman"/>
                <w:sz w:val="20"/>
                <w:szCs w:val="20"/>
              </w:rPr>
              <w:t>– rendezés minimum kiválasztással</w:t>
            </w:r>
          </w:p>
          <w:p w:rsidR="004C2997" w:rsidRDefault="004C2997">
            <w:pPr>
              <w:autoSpaceDE w:val="0"/>
              <w:autoSpaceDN w:val="0"/>
              <w:adjustRightInd w:val="0"/>
              <w:spacing w:after="0" w:line="200" w:lineRule="exact"/>
              <w:ind w:left="140" w:hanging="140"/>
              <w:rPr>
                <w:rFonts w:ascii="Times New Roman" w:hAnsi="Times New Roman" w:cs="Times New Roman"/>
                <w:sz w:val="20"/>
                <w:szCs w:val="20"/>
              </w:rPr>
            </w:pPr>
            <w:r>
              <w:rPr>
                <w:rFonts w:ascii="Times New Roman" w:hAnsi="Times New Roman" w:cs="Times New Roman"/>
                <w:sz w:val="20"/>
                <w:szCs w:val="20"/>
              </w:rPr>
              <w:t>– rendezés közvetlen elemkiválasztással.</w:t>
            </w:r>
          </w:p>
        </w:tc>
        <w:tc>
          <w:tcPr>
            <w:tcW w:w="1620" w:type="dxa"/>
          </w:tcPr>
          <w:p w:rsidR="004C2997" w:rsidRDefault="004C2997">
            <w:pPr>
              <w:autoSpaceDE w:val="0"/>
              <w:autoSpaceDN w:val="0"/>
              <w:adjustRightInd w:val="0"/>
              <w:spacing w:after="0" w:line="200" w:lineRule="exact"/>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Számítógépes feladat.</w:t>
            </w:r>
          </w:p>
        </w:tc>
        <w:tc>
          <w:tcPr>
            <w:tcW w:w="2789" w:type="dxa"/>
          </w:tcPr>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Adott feladatra tudja alkalmazni a programozási tételeket.</w:t>
            </w:r>
          </w:p>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lastRenderedPageBreak/>
              <w:t>Ismerjen rekurziót bemutató algoritmust.</w:t>
            </w:r>
          </w:p>
          <w:p w:rsidR="004C2997" w:rsidRDefault="004C2997">
            <w:pPr>
              <w:autoSpaceDE w:val="0"/>
              <w:autoSpaceDN w:val="0"/>
              <w:adjustRightInd w:val="0"/>
              <w:spacing w:after="0" w:line="200" w:lineRule="exact"/>
              <w:rPr>
                <w:rFonts w:ascii="Times New Roman" w:hAnsi="Times New Roman" w:cs="Times New Roman"/>
                <w:sz w:val="20"/>
                <w:szCs w:val="20"/>
              </w:rPr>
            </w:pPr>
          </w:p>
        </w:tc>
        <w:tc>
          <w:tcPr>
            <w:tcW w:w="1620" w:type="dxa"/>
          </w:tcPr>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lastRenderedPageBreak/>
              <w:t>Egyszerű program segítségével</w:t>
            </w: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Számítógéppel végzett interaktív </w:t>
            </w:r>
            <w:r>
              <w:rPr>
                <w:rFonts w:ascii="Times New Roman" w:hAnsi="Times New Roman" w:cs="Times New Roman"/>
                <w:sz w:val="20"/>
                <w:szCs w:val="20"/>
              </w:rPr>
              <w:lastRenderedPageBreak/>
              <w:t>gyakorlat.</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lastRenderedPageBreak/>
              <w:t>Az objektumorientált programozás alapjai</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modern vizuális programozás alapjait, a vizuális objektumok fogalmát.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objektumorientált programozás elvét, az objektum fogalmát, szerkezetét.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objektumokhoz kapcsolódó metódusokat. Ismerje az objektumok általános felépítését, elvét, tartalmát, az öröklődés fogalmát. Tudja elemezni az objektumok viselkedését és hierarchiáját.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eseményvezérlést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r>
      <w:tr w:rsidR="004C2997">
        <w:tblPrEx>
          <w:tblCellMar>
            <w:top w:w="0" w:type="dxa"/>
            <w:bottom w:w="0" w:type="dxa"/>
          </w:tblCellMar>
        </w:tblPrEx>
        <w:tc>
          <w:tcPr>
            <w:tcW w:w="14564" w:type="dxa"/>
            <w:gridSpan w:val="7"/>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9. Elektronikai alapismeretek</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Villamos alapfogalmak</w:t>
            </w:r>
          </w:p>
        </w:tc>
        <w:tc>
          <w:tcPr>
            <w:tcW w:w="3153"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Ismerje az anyagszerkezet és a kölcsönhatások áramvezetésben betöltött szerepét.</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Legyen képes megfogalmazni az áram, a feszültség és az ellenállás fogalmát. Tudjon geometriai adatokból ellenállást és ellenállás hőmérsékletfüggést számolni.</w:t>
            </w:r>
          </w:p>
        </w:tc>
        <w:tc>
          <w:tcPr>
            <w:tcW w:w="1620" w:type="dxa"/>
          </w:tcPr>
          <w:p w:rsidR="004C2997" w:rsidRDefault="004C2997">
            <w:pPr>
              <w:autoSpaceDE w:val="0"/>
              <w:autoSpaceDN w:val="0"/>
              <w:adjustRightInd w:val="0"/>
              <w:spacing w:after="0" w:line="220" w:lineRule="exact"/>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Tesztfeladatok</w:t>
            </w:r>
          </w:p>
        </w:tc>
        <w:tc>
          <w:tcPr>
            <w:tcW w:w="2789" w:type="dxa"/>
          </w:tcPr>
          <w:p w:rsidR="004C2997" w:rsidRDefault="004C2997">
            <w:pPr>
              <w:autoSpaceDE w:val="0"/>
              <w:autoSpaceDN w:val="0"/>
              <w:adjustRightInd w:val="0"/>
              <w:spacing w:after="0" w:line="220" w:lineRule="exact"/>
              <w:rPr>
                <w:rFonts w:ascii="Times New Roman" w:hAnsi="Times New Roman" w:cs="Times New Roman"/>
                <w:sz w:val="20"/>
                <w:szCs w:val="20"/>
              </w:rPr>
            </w:pPr>
          </w:p>
        </w:tc>
        <w:tc>
          <w:tcPr>
            <w:tcW w:w="1620" w:type="dxa"/>
          </w:tcPr>
          <w:p w:rsidR="004C2997" w:rsidRDefault="004C2997">
            <w:pPr>
              <w:autoSpaceDE w:val="0"/>
              <w:autoSpaceDN w:val="0"/>
              <w:adjustRightInd w:val="0"/>
              <w:spacing w:after="0" w:line="220" w:lineRule="exact"/>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20" w:lineRule="exact"/>
              <w:rPr>
                <w:rFonts w:ascii="Times New Roman" w:hAnsi="Times New Roman" w:cs="Times New Roman"/>
                <w:sz w:val="20"/>
                <w:szCs w:val="20"/>
              </w:rPr>
            </w:pPr>
          </w:p>
        </w:tc>
      </w:tr>
      <w:tr w:rsidR="004C2997">
        <w:tblPrEx>
          <w:tblCellMar>
            <w:top w:w="0" w:type="dxa"/>
            <w:bottom w:w="0" w:type="dxa"/>
          </w:tblCellMar>
        </w:tblPrEx>
        <w:tc>
          <w:tcPr>
            <w:tcW w:w="2020"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Egyenáramú elektrotechnika</w:t>
            </w:r>
          </w:p>
        </w:tc>
        <w:tc>
          <w:tcPr>
            <w:tcW w:w="3153"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 xml:space="preserve">Ismerje az egyenáramú elektrotechnika alaptörvényeit. Tudja jellemezni az egyenáramú hálózatok alkatelemeit. Tudja egyszerű áramköri számításokban alkalmazni az alaptörvényeket. Tudjon villamos </w:t>
            </w:r>
            <w:r>
              <w:rPr>
                <w:rFonts w:ascii="Times New Roman" w:hAnsi="Times New Roman" w:cs="Times New Roman"/>
                <w:sz w:val="20"/>
                <w:szCs w:val="20"/>
              </w:rPr>
              <w:lastRenderedPageBreak/>
              <w:t xml:space="preserve">munkát, teljesítményt és hatásfokot számolni. </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 xml:space="preserve">Legyen képes elemezni villamos és mágneses térben lejátszódó, gyakorlati jelentőséggel bíró néhány jelenséget. Ismerje a kondenzátor és az induktivitás jellemzőit. </w:t>
            </w:r>
          </w:p>
        </w:tc>
        <w:tc>
          <w:tcPr>
            <w:tcW w:w="1620" w:type="dxa"/>
          </w:tcPr>
          <w:p w:rsidR="004C2997" w:rsidRDefault="004C2997">
            <w:pPr>
              <w:autoSpaceDE w:val="0"/>
              <w:autoSpaceDN w:val="0"/>
              <w:adjustRightInd w:val="0"/>
              <w:spacing w:after="0" w:line="220" w:lineRule="exact"/>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feladatok.</w:t>
            </w:r>
          </w:p>
        </w:tc>
        <w:tc>
          <w:tcPr>
            <w:tcW w:w="2789"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Ismerje a folyadékkristályok működési elvét. Tudja értelmezni a kapacitás és az induktivitás töltődési és kisütési jelleggörbéit.</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 xml:space="preserve">Ismerje a villamos gépek és a </w:t>
            </w:r>
            <w:r>
              <w:rPr>
                <w:rFonts w:ascii="Times New Roman" w:hAnsi="Times New Roman" w:cs="Times New Roman"/>
                <w:sz w:val="20"/>
                <w:szCs w:val="20"/>
              </w:rPr>
              <w:lastRenderedPageBreak/>
              <w:t>transzformátorok működési elvét.</w:t>
            </w:r>
          </w:p>
        </w:tc>
        <w:tc>
          <w:tcPr>
            <w:tcW w:w="1620"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lastRenderedPageBreak/>
              <w:t>A rendelkezésre álló ábrák segítségével.</w:t>
            </w: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lastRenderedPageBreak/>
              <w:t>Váltakozóáramú elektrotechnika</w:t>
            </w:r>
          </w:p>
        </w:tc>
        <w:tc>
          <w:tcPr>
            <w:tcW w:w="3153"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Ismerje a váltakozó mennyiségek jellemzőit. Tudja értelmezni az ellenállás, a kondenzátor, és az induktivitás viselkedését váltakozóáramú körökben, legyen képes impedanciát számítani. Tudja jellemezni a soros és párhuzamos RL, RC és RLC körök viselkedését. Legyen képes legfontosabb jellemzőik számítására. Ismerjen jellemző felhasználásokat.</w:t>
            </w:r>
          </w:p>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 xml:space="preserve">Tudja jellemezni a két- és négypólusokat. Legyen képes egyszerű kétpólusok Norton és Thevenin helyettesítőképének kiszámítására. Tudja számítani a négypólus átviteleket. </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 számítógépes feladatok.</w:t>
            </w:r>
          </w:p>
        </w:tc>
        <w:tc>
          <w:tcPr>
            <w:tcW w:w="2789" w:type="dxa"/>
          </w:tcPr>
          <w:p w:rsidR="004C2997" w:rsidRDefault="004C2997">
            <w:pPr>
              <w:autoSpaceDE w:val="0"/>
              <w:autoSpaceDN w:val="0"/>
              <w:adjustRightInd w:val="0"/>
              <w:spacing w:after="0" w:line="220" w:lineRule="exact"/>
              <w:rPr>
                <w:rFonts w:ascii="Times New Roman" w:hAnsi="Times New Roman" w:cs="Times New Roman"/>
                <w:sz w:val="20"/>
                <w:szCs w:val="20"/>
              </w:rPr>
            </w:pPr>
            <w:r>
              <w:rPr>
                <w:rFonts w:ascii="Times New Roman" w:hAnsi="Times New Roman" w:cs="Times New Roman"/>
                <w:sz w:val="20"/>
                <w:szCs w:val="20"/>
              </w:rPr>
              <w:t>Legyen képes RC, RL és RLC körökben számításokat végezni és frekvenciafüggő viselkedést vizsgálni.</w:t>
            </w:r>
          </w:p>
        </w:tc>
        <w:tc>
          <w:tcPr>
            <w:tcW w:w="1620" w:type="dxa"/>
          </w:tcPr>
          <w:p w:rsidR="004C2997" w:rsidRDefault="004C2997">
            <w:pPr>
              <w:autoSpaceDE w:val="0"/>
              <w:autoSpaceDN w:val="0"/>
              <w:adjustRightInd w:val="0"/>
              <w:spacing w:after="0" w:line="220" w:lineRule="exact"/>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 számítógépes feladatok.</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Analóg alapáramkörök</w:t>
            </w:r>
          </w:p>
        </w:tc>
        <w:tc>
          <w:tcPr>
            <w:tcW w:w="3153" w:type="dxa"/>
          </w:tcPr>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Ismerje a félvezető dióda, a bipoláris, a térvezérlésű tranzisztor és az optoelektronikai eszközök használati jellemzőit. Ismerje az alkatrészek alkalmazásához szükséges gyakoribb kapcsolási megoldásokat. Legyen képes a kapcsolóüzemű és az analóg alapkapcsolások működésének elemzésére.</w:t>
            </w:r>
          </w:p>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Tudja jellemezni az impulzusokat és ismerje a jelformáló áramköreit.</w:t>
            </w:r>
          </w:p>
        </w:tc>
        <w:tc>
          <w:tcPr>
            <w:tcW w:w="1620" w:type="dxa"/>
          </w:tcPr>
          <w:p w:rsidR="004C2997" w:rsidRDefault="004C2997">
            <w:pPr>
              <w:autoSpaceDE w:val="0"/>
              <w:autoSpaceDN w:val="0"/>
              <w:adjustRightInd w:val="0"/>
              <w:spacing w:after="0" w:line="200" w:lineRule="exact"/>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 számítógépes feladatok</w:t>
            </w:r>
          </w:p>
        </w:tc>
        <w:tc>
          <w:tcPr>
            <w:tcW w:w="2789" w:type="dxa"/>
          </w:tcPr>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Legyen képes a tranzisztor, mint kapcsoló jellemzésére. Ismerje a multivibrátorok működését.</w:t>
            </w:r>
          </w:p>
          <w:p w:rsidR="004C2997" w:rsidRDefault="004C2997">
            <w:pPr>
              <w:autoSpaceDE w:val="0"/>
              <w:autoSpaceDN w:val="0"/>
              <w:adjustRightInd w:val="0"/>
              <w:spacing w:after="0" w:line="200" w:lineRule="exact"/>
              <w:rPr>
                <w:rFonts w:ascii="Times New Roman" w:hAnsi="Times New Roman" w:cs="Times New Roman"/>
                <w:sz w:val="20"/>
                <w:szCs w:val="20"/>
              </w:rPr>
            </w:pPr>
          </w:p>
          <w:p w:rsidR="004C2997" w:rsidRDefault="004C2997">
            <w:pPr>
              <w:autoSpaceDE w:val="0"/>
              <w:autoSpaceDN w:val="0"/>
              <w:adjustRightInd w:val="0"/>
              <w:spacing w:after="0" w:line="200" w:lineRule="exact"/>
              <w:rPr>
                <w:rFonts w:ascii="Times New Roman" w:hAnsi="Times New Roman" w:cs="Times New Roman"/>
                <w:sz w:val="20"/>
                <w:szCs w:val="20"/>
              </w:rPr>
            </w:pPr>
          </w:p>
        </w:tc>
        <w:tc>
          <w:tcPr>
            <w:tcW w:w="1620" w:type="dxa"/>
          </w:tcPr>
          <w:p w:rsidR="004C2997" w:rsidRDefault="004C2997">
            <w:pPr>
              <w:autoSpaceDE w:val="0"/>
              <w:autoSpaceDN w:val="0"/>
              <w:adjustRightInd w:val="0"/>
              <w:spacing w:after="0" w:line="200" w:lineRule="exact"/>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feladat</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Digitális alapáramkörök</w:t>
            </w:r>
          </w:p>
        </w:tc>
        <w:tc>
          <w:tcPr>
            <w:tcW w:w="3153" w:type="dxa"/>
          </w:tcPr>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Tudja alkalmazni a logikai algebrai ismereteket a logikai függvények egyszerűsítésére, szabályos alakra hozására és átalakítására.</w:t>
            </w:r>
          </w:p>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Ismerje a kapuáramkörök és a tárolók gyakorlati jellemzőit és felhasználási területüket.</w:t>
            </w:r>
          </w:p>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lastRenderedPageBreak/>
              <w:t>Tudjon analizálni és realizálni funkcionálisan teljes rendszerekkel kombinációs hálózatokat.</w:t>
            </w:r>
          </w:p>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Legyen képes szinkron szekvenciális hálózatok analízisére és egyszerűbb áramkörök realizálására.</w:t>
            </w:r>
          </w:p>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Ismerje a funkcionális áramkörök jellemzőit és alkalmazási területüket.</w:t>
            </w:r>
          </w:p>
        </w:tc>
        <w:tc>
          <w:tcPr>
            <w:tcW w:w="1620" w:type="dxa"/>
          </w:tcPr>
          <w:p w:rsidR="004C2997" w:rsidRDefault="004C2997">
            <w:pPr>
              <w:autoSpaceDE w:val="0"/>
              <w:autoSpaceDN w:val="0"/>
              <w:adjustRightInd w:val="0"/>
              <w:spacing w:after="0" w:line="200" w:lineRule="exact"/>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 számítógépes feladatok</w:t>
            </w:r>
          </w:p>
        </w:tc>
        <w:tc>
          <w:tcPr>
            <w:tcW w:w="2789" w:type="dxa"/>
          </w:tcPr>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Ismerje a PLA és PLS áramkörök felépítését és alkalmazási lehetőségeit egyszerűbb feladatokban.</w:t>
            </w:r>
          </w:p>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 xml:space="preserve">Tudjon funkcionális áramköröket kaszkádosítani, számlálók ciklusát rövidíteni, </w:t>
            </w:r>
            <w:r>
              <w:rPr>
                <w:rFonts w:ascii="Times New Roman" w:hAnsi="Times New Roman" w:cs="Times New Roman"/>
                <w:sz w:val="20"/>
                <w:szCs w:val="20"/>
              </w:rPr>
              <w:lastRenderedPageBreak/>
              <w:t>frekvenciaosztót készíteni.</w:t>
            </w:r>
          </w:p>
        </w:tc>
        <w:tc>
          <w:tcPr>
            <w:tcW w:w="1620" w:type="dxa"/>
          </w:tcPr>
          <w:p w:rsidR="004C2997" w:rsidRDefault="004C2997">
            <w:pPr>
              <w:autoSpaceDE w:val="0"/>
              <w:autoSpaceDN w:val="0"/>
              <w:adjustRightInd w:val="0"/>
              <w:spacing w:after="0" w:line="200" w:lineRule="exact"/>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feladat</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14564" w:type="dxa"/>
            <w:gridSpan w:val="7"/>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10. Adatbázis-kezelés</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adatbázis-kezelés alapfogalmai</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adatbázis fogalmát, típusait, az adattábla, rekord, mező, kulcs fogalmakat.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Adatbáziskezelő használata</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Használói szinten tudjon alapvető adatbáziskezelő műveleteket megvalósítani.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jelentést készíteni. Ismerje az adattábla szűrését.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adatbázis készítés lépései</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Legyen képes egy adatbázis-kezelő szoftver segítségével egy egyszerű adatbázist létrehozni.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az adattípusokat, tudjon egyszerű adatbázist definiálni. </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egy egyszerű relációs adatmodell megalkotására</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Adatbázis elmélet</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adatbázis megalkotására használatos normál formákat (1NF, 2NF, 3NF).</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táblák közötti kapcsolatokat (1:1, 1:N, N:M).</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Tesztfeladatok</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00" w:lineRule="exact"/>
              <w:rPr>
                <w:rFonts w:ascii="Times New Roman" w:hAnsi="Times New Roman" w:cs="Times New Roman"/>
                <w:sz w:val="20"/>
                <w:szCs w:val="20"/>
              </w:rPr>
            </w:pPr>
            <w:r>
              <w:rPr>
                <w:rFonts w:ascii="Times New Roman" w:hAnsi="Times New Roman" w:cs="Times New Roman"/>
                <w:sz w:val="20"/>
                <w:szCs w:val="20"/>
              </w:rPr>
              <w:t>Az SQL nyelv használata</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SQL szintaktikáját, adattípusait, műveleteit.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tanult adatbázis kezelő segítségével.</w:t>
            </w: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feladat.</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adatdefiníciós- adatkezelő utasításokat.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adatbázist létrehozni és lekérdezni.</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feladat.</w:t>
            </w:r>
          </w:p>
        </w:tc>
      </w:tr>
      <w:tr w:rsidR="004C2997">
        <w:tblPrEx>
          <w:tblCellMar>
            <w:top w:w="0" w:type="dxa"/>
            <w:bottom w:w="0" w:type="dxa"/>
          </w:tblCellMar>
        </w:tblPrEx>
        <w:tc>
          <w:tcPr>
            <w:tcW w:w="20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Térinformatikai alapismeretek</w:t>
            </w:r>
          </w:p>
        </w:tc>
        <w:tc>
          <w:tcPr>
            <w:tcW w:w="315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térinformatikai alapfogalmakat.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térképek és az adatbázisok összekötési lehetőségeit.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használni a térképi keresőket, az útvonalkeresőket.</w:t>
            </w: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tanult keresők segítségével.</w:t>
            </w:r>
          </w:p>
        </w:tc>
        <w:tc>
          <w:tcPr>
            <w:tcW w:w="171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Számítógéppel végzett interaktív gyakorlat.</w:t>
            </w:r>
          </w:p>
        </w:tc>
        <w:tc>
          <w:tcPr>
            <w:tcW w:w="2789"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2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1651"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sectPr w:rsidR="004C2997">
          <w:type w:val="nextColumn"/>
          <w:pgSz w:w="16838" w:h="11906" w:orient="landscape"/>
          <w:pgMar w:top="1418" w:right="1701" w:bottom="1418" w:left="1134" w:header="708" w:footer="708" w:gutter="0"/>
          <w:cols w:space="708"/>
          <w:noEndnote/>
        </w:sect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VEGYIPARI ALAPISMERETEK</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before="122" w:after="122" w:line="240" w:lineRule="auto"/>
        <w:ind w:right="101"/>
        <w:rPr>
          <w:rFonts w:ascii="Times New Roman" w:hAnsi="Times New Roman" w:cs="Times New Roman"/>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ind w:left="101" w:right="101" w:firstLine="162"/>
        <w:rPr>
          <w:rFonts w:ascii="Times New Roman" w:hAnsi="Times New Roman" w:cs="Times New Roman"/>
          <w:sz w:val="20"/>
          <w:szCs w:val="20"/>
        </w:rPr>
      </w:pPr>
      <w:r>
        <w:rPr>
          <w:rFonts w:ascii="Times New Roman" w:hAnsi="Times New Roman" w:cs="Times New Roman"/>
          <w:sz w:val="20"/>
          <w:szCs w:val="20"/>
        </w:rPr>
        <w:t>Középszinten: írásbeli és  gyakorlati.</w:t>
      </w:r>
    </w:p>
    <w:p w:rsidR="004C2997" w:rsidRDefault="004C2997" w:rsidP="004C2997">
      <w:pPr>
        <w:autoSpaceDE w:val="0"/>
        <w:autoSpaceDN w:val="0"/>
        <w:adjustRightInd w:val="0"/>
        <w:spacing w:after="0" w:line="240" w:lineRule="auto"/>
        <w:ind w:left="101" w:right="101" w:firstLine="162"/>
        <w:rPr>
          <w:rFonts w:ascii="Times New Roman" w:hAnsi="Times New Roman" w:cs="Times New Roman"/>
          <w:sz w:val="20"/>
          <w:szCs w:val="20"/>
        </w:rPr>
      </w:pPr>
      <w:r>
        <w:rPr>
          <w:rFonts w:ascii="Times New Roman" w:hAnsi="Times New Roman" w:cs="Times New Roman"/>
          <w:sz w:val="20"/>
          <w:szCs w:val="20"/>
        </w:rPr>
        <w:t>Emelt szinten: írásbeli és  gyakorlati.</w:t>
      </w:r>
    </w:p>
    <w:p w:rsidR="004C2997" w:rsidRDefault="004C2997" w:rsidP="004C2997">
      <w:pPr>
        <w:autoSpaceDE w:val="0"/>
        <w:autoSpaceDN w:val="0"/>
        <w:adjustRightInd w:val="0"/>
        <w:spacing w:before="211" w:after="0" w:line="240" w:lineRule="auto"/>
        <w:ind w:right="176"/>
        <w:rPr>
          <w:rFonts w:ascii="Times New Roman" w:hAnsi="Times New Roman" w:cs="Times New Roman"/>
          <w:sz w:val="20"/>
          <w:szCs w:val="20"/>
        </w:rPr>
      </w:pPr>
      <w:r>
        <w:rPr>
          <w:rFonts w:ascii="Times New Roman" w:hAnsi="Times New Roman" w:cs="Times New Roman"/>
          <w:b/>
          <w:bCs/>
          <w:sz w:val="20"/>
          <w:szCs w:val="20"/>
        </w:rPr>
        <w:t>A vegyipari alapismeretek érettségi vizsga célja</w:t>
      </w:r>
    </w:p>
    <w:p w:rsidR="004C2997" w:rsidRDefault="004C2997" w:rsidP="004C2997">
      <w:pPr>
        <w:autoSpaceDE w:val="0"/>
        <w:autoSpaceDN w:val="0"/>
        <w:adjustRightInd w:val="0"/>
        <w:spacing w:after="0" w:line="240" w:lineRule="auto"/>
        <w:ind w:left="176" w:right="176"/>
        <w:rPr>
          <w:rFonts w:ascii="Times New Roman" w:hAnsi="Times New Roman" w:cs="Times New Roman"/>
          <w:sz w:val="20"/>
          <w:szCs w:val="20"/>
        </w:rPr>
      </w:pPr>
      <w:r>
        <w:rPr>
          <w:rFonts w:ascii="Times New Roman" w:hAnsi="Times New Roman" w:cs="Times New Roman"/>
          <w:sz w:val="20"/>
          <w:szCs w:val="20"/>
        </w:rPr>
        <w:t>A vegyipari alapismeretek komplex vizsgatárgy, amely követelményei részét képezik a szakmacsoportos alapozó ismeretek középiskolai tananyagának és tevékenységformáinak. A vizsgatárgy feladata a tudás közvetítése mellett a készségek és képességek fejlesztése, a tudatos pályaválasztás, a közép- és felsőfokú tanulmányok, továbbá az egy életen át való tanulás motivációs bázisának, tartalmi elemeinek megalapozása.</w:t>
      </w:r>
    </w:p>
    <w:p w:rsidR="004C2997" w:rsidRDefault="004C2997" w:rsidP="004C2997">
      <w:pPr>
        <w:autoSpaceDE w:val="0"/>
        <w:autoSpaceDN w:val="0"/>
        <w:adjustRightInd w:val="0"/>
        <w:spacing w:before="120" w:after="0" w:line="240" w:lineRule="auto"/>
        <w:ind w:right="101"/>
        <w:rPr>
          <w:rFonts w:ascii="Times New Roman" w:hAnsi="Times New Roman" w:cs="Times New Roman"/>
          <w:i/>
          <w:iCs/>
          <w:sz w:val="20"/>
          <w:szCs w:val="20"/>
        </w:rPr>
      </w:pPr>
      <w:r>
        <w:rPr>
          <w:rFonts w:ascii="Times New Roman" w:hAnsi="Times New Roman" w:cs="Times New Roman"/>
          <w:sz w:val="20"/>
          <w:szCs w:val="20"/>
        </w:rPr>
        <w:t xml:space="preserve">A vegyipari alapismeretek szakmai előkészítő érettségi vizsga általános célja, annak megállapítása, hogy a vizsgázónak a </w:t>
      </w:r>
      <w:r>
        <w:rPr>
          <w:rFonts w:ascii="Times New Roman" w:hAnsi="Times New Roman" w:cs="Times New Roman"/>
          <w:i/>
          <w:iCs/>
          <w:sz w:val="20"/>
          <w:szCs w:val="20"/>
        </w:rPr>
        <w:t>szakmacsoportos alapozó ismeretekből</w:t>
      </w:r>
    </w:p>
    <w:p w:rsidR="004C2997" w:rsidRDefault="004C2997" w:rsidP="004C2997">
      <w:pPr>
        <w:tabs>
          <w:tab w:val="left" w:pos="851"/>
        </w:tabs>
        <w:autoSpaceDE w:val="0"/>
        <w:autoSpaceDN w:val="0"/>
        <w:adjustRightInd w:val="0"/>
        <w:spacing w:after="0" w:line="240" w:lineRule="auto"/>
        <w:ind w:left="851" w:right="101"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megfelelő-e a tárgyi tudása, gondolkodási és tájékozódási képessége, képes-e ismereteinek rendszerezésére és gyakorlati alkalmazására,</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kialakult-e a vizsgázóban az igény az ismeretek megszerzésére, értelmezésére, hasznosítására,</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az önálló ismeretszerzés képességével,</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kreatív, logikus gondolkodásra,</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ok-okozati összefüggések feltárására,</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lényegmegragadó képességgel,</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az alapvető kémiai és fizikai kémiai fogalmakat és összefüggéseket,</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értelmezni a megismert anyagok tulajdonságait és változásait,</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egyszerű kémiai és fizikai kémiai számításokat elvégezni,</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ismereteit a gyakorlatban alkalmazni,</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elsajátította-e a vegyiparban használatos műszaki kifejezéseket, műszaki nyelvezetet,</w:t>
      </w:r>
    </w:p>
    <w:p w:rsidR="004C2997" w:rsidRDefault="004C2997" w:rsidP="004C2997">
      <w:pPr>
        <w:tabs>
          <w:tab w:val="left" w:pos="851"/>
        </w:tabs>
        <w:autoSpaceDE w:val="0"/>
        <w:autoSpaceDN w:val="0"/>
        <w:adjustRightInd w:val="0"/>
        <w:spacing w:after="0" w:line="240" w:lineRule="auto"/>
        <w:ind w:left="851" w:right="101" w:hanging="284"/>
        <w:rPr>
          <w:rFonts w:ascii="Times New Roman" w:hAnsi="Times New Roman" w:cs="Times New Roman"/>
          <w:i/>
          <w:iCs/>
          <w:sz w:val="20"/>
          <w:szCs w:val="20"/>
        </w:rPr>
      </w:pPr>
      <w:r>
        <w:rPr>
          <w:rFonts w:ascii="Times New Roman" w:hAnsi="Times New Roman" w:cs="Times New Roman"/>
          <w:sz w:val="20"/>
          <w:szCs w:val="20"/>
        </w:rPr>
        <w:t>–</w:t>
      </w:r>
      <w:r>
        <w:rPr>
          <w:rFonts w:ascii="Times New Roman" w:hAnsi="Times New Roman" w:cs="Times New Roman"/>
          <w:sz w:val="20"/>
          <w:szCs w:val="20"/>
        </w:rPr>
        <w:tab/>
        <w:t>kialakult-e a vizsgázóban a szakterülethez való kötődés,</w:t>
      </w:r>
    </w:p>
    <w:p w:rsidR="004C2997" w:rsidRDefault="004C2997" w:rsidP="004C2997">
      <w:pPr>
        <w:tabs>
          <w:tab w:val="left" w:pos="851"/>
        </w:tabs>
        <w:autoSpaceDE w:val="0"/>
        <w:autoSpaceDN w:val="0"/>
        <w:adjustRightInd w:val="0"/>
        <w:spacing w:after="0" w:line="240" w:lineRule="auto"/>
        <w:ind w:left="851" w:right="101"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felkészült-e a felsőoktatási intézményekben folyó tanulmányok megkezdésére.</w:t>
      </w:r>
    </w:p>
    <w:p w:rsidR="004C2997" w:rsidRDefault="004C2997" w:rsidP="004C2997">
      <w:pPr>
        <w:autoSpaceDE w:val="0"/>
        <w:autoSpaceDN w:val="0"/>
        <w:adjustRightInd w:val="0"/>
        <w:spacing w:after="0" w:line="240" w:lineRule="auto"/>
        <w:ind w:left="457" w:right="176"/>
        <w:rPr>
          <w:rFonts w:ascii="Times New Roman" w:hAnsi="Times New Roman" w:cs="Times New Roman"/>
          <w:sz w:val="20"/>
          <w:szCs w:val="20"/>
        </w:rPr>
      </w:pPr>
    </w:p>
    <w:p w:rsidR="004C2997" w:rsidRDefault="004C2997" w:rsidP="004C2997">
      <w:pPr>
        <w:autoSpaceDE w:val="0"/>
        <w:autoSpaceDN w:val="0"/>
        <w:adjustRightInd w:val="0"/>
        <w:spacing w:before="120" w:after="0" w:line="240" w:lineRule="auto"/>
        <w:ind w:right="176"/>
        <w:rPr>
          <w:rFonts w:ascii="Times New Roman" w:hAnsi="Times New Roman" w:cs="Times New Roman"/>
          <w:sz w:val="20"/>
          <w:szCs w:val="20"/>
        </w:rPr>
      </w:pPr>
      <w:r>
        <w:rPr>
          <w:rFonts w:ascii="Times New Roman" w:hAnsi="Times New Roman" w:cs="Times New Roman"/>
          <w:sz w:val="20"/>
          <w:szCs w:val="20"/>
        </w:rPr>
        <w:t>A középszintű vizsga célja annak megállapítása, hogy a vizsgázó</w:t>
      </w:r>
    </w:p>
    <w:p w:rsidR="004C2997" w:rsidRDefault="004C2997" w:rsidP="004C2997">
      <w:pPr>
        <w:tabs>
          <w:tab w:val="left" w:pos="851"/>
        </w:tabs>
        <w:autoSpaceDE w:val="0"/>
        <w:autoSpaceDN w:val="0"/>
        <w:adjustRightInd w:val="0"/>
        <w:spacing w:after="0" w:line="240" w:lineRule="auto"/>
        <w:ind w:left="851" w:right="101"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természettudományi tantárgyak keretében tanult ismereteket alkalmazni,</w:t>
      </w:r>
    </w:p>
    <w:p w:rsidR="004C2997" w:rsidRDefault="004C2997" w:rsidP="004C2997">
      <w:pPr>
        <w:tabs>
          <w:tab w:val="left" w:pos="851"/>
        </w:tabs>
        <w:autoSpaceDE w:val="0"/>
        <w:autoSpaceDN w:val="0"/>
        <w:adjustRightInd w:val="0"/>
        <w:spacing w:after="0" w:line="240" w:lineRule="auto"/>
        <w:ind w:left="851" w:right="101"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kémiai és fizikai kémiai számításokat elvégezni, számításai végeredményét megf elelő pontossággal megadni,</w:t>
      </w:r>
    </w:p>
    <w:p w:rsidR="004C2997" w:rsidRDefault="004C2997" w:rsidP="004C2997">
      <w:pPr>
        <w:tabs>
          <w:tab w:val="left" w:pos="851"/>
        </w:tabs>
        <w:autoSpaceDE w:val="0"/>
        <w:autoSpaceDN w:val="0"/>
        <w:adjustRightInd w:val="0"/>
        <w:spacing w:after="0" w:line="240" w:lineRule="auto"/>
        <w:ind w:left="851" w:right="101"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vegyipari jellegű problémák megoldásához szükséges kémiai és fizikai kémiai ismeretekkel ,</w:t>
      </w:r>
    </w:p>
    <w:p w:rsidR="004C2997" w:rsidRDefault="004C2997" w:rsidP="004C2997">
      <w:pPr>
        <w:tabs>
          <w:tab w:val="left" w:pos="851"/>
        </w:tabs>
        <w:autoSpaceDE w:val="0"/>
        <w:autoSpaceDN w:val="0"/>
        <w:adjustRightInd w:val="0"/>
        <w:spacing w:after="0" w:line="240" w:lineRule="auto"/>
        <w:ind w:left="851" w:right="101"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vegyiparban szükséges alapvető számítások elvégzésére,</w:t>
      </w:r>
    </w:p>
    <w:p w:rsidR="004C2997" w:rsidRDefault="004C2997" w:rsidP="004C2997">
      <w:pPr>
        <w:tabs>
          <w:tab w:val="left" w:pos="851"/>
        </w:tabs>
        <w:autoSpaceDE w:val="0"/>
        <w:autoSpaceDN w:val="0"/>
        <w:adjustRightInd w:val="0"/>
        <w:spacing w:after="0" w:line="240" w:lineRule="auto"/>
        <w:ind w:left="851" w:right="101"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különböző témakörökben elsajátított ismereteit  alkalmazni írásbeli feladatok megoldásában,</w:t>
      </w:r>
    </w:p>
    <w:p w:rsidR="004C2997" w:rsidRDefault="004C2997" w:rsidP="004C2997">
      <w:pPr>
        <w:tabs>
          <w:tab w:val="left" w:pos="851"/>
        </w:tabs>
        <w:autoSpaceDE w:val="0"/>
        <w:autoSpaceDN w:val="0"/>
        <w:adjustRightInd w:val="0"/>
        <w:spacing w:after="0" w:line="240" w:lineRule="auto"/>
        <w:ind w:left="851" w:right="101"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vegyészeti laboratóriumi munkához szükséges műveleteket, analíziseket a gyakorlatban szakszerűen és önállóan elvégezni, munkáját dokumentálni.</w:t>
      </w:r>
    </w:p>
    <w:p w:rsidR="004C2997" w:rsidRDefault="004C2997" w:rsidP="004C2997">
      <w:pPr>
        <w:autoSpaceDE w:val="0"/>
        <w:autoSpaceDN w:val="0"/>
        <w:adjustRightInd w:val="0"/>
        <w:spacing w:after="0" w:line="240" w:lineRule="auto"/>
        <w:ind w:left="567" w:right="101"/>
        <w:rPr>
          <w:rFonts w:ascii="Times New Roman" w:hAnsi="Times New Roman" w:cs="Times New Roman"/>
          <w:sz w:val="20"/>
          <w:szCs w:val="20"/>
        </w:rPr>
      </w:pPr>
    </w:p>
    <w:p w:rsidR="004C2997" w:rsidRDefault="004C2997" w:rsidP="004C2997">
      <w:pPr>
        <w:autoSpaceDE w:val="0"/>
        <w:autoSpaceDN w:val="0"/>
        <w:adjustRightInd w:val="0"/>
        <w:spacing w:before="120" w:after="0" w:line="240" w:lineRule="auto"/>
        <w:ind w:right="101"/>
        <w:rPr>
          <w:rFonts w:ascii="Times New Roman" w:hAnsi="Times New Roman" w:cs="Times New Roman"/>
          <w:sz w:val="20"/>
          <w:szCs w:val="20"/>
        </w:rPr>
      </w:pPr>
      <w:r>
        <w:rPr>
          <w:rFonts w:ascii="Times New Roman" w:hAnsi="Times New Roman" w:cs="Times New Roman"/>
          <w:sz w:val="20"/>
          <w:szCs w:val="20"/>
        </w:rPr>
        <w:t>Az emelt szintű vizsga célja annak megállapítása, hogy a vizsgázó  a középszintű követelményeken túl</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elsajátította-e az emelt szintű követelményekben előírt ismereteket,</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megmagyarázni az összefüggéseket az anyagok szerkezete és tulajdonságai között,</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az elméleti ismeretek problémamegoldó alkalmazására,</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tananyag alapvető fontosságú tényeit, alaptörvényeit, összefüggéseit megmagyarázni,</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az egyes témakörök közötti összefüggések megértésére, rendszerezésére, elemzésére,</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összetett, bonyolultabb kémiai és fizikai kémiai számításokat elvégezni,</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összetettebb vegyészeti laboratóriumi gyakorlati feladatokat értelmezni, ismeretei alkalmazásával megtervezni, szakszerűen, önállóan elvégezni és munkáját dokumentálni,</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vegyipari szakirodalom használatának módját,</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szakirányú felsőoktatási tanulmányokhoz szükséges ismeretekkel és képességekkel ,</w:t>
      </w:r>
    </w:p>
    <w:p w:rsidR="004C2997" w:rsidRDefault="004C2997" w:rsidP="004C2997">
      <w:pPr>
        <w:tabs>
          <w:tab w:val="left" w:pos="851"/>
        </w:tabs>
        <w:autoSpaceDE w:val="0"/>
        <w:autoSpaceDN w:val="0"/>
        <w:adjustRightInd w:val="0"/>
        <w:spacing w:after="0" w:line="240" w:lineRule="auto"/>
        <w:ind w:left="851" w:right="176" w:hanging="284"/>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kémiai elveken és módszereken alapuló környezetvédelem legfontosabb összefüggéseit, a vegyipar gyakorlati és műszaki alkalmazásait, hasznosságát, veszélyeit, azok elkerülésének módjait, a vegyipar fejlődésének irányát.</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before="122" w:after="122" w:line="240" w:lineRule="auto"/>
        <w:ind w:right="101"/>
        <w:rPr>
          <w:rFonts w:ascii="Times New Roman" w:hAnsi="Times New Roman" w:cs="Times New Roman"/>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 KÉMIA ÉS FIZIKAI KÉMIA</w:t>
      </w: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Kémia</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24"/>
        <w:gridCol w:w="3702"/>
        <w:gridCol w:w="3513"/>
      </w:tblGrid>
      <w:tr w:rsidR="004C2997">
        <w:tblPrEx>
          <w:tblCellMar>
            <w:top w:w="0" w:type="dxa"/>
            <w:left w:w="0" w:type="dxa"/>
            <w:bottom w:w="0" w:type="dxa"/>
            <w:right w:w="0" w:type="dxa"/>
          </w:tblCellMar>
        </w:tblPrEx>
        <w:tc>
          <w:tcPr>
            <w:tcW w:w="2424" w:type="dxa"/>
            <w:vAlign w:val="center"/>
          </w:tcPr>
          <w:p w:rsidR="004C2997" w:rsidRDefault="004C2997">
            <w:pPr>
              <w:autoSpaceDE w:val="0"/>
              <w:autoSpaceDN w:val="0"/>
              <w:adjustRightInd w:val="0"/>
              <w:spacing w:after="0" w:line="240" w:lineRule="auto"/>
              <w:ind w:left="184"/>
              <w:rPr>
                <w:rFonts w:ascii="Times New Roman" w:hAnsi="Times New Roman" w:cs="Times New Roman"/>
                <w:b/>
                <w:bCs/>
                <w:sz w:val="20"/>
                <w:szCs w:val="20"/>
              </w:rPr>
            </w:pPr>
            <w:r>
              <w:rPr>
                <w:rFonts w:ascii="Times New Roman" w:hAnsi="Times New Roman" w:cs="Times New Roman"/>
                <w:b/>
                <w:bCs/>
                <w:sz w:val="20"/>
                <w:szCs w:val="20"/>
              </w:rPr>
              <w:t>Témakörök</w:t>
            </w:r>
          </w:p>
        </w:tc>
        <w:tc>
          <w:tcPr>
            <w:tcW w:w="3702" w:type="dxa"/>
            <w:vAlign w:val="center"/>
          </w:tcPr>
          <w:p w:rsidR="004C2997" w:rsidRDefault="004C2997">
            <w:pPr>
              <w:autoSpaceDE w:val="0"/>
              <w:autoSpaceDN w:val="0"/>
              <w:adjustRightInd w:val="0"/>
              <w:spacing w:after="0" w:line="240" w:lineRule="auto"/>
              <w:ind w:left="64"/>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3513" w:type="dxa"/>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Pr>
          <w:p w:rsidR="004C2997" w:rsidRDefault="004C2997">
            <w:pPr>
              <w:autoSpaceDE w:val="0"/>
              <w:autoSpaceDN w:val="0"/>
              <w:adjustRightInd w:val="0"/>
              <w:spacing w:after="0" w:line="240" w:lineRule="auto"/>
              <w:ind w:left="397" w:hanging="284"/>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Kémiai számítások</w:t>
            </w:r>
          </w:p>
        </w:tc>
        <w:tc>
          <w:tcPr>
            <w:tcW w:w="3702" w:type="dxa"/>
          </w:tcPr>
          <w:p w:rsidR="004C2997" w:rsidRDefault="004C2997">
            <w:pPr>
              <w:autoSpaceDE w:val="0"/>
              <w:autoSpaceDN w:val="0"/>
              <w:adjustRightInd w:val="0"/>
              <w:spacing w:after="0" w:line="240" w:lineRule="auto"/>
              <w:ind w:right="150" w:firstLine="390"/>
              <w:jc w:val="both"/>
              <w:rPr>
                <w:rFonts w:ascii="Times New Roman" w:hAnsi="Times New Roman" w:cs="Times New Roman"/>
                <w:sz w:val="20"/>
                <w:szCs w:val="20"/>
              </w:rPr>
            </w:pPr>
            <w:r>
              <w:rPr>
                <w:rFonts w:ascii="Times New Roman" w:hAnsi="Times New Roman" w:cs="Times New Roman"/>
                <w:sz w:val="20"/>
                <w:szCs w:val="20"/>
              </w:rPr>
              <w:t>Anyagmennyiséggel kapcsolatos számítások.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Sztöchiometriai számítások.</w:t>
            </w:r>
          </w:p>
        </w:tc>
        <w:tc>
          <w:tcPr>
            <w:tcW w:w="351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Összetett sztöchiometriai számítások.</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Pr>
          <w:p w:rsidR="004C2997" w:rsidRDefault="004C2997">
            <w:pPr>
              <w:autoSpaceDE w:val="0"/>
              <w:autoSpaceDN w:val="0"/>
              <w:adjustRightInd w:val="0"/>
              <w:spacing w:after="0" w:line="240" w:lineRule="auto"/>
              <w:ind w:left="397" w:hanging="284"/>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Kémiai elemek</w:t>
            </w:r>
          </w:p>
        </w:tc>
        <w:tc>
          <w:tcPr>
            <w:tcW w:w="370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Nemfémes elemek.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Fémes elemek.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Jellemzőik, előállításuk, ipari felhasználásuk, előfordulásuk.</w:t>
            </w:r>
          </w:p>
        </w:tc>
        <w:tc>
          <w:tcPr>
            <w:tcW w:w="351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Tulajdonságok, kémiai átalakulások atom-, molekula- vagy halmazszerkezeti változásokkal való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Allotróp módosulatok anyagszerkezeti magyarázata.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Ötvözetek</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Pr>
          <w:p w:rsidR="004C2997" w:rsidRDefault="004C2997">
            <w:pPr>
              <w:autoSpaceDE w:val="0"/>
              <w:autoSpaceDN w:val="0"/>
              <w:adjustRightInd w:val="0"/>
              <w:spacing w:after="0" w:line="240" w:lineRule="auto"/>
              <w:ind w:left="397" w:hanging="284"/>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Szervetlen kémiai vegyületek</w:t>
            </w:r>
          </w:p>
        </w:tc>
        <w:tc>
          <w:tcPr>
            <w:tcW w:w="370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Oxidok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Hidroxidok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Savak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Sók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Jellemzőik, előállításuk, ipari felhasználásuk, előfordulásuk.</w:t>
            </w:r>
          </w:p>
        </w:tc>
        <w:tc>
          <w:tcPr>
            <w:tcW w:w="351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Hidrogén-halogenidek saverősségének összehasonlítása.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Hidroxidok kiegészítése.</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Pr>
          <w:p w:rsidR="004C2997" w:rsidRDefault="004C2997">
            <w:pPr>
              <w:autoSpaceDE w:val="0"/>
              <w:autoSpaceDN w:val="0"/>
              <w:adjustRightInd w:val="0"/>
              <w:spacing w:after="0" w:line="240" w:lineRule="auto"/>
              <w:ind w:left="397" w:hanging="284"/>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Szénhidrogének</w:t>
            </w:r>
          </w:p>
          <w:p w:rsidR="004C2997" w:rsidRDefault="004C2997">
            <w:pPr>
              <w:autoSpaceDE w:val="0"/>
              <w:autoSpaceDN w:val="0"/>
              <w:adjustRightInd w:val="0"/>
              <w:spacing w:after="0" w:line="240" w:lineRule="auto"/>
              <w:ind w:left="510" w:hanging="397"/>
              <w:rPr>
                <w:rFonts w:ascii="Times New Roman" w:hAnsi="Times New Roman" w:cs="Times New Roman"/>
                <w:b/>
                <w:bCs/>
                <w:sz w:val="20"/>
                <w:szCs w:val="20"/>
              </w:rPr>
            </w:pPr>
          </w:p>
        </w:tc>
        <w:tc>
          <w:tcPr>
            <w:tcW w:w="370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Szénhidrogének fizikai tulajdonságai.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Kőolajpárlatok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Szénhidrogének kémiai átalakulásai.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Szénhidrogének ipari jelentősége.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Szénhidrogének halogénezett származékai.</w:t>
            </w:r>
          </w:p>
        </w:tc>
        <w:tc>
          <w:tcPr>
            <w:tcW w:w="351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Markovnyikov- és Zajcev-szabály.</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Acetilén savi sajátsága.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Benzinpirolízis termékei.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Pr>
          <w:p w:rsidR="004C2997" w:rsidRDefault="004C2997">
            <w:pPr>
              <w:autoSpaceDE w:val="0"/>
              <w:autoSpaceDN w:val="0"/>
              <w:adjustRightInd w:val="0"/>
              <w:spacing w:after="0" w:line="240" w:lineRule="auto"/>
              <w:ind w:left="397" w:hanging="284"/>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Halogénezett szénhidrogének</w:t>
            </w:r>
          </w:p>
        </w:tc>
        <w:tc>
          <w:tcPr>
            <w:tcW w:w="370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halogénezett szénhidrogének fizikai, kémiai, élettani tulajdonságai, kémiai reakciói, jelentőségük.</w:t>
            </w:r>
          </w:p>
        </w:tc>
        <w:tc>
          <w:tcPr>
            <w:tcW w:w="351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molekula tömegének és polaritásának kapcsolata a fizikai tulajdonságokkal.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olvadáspont, a forráspont, az oldhatóság összehasonlítása az azonos szénatomszámú szénhidrogénekével.</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Borders>
              <w:bottom w:val="nil"/>
            </w:tcBorders>
          </w:tcPr>
          <w:p w:rsidR="004C2997" w:rsidRDefault="004C2997">
            <w:pPr>
              <w:autoSpaceDE w:val="0"/>
              <w:autoSpaceDN w:val="0"/>
              <w:adjustRightInd w:val="0"/>
              <w:spacing w:after="0" w:line="240" w:lineRule="auto"/>
              <w:ind w:left="397" w:hanging="284"/>
              <w:rPr>
                <w:rFonts w:ascii="Times New Roman" w:hAnsi="Times New Roman" w:cs="Times New Roman"/>
                <w:b/>
                <w:bCs/>
                <w:sz w:val="20"/>
                <w:szCs w:val="20"/>
              </w:rPr>
            </w:pPr>
            <w:r>
              <w:rPr>
                <w:rFonts w:ascii="Times New Roman" w:hAnsi="Times New Roman" w:cs="Times New Roman"/>
                <w:b/>
                <w:bCs/>
                <w:sz w:val="20"/>
                <w:szCs w:val="20"/>
              </w:rPr>
              <w:t>6.</w:t>
            </w:r>
            <w:r>
              <w:rPr>
                <w:rFonts w:ascii="Times New Roman" w:hAnsi="Times New Roman" w:cs="Times New Roman"/>
                <w:b/>
                <w:bCs/>
                <w:sz w:val="20"/>
                <w:szCs w:val="20"/>
              </w:rPr>
              <w:tab/>
              <w:t>Oxigéntartalmú szerves vegyületek</w:t>
            </w:r>
          </w:p>
        </w:tc>
        <w:tc>
          <w:tcPr>
            <w:tcW w:w="370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513"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Borders>
              <w:top w:val="nil"/>
              <w:bottom w:val="nil"/>
            </w:tcBorders>
          </w:tcPr>
          <w:p w:rsidR="004C2997" w:rsidRDefault="004C2997">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Hidroxivegyületek</w:t>
            </w:r>
          </w:p>
          <w:p w:rsidR="004C2997" w:rsidRDefault="004C2997">
            <w:pPr>
              <w:autoSpaceDE w:val="0"/>
              <w:autoSpaceDN w:val="0"/>
              <w:adjustRightInd w:val="0"/>
              <w:spacing w:after="0" w:line="240" w:lineRule="auto"/>
              <w:ind w:left="252"/>
              <w:rPr>
                <w:rFonts w:ascii="Times New Roman" w:hAnsi="Times New Roman" w:cs="Times New Roman"/>
                <w:sz w:val="20"/>
                <w:szCs w:val="20"/>
              </w:rPr>
            </w:pPr>
          </w:p>
        </w:tc>
        <w:tc>
          <w:tcPr>
            <w:tcW w:w="370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Alkoholok, fenolok: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fizikai, kémia tulajdonságai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ipari előállításuk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ipari jelentőségük.</w:t>
            </w:r>
          </w:p>
        </w:tc>
        <w:tc>
          <w:tcPr>
            <w:tcW w:w="3513"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alkoholok savas jellege.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Különböző alkoholok forrás- és olvadáspontjának, oldhatóságának becslése szerkezetük alapján.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Borders>
              <w:top w:val="nil"/>
              <w:bottom w:val="nil"/>
            </w:tcBorders>
          </w:tcPr>
          <w:p w:rsidR="004C2997" w:rsidRDefault="004C2997">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Éterek</w:t>
            </w:r>
          </w:p>
        </w:tc>
        <w:tc>
          <w:tcPr>
            <w:tcW w:w="370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Éterek jellemzői.</w:t>
            </w:r>
          </w:p>
        </w:tc>
        <w:tc>
          <w:tcPr>
            <w:tcW w:w="3513"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Borders>
              <w:top w:val="nil"/>
              <w:bottom w:val="nil"/>
            </w:tcBorders>
          </w:tcPr>
          <w:p w:rsidR="004C2997" w:rsidRDefault="004C2997">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Oxovegyületek</w:t>
            </w:r>
          </w:p>
        </w:tc>
        <w:tc>
          <w:tcPr>
            <w:tcW w:w="370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Aldehidek, ketonok jellemzői, ipari jelentőségük.</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513"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olvadáspont, forráspont és az oldhatóság összehasonlítása a megfelelő moláris tömegű alkoholokéval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Oxovegyületek redoxi átalakulása.</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Borders>
              <w:top w:val="nil"/>
            </w:tcBorders>
          </w:tcPr>
          <w:p w:rsidR="004C2997" w:rsidRDefault="004C2997">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Karbonsavak és származékai</w:t>
            </w:r>
          </w:p>
          <w:p w:rsidR="004C2997" w:rsidRDefault="004C2997">
            <w:pPr>
              <w:autoSpaceDE w:val="0"/>
              <w:autoSpaceDN w:val="0"/>
              <w:adjustRightInd w:val="0"/>
              <w:spacing w:after="0" w:line="240" w:lineRule="auto"/>
              <w:ind w:left="252"/>
              <w:rPr>
                <w:rFonts w:ascii="Times New Roman" w:hAnsi="Times New Roman" w:cs="Times New Roman"/>
                <w:sz w:val="20"/>
                <w:szCs w:val="20"/>
              </w:rPr>
            </w:pPr>
          </w:p>
        </w:tc>
        <w:tc>
          <w:tcPr>
            <w:tcW w:w="3702"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Karbonsavak fizikai és kémiai jellemzői.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Karbonsavak előállítása, ipari jelentősége.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Szénláncban helyettesített karbonsavak.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karbonsavszármazékok.</w:t>
            </w:r>
          </w:p>
        </w:tc>
        <w:tc>
          <w:tcPr>
            <w:tcW w:w="3513"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Karbonsavak ipari előállítása.</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Pr>
          <w:p w:rsidR="004C2997" w:rsidRDefault="004C2997">
            <w:pPr>
              <w:tabs>
                <w:tab w:val="left" w:pos="72"/>
              </w:tabs>
              <w:autoSpaceDE w:val="0"/>
              <w:autoSpaceDN w:val="0"/>
              <w:adjustRightInd w:val="0"/>
              <w:spacing w:after="0" w:line="240" w:lineRule="auto"/>
              <w:ind w:left="432" w:hanging="360"/>
              <w:rPr>
                <w:rFonts w:ascii="Times New Roman" w:hAnsi="Times New Roman" w:cs="Times New Roman"/>
                <w:b/>
                <w:bCs/>
                <w:sz w:val="20"/>
                <w:szCs w:val="20"/>
              </w:rPr>
            </w:pPr>
            <w:r>
              <w:rPr>
                <w:rFonts w:ascii="Times New Roman" w:hAnsi="Times New Roman" w:cs="Times New Roman"/>
                <w:b/>
                <w:bCs/>
                <w:sz w:val="20"/>
                <w:szCs w:val="20"/>
              </w:rPr>
              <w:t>7.</w:t>
            </w:r>
            <w:r>
              <w:rPr>
                <w:rFonts w:ascii="Times New Roman" w:hAnsi="Times New Roman" w:cs="Times New Roman"/>
                <w:b/>
                <w:bCs/>
                <w:sz w:val="20"/>
                <w:szCs w:val="20"/>
              </w:rPr>
              <w:tab/>
              <w:t>Nitrogén tartalmú szerves vegyületek</w:t>
            </w:r>
          </w:p>
        </w:tc>
        <w:tc>
          <w:tcPr>
            <w:tcW w:w="370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Nitrovegyületek, aminok.</w:t>
            </w:r>
          </w:p>
        </w:tc>
        <w:tc>
          <w:tcPr>
            <w:tcW w:w="351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Nitrogéntartalmú heterociklusos vegyületek.</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Borders>
              <w:bottom w:val="nil"/>
            </w:tcBorders>
          </w:tcPr>
          <w:p w:rsidR="004C2997" w:rsidRDefault="004C2997">
            <w:pPr>
              <w:autoSpaceDE w:val="0"/>
              <w:autoSpaceDN w:val="0"/>
              <w:adjustRightInd w:val="0"/>
              <w:spacing w:after="0" w:line="240" w:lineRule="auto"/>
              <w:ind w:left="397" w:hanging="284"/>
              <w:rPr>
                <w:rFonts w:ascii="Times New Roman" w:hAnsi="Times New Roman" w:cs="Times New Roman"/>
                <w:b/>
                <w:bCs/>
                <w:sz w:val="20"/>
                <w:szCs w:val="20"/>
              </w:rPr>
            </w:pPr>
            <w:r>
              <w:rPr>
                <w:rFonts w:ascii="Times New Roman" w:hAnsi="Times New Roman" w:cs="Times New Roman"/>
                <w:b/>
                <w:bCs/>
                <w:sz w:val="20"/>
                <w:szCs w:val="20"/>
              </w:rPr>
              <w:t>8.</w:t>
            </w:r>
            <w:r>
              <w:rPr>
                <w:rFonts w:ascii="Times New Roman" w:hAnsi="Times New Roman" w:cs="Times New Roman"/>
                <w:b/>
                <w:bCs/>
                <w:sz w:val="20"/>
                <w:szCs w:val="20"/>
              </w:rPr>
              <w:tab/>
              <w:t>Élettanilag fontos szerves vegyületek</w:t>
            </w:r>
          </w:p>
        </w:tc>
        <w:tc>
          <w:tcPr>
            <w:tcW w:w="3702"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513"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Borders>
              <w:top w:val="nil"/>
              <w:bottom w:val="nil"/>
            </w:tcBorders>
          </w:tcPr>
          <w:p w:rsidR="004C2997" w:rsidRDefault="004C2997">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A fehérjék</w:t>
            </w:r>
          </w:p>
        </w:tc>
        <w:tc>
          <w:tcPr>
            <w:tcW w:w="3702"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fehérjék szerkezete, tulajdonságaik, reakcióik, jelentőségük.</w:t>
            </w:r>
          </w:p>
        </w:tc>
        <w:tc>
          <w:tcPr>
            <w:tcW w:w="3513" w:type="dxa"/>
            <w:tcBorders>
              <w:top w:val="nil"/>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fehérjék harmadlagos és negyedleges szerkezete.</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Borders>
              <w:top w:val="nil"/>
            </w:tcBorders>
          </w:tcPr>
          <w:p w:rsidR="004C2997" w:rsidRDefault="004C2997">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A szénhdirátok</w:t>
            </w:r>
          </w:p>
        </w:tc>
        <w:tc>
          <w:tcPr>
            <w:tcW w:w="3702"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szénhidrátok fogalma, általános jellemzésük, szerkezetük, csoportosításuk.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mono- és diszacharidok jellemzői.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poliszacharidok.</w:t>
            </w:r>
          </w:p>
        </w:tc>
        <w:tc>
          <w:tcPr>
            <w:tcW w:w="3513" w:type="dxa"/>
            <w:tcBorders>
              <w:top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 és L- konfiguráció.</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Borders>
              <w:bottom w:val="nil"/>
              <w:right w:val="single" w:sz="6" w:space="0" w:color="auto"/>
            </w:tcBorders>
          </w:tcPr>
          <w:p w:rsidR="004C2997" w:rsidRDefault="004C2997">
            <w:pPr>
              <w:autoSpaceDE w:val="0"/>
              <w:autoSpaceDN w:val="0"/>
              <w:adjustRightInd w:val="0"/>
              <w:spacing w:after="0" w:line="240" w:lineRule="auto"/>
              <w:ind w:left="397" w:hanging="284"/>
              <w:rPr>
                <w:rFonts w:ascii="Times New Roman" w:hAnsi="Times New Roman" w:cs="Times New Roman"/>
                <w:sz w:val="26"/>
                <w:szCs w:val="26"/>
              </w:rPr>
            </w:pPr>
            <w:r>
              <w:rPr>
                <w:rFonts w:ascii="Times New Roman" w:hAnsi="Times New Roman" w:cs="Times New Roman"/>
                <w:b/>
                <w:bCs/>
                <w:sz w:val="20"/>
                <w:szCs w:val="20"/>
              </w:rPr>
              <w:t>9.</w:t>
            </w:r>
            <w:r>
              <w:rPr>
                <w:rFonts w:ascii="Times New Roman" w:hAnsi="Times New Roman" w:cs="Times New Roman"/>
                <w:b/>
                <w:bCs/>
                <w:sz w:val="20"/>
                <w:szCs w:val="20"/>
              </w:rPr>
              <w:tab/>
              <w:t>Alkalmazott kémia</w:t>
            </w:r>
          </w:p>
        </w:tc>
        <w:tc>
          <w:tcPr>
            <w:tcW w:w="3702" w:type="dxa"/>
            <w:tcBorders>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513" w:type="dxa"/>
            <w:tcBorders>
              <w:left w:val="single" w:sz="6"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Borders>
              <w:top w:val="nil"/>
              <w:bottom w:val="nil"/>
              <w:right w:val="single" w:sz="6" w:space="0" w:color="auto"/>
            </w:tcBorders>
          </w:tcPr>
          <w:p w:rsidR="004C2997" w:rsidRDefault="004C2997">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Víz kémiája</w:t>
            </w:r>
          </w:p>
          <w:p w:rsidR="004C2997" w:rsidRDefault="004C2997">
            <w:pPr>
              <w:autoSpaceDE w:val="0"/>
              <w:autoSpaceDN w:val="0"/>
              <w:adjustRightInd w:val="0"/>
              <w:spacing w:after="0" w:line="240" w:lineRule="auto"/>
              <w:ind w:left="397"/>
              <w:rPr>
                <w:rFonts w:ascii="Times New Roman" w:hAnsi="Times New Roman" w:cs="Times New Roman"/>
                <w:sz w:val="26"/>
                <w:szCs w:val="26"/>
              </w:rPr>
            </w:pPr>
          </w:p>
        </w:tc>
        <w:tc>
          <w:tcPr>
            <w:tcW w:w="3702"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Kémiailag tiszta és a természetes víz jellemzői.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Vízkémiai alapfogalmak.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Vízlágyítás.</w:t>
            </w:r>
          </w:p>
        </w:tc>
        <w:tc>
          <w:tcPr>
            <w:tcW w:w="3513" w:type="dxa"/>
            <w:tcBorders>
              <w:top w:val="nil"/>
              <w:left w:val="single" w:sz="6"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víz természetes körforgása.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Vízlágyítási reakciók.</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Borders>
              <w:top w:val="nil"/>
              <w:bottom w:val="nil"/>
              <w:right w:val="single" w:sz="6" w:space="0" w:color="auto"/>
            </w:tcBorders>
          </w:tcPr>
          <w:p w:rsidR="004C2997" w:rsidRDefault="004C2997">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Tüzelőanyagok kémiája</w:t>
            </w:r>
          </w:p>
        </w:tc>
        <w:tc>
          <w:tcPr>
            <w:tcW w:w="3702"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Természetes tüzelőanyagok.</w:t>
            </w:r>
          </w:p>
        </w:tc>
        <w:tc>
          <w:tcPr>
            <w:tcW w:w="3513" w:type="dxa"/>
            <w:tcBorders>
              <w:top w:val="nil"/>
              <w:left w:val="single" w:sz="6"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Mesterségesen előállított tüzelőanyagok.</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Borders>
              <w:top w:val="nil"/>
              <w:bottom w:val="nil"/>
              <w:right w:val="single" w:sz="6" w:space="0" w:color="auto"/>
            </w:tcBorders>
          </w:tcPr>
          <w:p w:rsidR="004C2997" w:rsidRDefault="004C2997">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lastRenderedPageBreak/>
              <w:t>Műanyagok kémiája</w:t>
            </w:r>
          </w:p>
          <w:p w:rsidR="004C2997" w:rsidRDefault="004C2997">
            <w:pPr>
              <w:autoSpaceDE w:val="0"/>
              <w:autoSpaceDN w:val="0"/>
              <w:adjustRightInd w:val="0"/>
              <w:spacing w:after="0" w:line="240" w:lineRule="auto"/>
              <w:ind w:left="397"/>
              <w:rPr>
                <w:rFonts w:ascii="Times New Roman" w:hAnsi="Times New Roman" w:cs="Times New Roman"/>
                <w:sz w:val="20"/>
                <w:szCs w:val="20"/>
              </w:rPr>
            </w:pPr>
          </w:p>
        </w:tc>
        <w:tc>
          <w:tcPr>
            <w:tcW w:w="3702" w:type="dxa"/>
            <w:tcBorders>
              <w:top w:val="nil"/>
              <w:left w:val="single" w:sz="6" w:space="0" w:color="auto"/>
              <w:bottom w:val="nil"/>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Természetes és mesterségesen előállított műanyagok.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Műanyagok környezetvédelmi vonatkozásai.</w:t>
            </w:r>
          </w:p>
        </w:tc>
        <w:tc>
          <w:tcPr>
            <w:tcW w:w="3513" w:type="dxa"/>
            <w:tcBorders>
              <w:top w:val="nil"/>
              <w:left w:val="single" w:sz="6" w:space="0" w:color="auto"/>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Egyéb műanyagok.</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24" w:type="dxa"/>
            <w:tcBorders>
              <w:top w:val="nil"/>
              <w:right w:val="single" w:sz="6" w:space="0" w:color="auto"/>
            </w:tcBorders>
          </w:tcPr>
          <w:p w:rsidR="004C2997" w:rsidRDefault="004C2997">
            <w:pPr>
              <w:autoSpaceDE w:val="0"/>
              <w:autoSpaceDN w:val="0"/>
              <w:adjustRightInd w:val="0"/>
              <w:spacing w:after="0" w:line="240" w:lineRule="auto"/>
              <w:ind w:left="708"/>
              <w:rPr>
                <w:rFonts w:ascii="Times New Roman" w:hAnsi="Times New Roman" w:cs="Times New Roman"/>
                <w:sz w:val="20"/>
                <w:szCs w:val="20"/>
              </w:rPr>
            </w:pPr>
            <w:r>
              <w:rPr>
                <w:rFonts w:ascii="Times New Roman" w:hAnsi="Times New Roman" w:cs="Times New Roman"/>
                <w:sz w:val="20"/>
                <w:szCs w:val="20"/>
              </w:rPr>
              <w:t>Robbanóanyagok kémiája</w:t>
            </w:r>
          </w:p>
        </w:tc>
        <w:tc>
          <w:tcPr>
            <w:tcW w:w="3702" w:type="dxa"/>
            <w:tcBorders>
              <w:top w:val="nil"/>
              <w:left w:val="single" w:sz="6"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Robbanóanyagként használt vegyületek.</w:t>
            </w:r>
          </w:p>
        </w:tc>
        <w:tc>
          <w:tcPr>
            <w:tcW w:w="3513" w:type="dxa"/>
            <w:tcBorders>
              <w:top w:val="nil"/>
              <w:left w:val="single" w:sz="6"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Klórsav és a perklórsav sóinak robbanó hatása.</w:t>
            </w:r>
          </w:p>
        </w:tc>
      </w:tr>
    </w:tbl>
    <w:p w:rsidR="004C2997" w:rsidRDefault="004C2997" w:rsidP="004C2997">
      <w:pPr>
        <w:autoSpaceDE w:val="0"/>
        <w:autoSpaceDN w:val="0"/>
        <w:adjustRightInd w:val="0"/>
        <w:spacing w:after="0" w:line="320" w:lineRule="exact"/>
        <w:rPr>
          <w:rFonts w:ascii="Times New Roman" w:hAnsi="Times New Roman" w:cs="Times New Roman"/>
          <w:b/>
          <w:bCs/>
          <w:sz w:val="20"/>
          <w:szCs w:val="20"/>
        </w:rPr>
      </w:pPr>
    </w:p>
    <w:p w:rsidR="004C2997" w:rsidRDefault="004C2997" w:rsidP="004C2997">
      <w:pPr>
        <w:autoSpaceDE w:val="0"/>
        <w:autoSpaceDN w:val="0"/>
        <w:adjustRightInd w:val="0"/>
        <w:spacing w:after="0" w:line="320" w:lineRule="exact"/>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Fizikai kémia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40"/>
        <w:gridCol w:w="3780"/>
        <w:gridCol w:w="6"/>
        <w:gridCol w:w="3414"/>
      </w:tblGrid>
      <w:tr w:rsidR="004C2997">
        <w:tblPrEx>
          <w:tblCellMar>
            <w:top w:w="0" w:type="dxa"/>
            <w:left w:w="0" w:type="dxa"/>
            <w:bottom w:w="0" w:type="dxa"/>
            <w:right w:w="0" w:type="dxa"/>
          </w:tblCellMar>
        </w:tblPrEx>
        <w:tc>
          <w:tcPr>
            <w:tcW w:w="2340" w:type="dxa"/>
            <w:vAlign w:val="center"/>
          </w:tcPr>
          <w:p w:rsidR="004C2997" w:rsidRDefault="004C2997">
            <w:pPr>
              <w:autoSpaceDE w:val="0"/>
              <w:autoSpaceDN w:val="0"/>
              <w:adjustRightInd w:val="0"/>
              <w:spacing w:after="0" w:line="240" w:lineRule="auto"/>
              <w:ind w:left="184"/>
              <w:rPr>
                <w:rFonts w:ascii="Times New Roman" w:hAnsi="Times New Roman" w:cs="Times New Roman"/>
                <w:b/>
                <w:bCs/>
                <w:sz w:val="20"/>
                <w:szCs w:val="20"/>
              </w:rPr>
            </w:pPr>
            <w:r>
              <w:rPr>
                <w:rFonts w:ascii="Times New Roman" w:hAnsi="Times New Roman" w:cs="Times New Roman"/>
                <w:b/>
                <w:bCs/>
                <w:sz w:val="20"/>
                <w:szCs w:val="20"/>
              </w:rPr>
              <w:t>Témakörök</w:t>
            </w:r>
          </w:p>
        </w:tc>
        <w:tc>
          <w:tcPr>
            <w:tcW w:w="3786" w:type="dxa"/>
            <w:gridSpan w:val="2"/>
            <w:vAlign w:val="center"/>
          </w:tcPr>
          <w:p w:rsidR="004C2997" w:rsidRDefault="004C2997">
            <w:pPr>
              <w:autoSpaceDE w:val="0"/>
              <w:autoSpaceDN w:val="0"/>
              <w:adjustRightInd w:val="0"/>
              <w:spacing w:after="0" w:line="240" w:lineRule="auto"/>
              <w:ind w:left="64"/>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3414" w:type="dxa"/>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Pr>
          <w:p w:rsidR="004C2997" w:rsidRDefault="004C2997">
            <w:pPr>
              <w:tabs>
                <w:tab w:val="left" w:pos="510"/>
              </w:tabs>
              <w:autoSpaceDE w:val="0"/>
              <w:autoSpaceDN w:val="0"/>
              <w:adjustRightInd w:val="0"/>
              <w:spacing w:after="0" w:line="240" w:lineRule="auto"/>
              <w:ind w:left="510" w:hanging="397"/>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Alapfogalmak</w:t>
            </w:r>
          </w:p>
        </w:tc>
        <w:tc>
          <w:tcPr>
            <w:tcW w:w="3780"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Állapothatározók fogalma mértékegységeik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Anyagi rendszerek csoportosítása.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c>
          <w:tcPr>
            <w:tcW w:w="3420" w:type="dxa"/>
            <w:gridSpan w:val="2"/>
          </w:tcPr>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Pr>
          <w:p w:rsidR="004C2997" w:rsidRDefault="004C2997">
            <w:pPr>
              <w:tabs>
                <w:tab w:val="left" w:pos="510"/>
              </w:tabs>
              <w:autoSpaceDE w:val="0"/>
              <w:autoSpaceDN w:val="0"/>
              <w:adjustRightInd w:val="0"/>
              <w:spacing w:after="0" w:line="240" w:lineRule="auto"/>
              <w:ind w:left="510" w:hanging="397"/>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Homogén egykomponensű, gázfázisú rendszerek</w:t>
            </w:r>
          </w:p>
        </w:tc>
        <w:tc>
          <w:tcPr>
            <w:tcW w:w="3780"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Ideális és reális gázok.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Gázok állapotváltozásait leíró gáztörvények.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Ideális gázok állapotegyenlete.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Gázok abszolút és relatív sűrűsége.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Számítások a gázok állapotváltozásaival kapcsolatban.</w:t>
            </w:r>
          </w:p>
        </w:tc>
        <w:tc>
          <w:tcPr>
            <w:tcW w:w="3420" w:type="dxa"/>
            <w:gridSpan w:val="2"/>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Reális gázok állapotegyenlete.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Összetettebb számítások a gázok állapotváltozásaival kapcsolatosan.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Gázmolekulák sebességét meghatározó tényezők.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Maxwell-féle sebességeloszlás.</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Graham-törvény.</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rPr>
          <w:trHeight w:val="798"/>
        </w:trPr>
        <w:tc>
          <w:tcPr>
            <w:tcW w:w="2340" w:type="dxa"/>
          </w:tcPr>
          <w:p w:rsidR="004C2997" w:rsidRDefault="004C2997">
            <w:pPr>
              <w:tabs>
                <w:tab w:val="left" w:pos="510"/>
              </w:tabs>
              <w:autoSpaceDE w:val="0"/>
              <w:autoSpaceDN w:val="0"/>
              <w:adjustRightInd w:val="0"/>
              <w:spacing w:after="0" w:line="240" w:lineRule="auto"/>
              <w:ind w:left="510" w:hanging="397"/>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Homogén többkomponensű, gázfázisú rendszerek</w:t>
            </w:r>
          </w:p>
        </w:tc>
        <w:tc>
          <w:tcPr>
            <w:tcW w:w="3780"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Parciális nyomás, átlagos moláris tömeg.</w:t>
            </w:r>
          </w:p>
        </w:tc>
        <w:tc>
          <w:tcPr>
            <w:tcW w:w="3420" w:type="dxa"/>
            <w:gridSpan w:val="2"/>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Számítások a gázelegyek átlagos moláris tömegére és sűrűségére vonatkozóan.</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Pr>
          <w:p w:rsidR="004C2997" w:rsidRDefault="004C2997">
            <w:pPr>
              <w:tabs>
                <w:tab w:val="left" w:pos="510"/>
              </w:tabs>
              <w:autoSpaceDE w:val="0"/>
              <w:autoSpaceDN w:val="0"/>
              <w:adjustRightInd w:val="0"/>
              <w:spacing w:after="0" w:line="240" w:lineRule="auto"/>
              <w:ind w:left="510" w:hanging="397"/>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Homogén egykomponensű, folyadékfázisú rendszerek</w:t>
            </w:r>
          </w:p>
        </w:tc>
        <w:tc>
          <w:tcPr>
            <w:tcW w:w="3780"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Folyadékok tulajdonságai.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Folyadékok belső szerkezete.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Felületi feszültség.</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Kapilláraktív, ill. -inaktív anyagok gyakorlati jelentősége.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Folyadékok belső súrlódása, viszkozitás.</w:t>
            </w:r>
          </w:p>
        </w:tc>
        <w:tc>
          <w:tcPr>
            <w:tcW w:w="3420" w:type="dxa"/>
            <w:gridSpan w:val="2"/>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Folyadékok belső szerkezetét meghatározó másodlagos kötések.</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Borders>
              <w:bottom w:val="nil"/>
            </w:tcBorders>
          </w:tcPr>
          <w:p w:rsidR="004C2997" w:rsidRDefault="004C2997">
            <w:pPr>
              <w:tabs>
                <w:tab w:val="left" w:pos="510"/>
              </w:tabs>
              <w:autoSpaceDE w:val="0"/>
              <w:autoSpaceDN w:val="0"/>
              <w:adjustRightInd w:val="0"/>
              <w:spacing w:after="0" w:line="240" w:lineRule="auto"/>
              <w:ind w:left="510" w:hanging="397"/>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Homogén többkomponensű, folyadékfázisú rendszerek</w:t>
            </w:r>
          </w:p>
        </w:tc>
        <w:tc>
          <w:tcPr>
            <w:tcW w:w="3780" w:type="dxa"/>
            <w:tcBorders>
              <w:bottom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Elegyek, oldatok.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Számítások az elegyek (oldatok) összetételével, koncentrációival kapcsolatosan.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Tenzió fogalma.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Raoult-törvény.</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Ideális és reális folyadékelegyek tenzió- és forráspontgörbéi.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Konovalov-törvények.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Desztilláció fogalma és fajtái.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Desztilláció gyakorlati jelentősége.</w:t>
            </w:r>
          </w:p>
        </w:tc>
        <w:tc>
          <w:tcPr>
            <w:tcW w:w="3420" w:type="dxa"/>
            <w:gridSpan w:val="2"/>
            <w:tcBorders>
              <w:bottom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Grafikonelemzések folyadékelegyek szétválasztására.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Egyszerű- és frakcionált desztilláció ismertetése.</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Pr>
          <w:p w:rsidR="004C2997" w:rsidRDefault="004C2997">
            <w:pPr>
              <w:tabs>
                <w:tab w:val="left" w:pos="510"/>
              </w:tabs>
              <w:autoSpaceDE w:val="0"/>
              <w:autoSpaceDN w:val="0"/>
              <w:adjustRightInd w:val="0"/>
              <w:spacing w:after="0" w:line="240" w:lineRule="auto"/>
              <w:ind w:left="510" w:hanging="397"/>
              <w:rPr>
                <w:rFonts w:ascii="Times New Roman" w:hAnsi="Times New Roman" w:cs="Times New Roman"/>
                <w:b/>
                <w:bCs/>
                <w:sz w:val="20"/>
                <w:szCs w:val="20"/>
              </w:rPr>
            </w:pPr>
            <w:r>
              <w:rPr>
                <w:rFonts w:ascii="Times New Roman" w:hAnsi="Times New Roman" w:cs="Times New Roman"/>
                <w:b/>
                <w:bCs/>
                <w:sz w:val="20"/>
                <w:szCs w:val="20"/>
              </w:rPr>
              <w:t>6.</w:t>
            </w:r>
            <w:r>
              <w:rPr>
                <w:rFonts w:ascii="Times New Roman" w:hAnsi="Times New Roman" w:cs="Times New Roman"/>
                <w:b/>
                <w:bCs/>
                <w:sz w:val="20"/>
                <w:szCs w:val="20"/>
              </w:rPr>
              <w:tab/>
              <w:t>Homogén egykomponensű, szilárd fázisú rendszerek</w:t>
            </w:r>
          </w:p>
        </w:tc>
        <w:tc>
          <w:tcPr>
            <w:tcW w:w="3780"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Kristályos és amorf szilárd anyagok szerkezete.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Rácstípusok.</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c>
          <w:tcPr>
            <w:tcW w:w="3420" w:type="dxa"/>
            <w:gridSpan w:val="2"/>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Polimorf, izomorf anyagok.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Folyadékok és amorf anyagok összehasonlítása.</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Borders>
              <w:bottom w:val="nil"/>
            </w:tcBorders>
          </w:tcPr>
          <w:p w:rsidR="004C2997" w:rsidRDefault="004C2997">
            <w:pPr>
              <w:tabs>
                <w:tab w:val="left" w:pos="510"/>
              </w:tabs>
              <w:autoSpaceDE w:val="0"/>
              <w:autoSpaceDN w:val="0"/>
              <w:adjustRightInd w:val="0"/>
              <w:spacing w:after="0" w:line="240" w:lineRule="auto"/>
              <w:ind w:left="510" w:hanging="397"/>
              <w:rPr>
                <w:rFonts w:ascii="Times New Roman" w:hAnsi="Times New Roman" w:cs="Times New Roman"/>
                <w:b/>
                <w:bCs/>
                <w:sz w:val="20"/>
                <w:szCs w:val="20"/>
              </w:rPr>
            </w:pPr>
            <w:r>
              <w:rPr>
                <w:rFonts w:ascii="Times New Roman" w:hAnsi="Times New Roman" w:cs="Times New Roman"/>
                <w:b/>
                <w:bCs/>
                <w:sz w:val="20"/>
                <w:szCs w:val="20"/>
              </w:rPr>
              <w:t>7.</w:t>
            </w:r>
            <w:r>
              <w:rPr>
                <w:rFonts w:ascii="Times New Roman" w:hAnsi="Times New Roman" w:cs="Times New Roman"/>
                <w:b/>
                <w:bCs/>
                <w:sz w:val="20"/>
                <w:szCs w:val="20"/>
              </w:rPr>
              <w:tab/>
              <w:t>Halmazállapot-változások</w:t>
            </w:r>
          </w:p>
        </w:tc>
        <w:tc>
          <w:tcPr>
            <w:tcW w:w="3780" w:type="dxa"/>
            <w:tcBorders>
              <w:bottom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Folyadékok nyitott- és zártterű párolgása illetve kondenzációja.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Párolgás sebessége.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Tenzió fogalma és befolyásoló tényezői.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Párolgáshő és kondenzációs hő.</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Forrás, forráspont.</w:t>
            </w:r>
          </w:p>
        </w:tc>
        <w:tc>
          <w:tcPr>
            <w:tcW w:w="3420" w:type="dxa"/>
            <w:gridSpan w:val="2"/>
            <w:tcBorders>
              <w:bottom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Kapcsolat a tenzió, a forráspont és a folyadékok szerkezete között.</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Párolgás és forrás összehasonlítása.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Folyadékok túlhevítése, a gőzök túlhűtése.</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Borders>
              <w:top w:val="nil"/>
            </w:tcBorders>
          </w:tcPr>
          <w:p w:rsidR="004C2997" w:rsidRDefault="004C2997">
            <w:pPr>
              <w:autoSpaceDE w:val="0"/>
              <w:autoSpaceDN w:val="0"/>
              <w:adjustRightInd w:val="0"/>
              <w:spacing w:after="0" w:line="240" w:lineRule="auto"/>
              <w:ind w:left="510" w:hanging="397"/>
              <w:rPr>
                <w:rFonts w:ascii="Times New Roman" w:hAnsi="Times New Roman" w:cs="Times New Roman"/>
                <w:b/>
                <w:bCs/>
                <w:sz w:val="20"/>
                <w:szCs w:val="20"/>
              </w:rPr>
            </w:pPr>
          </w:p>
        </w:tc>
        <w:tc>
          <w:tcPr>
            <w:tcW w:w="3780" w:type="dxa"/>
            <w:tcBorders>
              <w:top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Szilárd anyagok olvadása, folyadékok fagyása.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Olvadáspont és fagyáspont Olvadáshő és fagyáshő.</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Szublimáció, szublimációs pont.</w:t>
            </w:r>
          </w:p>
        </w:tc>
        <w:tc>
          <w:tcPr>
            <w:tcW w:w="3420" w:type="dxa"/>
            <w:gridSpan w:val="2"/>
            <w:tcBorders>
              <w:top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Egyszerű számítások a halmazállapot változásokkal kapcsolatosan.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Folyadékok túlhűtése.</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Borders>
              <w:bottom w:val="nil"/>
            </w:tcBorders>
          </w:tcPr>
          <w:p w:rsidR="004C2997" w:rsidRDefault="004C2997">
            <w:pPr>
              <w:tabs>
                <w:tab w:val="left" w:pos="510"/>
              </w:tabs>
              <w:autoSpaceDE w:val="0"/>
              <w:autoSpaceDN w:val="0"/>
              <w:adjustRightInd w:val="0"/>
              <w:spacing w:after="0" w:line="240" w:lineRule="auto"/>
              <w:ind w:left="510" w:hanging="397"/>
              <w:rPr>
                <w:rFonts w:ascii="Times New Roman" w:hAnsi="Times New Roman" w:cs="Times New Roman"/>
                <w:b/>
                <w:bCs/>
                <w:sz w:val="20"/>
                <w:szCs w:val="20"/>
              </w:rPr>
            </w:pPr>
            <w:r>
              <w:rPr>
                <w:rFonts w:ascii="Times New Roman" w:hAnsi="Times New Roman" w:cs="Times New Roman"/>
                <w:b/>
                <w:bCs/>
                <w:sz w:val="20"/>
                <w:szCs w:val="20"/>
              </w:rPr>
              <w:t>8.</w:t>
            </w:r>
            <w:r>
              <w:rPr>
                <w:rFonts w:ascii="Times New Roman" w:hAnsi="Times New Roman" w:cs="Times New Roman"/>
                <w:b/>
                <w:bCs/>
                <w:sz w:val="20"/>
                <w:szCs w:val="20"/>
              </w:rPr>
              <w:tab/>
              <w:t>Híg oldatok</w:t>
            </w:r>
          </w:p>
        </w:tc>
        <w:tc>
          <w:tcPr>
            <w:tcW w:w="3780" w:type="dxa"/>
            <w:tcBorders>
              <w:bottom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Híg oldatok tulajdonságai.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Híg oldatok törvényei.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Ozmózis jelensége.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lastRenderedPageBreak/>
              <w:t>A híg oldatok szerepe élő szervezetekben.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Egyszerű számítási feladatok a híg oldatok. törvényeinek alkalmazására.</w:t>
            </w:r>
          </w:p>
        </w:tc>
        <w:tc>
          <w:tcPr>
            <w:tcW w:w="3420" w:type="dxa"/>
            <w:gridSpan w:val="2"/>
            <w:tcBorders>
              <w:bottom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lastRenderedPageBreak/>
              <w:t>Relatív tenziócsökkenés, a fagyáspontcsökkenés, forráspont-emelkedés kialakulása.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lastRenderedPageBreak/>
              <w:t>Összetett számítási feladatok a híg oldatok törvényeinek alkalmazására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van’t Hoff-tényező alkalmazása.</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Borders>
              <w:bottom w:val="nil"/>
            </w:tcBorders>
          </w:tcPr>
          <w:p w:rsidR="004C2997" w:rsidRDefault="004C2997">
            <w:pPr>
              <w:tabs>
                <w:tab w:val="left" w:pos="510"/>
              </w:tabs>
              <w:autoSpaceDE w:val="0"/>
              <w:autoSpaceDN w:val="0"/>
              <w:adjustRightInd w:val="0"/>
              <w:spacing w:after="0" w:line="240" w:lineRule="auto"/>
              <w:ind w:left="510" w:hanging="397"/>
              <w:rPr>
                <w:rFonts w:ascii="Times New Roman" w:hAnsi="Times New Roman" w:cs="Times New Roman"/>
                <w:b/>
                <w:bCs/>
                <w:sz w:val="20"/>
                <w:szCs w:val="20"/>
              </w:rPr>
            </w:pPr>
            <w:r>
              <w:rPr>
                <w:rFonts w:ascii="Times New Roman" w:hAnsi="Times New Roman" w:cs="Times New Roman"/>
                <w:b/>
                <w:bCs/>
                <w:sz w:val="20"/>
                <w:szCs w:val="20"/>
              </w:rPr>
              <w:lastRenderedPageBreak/>
              <w:t>9.</w:t>
            </w:r>
            <w:r>
              <w:rPr>
                <w:rFonts w:ascii="Times New Roman" w:hAnsi="Times New Roman" w:cs="Times New Roman"/>
                <w:b/>
                <w:bCs/>
                <w:sz w:val="20"/>
                <w:szCs w:val="20"/>
              </w:rPr>
              <w:tab/>
              <w:t>Heterogén rendszerek</w:t>
            </w:r>
          </w:p>
        </w:tc>
        <w:tc>
          <w:tcPr>
            <w:tcW w:w="3780" w:type="dxa"/>
            <w:tcBorders>
              <w:bottom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Fázis, komponens.</w:t>
            </w:r>
          </w:p>
        </w:tc>
        <w:tc>
          <w:tcPr>
            <w:tcW w:w="3420" w:type="dxa"/>
            <w:gridSpan w:val="2"/>
            <w:tcBorders>
              <w:bottom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Szabadsági fok.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Gibbs-féle törvény.</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Borders>
              <w:top w:val="nil"/>
            </w:tcBorders>
          </w:tcPr>
          <w:p w:rsidR="004C2997" w:rsidRDefault="004C2997">
            <w:pPr>
              <w:autoSpaceDE w:val="0"/>
              <w:autoSpaceDN w:val="0"/>
              <w:adjustRightInd w:val="0"/>
              <w:spacing w:after="0" w:line="240" w:lineRule="auto"/>
              <w:ind w:left="510" w:hanging="397"/>
              <w:rPr>
                <w:rFonts w:ascii="Times New Roman" w:hAnsi="Times New Roman" w:cs="Times New Roman"/>
                <w:b/>
                <w:bCs/>
                <w:sz w:val="20"/>
                <w:szCs w:val="20"/>
              </w:rPr>
            </w:pPr>
          </w:p>
        </w:tc>
        <w:tc>
          <w:tcPr>
            <w:tcW w:w="3780" w:type="dxa"/>
            <w:tcBorders>
              <w:top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Víz fázisdiagramja.</w:t>
            </w:r>
          </w:p>
        </w:tc>
        <w:tc>
          <w:tcPr>
            <w:tcW w:w="3420" w:type="dxa"/>
            <w:gridSpan w:val="2"/>
            <w:tcBorders>
              <w:top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Kétkomponensű heterogén rendszerek fázisdiagramja.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Eutektikum fogalma.</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Pr>
          <w:p w:rsidR="004C2997" w:rsidRDefault="004C2997">
            <w:pPr>
              <w:tabs>
                <w:tab w:val="left" w:pos="510"/>
              </w:tabs>
              <w:autoSpaceDE w:val="0"/>
              <w:autoSpaceDN w:val="0"/>
              <w:adjustRightInd w:val="0"/>
              <w:spacing w:after="0" w:line="240" w:lineRule="auto"/>
              <w:ind w:left="510" w:hanging="397"/>
              <w:rPr>
                <w:rFonts w:ascii="Times New Roman" w:hAnsi="Times New Roman" w:cs="Times New Roman"/>
                <w:b/>
                <w:bCs/>
                <w:sz w:val="20"/>
                <w:szCs w:val="20"/>
              </w:rPr>
            </w:pPr>
            <w:r>
              <w:rPr>
                <w:rFonts w:ascii="Times New Roman" w:hAnsi="Times New Roman" w:cs="Times New Roman"/>
                <w:b/>
                <w:bCs/>
                <w:sz w:val="20"/>
                <w:szCs w:val="20"/>
              </w:rPr>
              <w:t>10.</w:t>
            </w:r>
            <w:r>
              <w:rPr>
                <w:rFonts w:ascii="Times New Roman" w:hAnsi="Times New Roman" w:cs="Times New Roman"/>
                <w:b/>
                <w:bCs/>
                <w:sz w:val="20"/>
                <w:szCs w:val="20"/>
              </w:rPr>
              <w:tab/>
              <w:t>Reakciókinetika</w:t>
            </w:r>
          </w:p>
        </w:tc>
        <w:tc>
          <w:tcPr>
            <w:tcW w:w="3780"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Kémiai reakciók létrejöttének feltételei.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Aktív állapot, aktiválási energia. Katalizátorok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Reakciók energiaviszonyai.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Reakciósebesség és befolyásoló tényezői.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Első- és másodrendű reakciók.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Összetett reakciók.</w:t>
            </w:r>
          </w:p>
        </w:tc>
        <w:tc>
          <w:tcPr>
            <w:tcW w:w="3420" w:type="dxa"/>
            <w:gridSpan w:val="2"/>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Kémiai reakciók mechanizmusa.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Katalitikus folyamatok csoportosítása.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Keverékkatalizátorok.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Katalizátormérgek.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Katalizátor szelektivitása.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Számítások a kinetikailag elsőrendű folyamatokkal kapcsolatban.</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Pr>
          <w:p w:rsidR="004C2997" w:rsidRDefault="004C2997">
            <w:pPr>
              <w:tabs>
                <w:tab w:val="left" w:pos="510"/>
              </w:tabs>
              <w:autoSpaceDE w:val="0"/>
              <w:autoSpaceDN w:val="0"/>
              <w:adjustRightInd w:val="0"/>
              <w:spacing w:after="0" w:line="240" w:lineRule="auto"/>
              <w:ind w:left="510" w:hanging="397"/>
              <w:rPr>
                <w:rFonts w:ascii="Times New Roman" w:hAnsi="Times New Roman" w:cs="Times New Roman"/>
                <w:b/>
                <w:bCs/>
                <w:sz w:val="20"/>
                <w:szCs w:val="20"/>
              </w:rPr>
            </w:pPr>
            <w:r>
              <w:rPr>
                <w:rFonts w:ascii="Times New Roman" w:hAnsi="Times New Roman" w:cs="Times New Roman"/>
                <w:b/>
                <w:bCs/>
                <w:sz w:val="20"/>
                <w:szCs w:val="20"/>
              </w:rPr>
              <w:t>11.</w:t>
            </w:r>
            <w:r>
              <w:rPr>
                <w:rFonts w:ascii="Times New Roman" w:hAnsi="Times New Roman" w:cs="Times New Roman"/>
                <w:b/>
                <w:bCs/>
                <w:sz w:val="20"/>
                <w:szCs w:val="20"/>
              </w:rPr>
              <w:tab/>
              <w:t>Kémiai egyensúlyok</w:t>
            </w:r>
          </w:p>
        </w:tc>
        <w:tc>
          <w:tcPr>
            <w:tcW w:w="3780"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Dinamikus egyensúly.</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Tömeghatás törvénye.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Egyensúlyi állandó (</w:t>
            </w:r>
            <w:r>
              <w:rPr>
                <w:rFonts w:ascii="Times New Roman" w:hAnsi="Times New Roman" w:cs="Times New Roman"/>
                <w:i/>
                <w:iCs/>
                <w:sz w:val="20"/>
                <w:szCs w:val="20"/>
              </w:rPr>
              <w:t>K</w:t>
            </w:r>
            <w:r>
              <w:rPr>
                <w:rFonts w:ascii="Times New Roman" w:hAnsi="Times New Roman" w:cs="Times New Roman"/>
                <w:sz w:val="20"/>
                <w:szCs w:val="20"/>
                <w:vertAlign w:val="subscript"/>
              </w:rPr>
              <w:t>c</w:t>
            </w:r>
            <w:r>
              <w:rPr>
                <w:rFonts w:ascii="Times New Roman" w:hAnsi="Times New Roman" w:cs="Times New Roman"/>
                <w:sz w:val="20"/>
                <w:szCs w:val="20"/>
              </w:rPr>
              <w:t>).</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Az egyensúly befolyásolásának lehetőségei.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Konverzió</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Egyszerű számítások kémia egyensúlyokra.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Gázok termikus disszociációja.</w:t>
            </w:r>
          </w:p>
        </w:tc>
        <w:tc>
          <w:tcPr>
            <w:tcW w:w="3420" w:type="dxa"/>
            <w:gridSpan w:val="2"/>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Számítások a kémia egyensúlyok befolyásolására.</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Borders>
              <w:bottom w:val="nil"/>
            </w:tcBorders>
          </w:tcPr>
          <w:p w:rsidR="004C2997" w:rsidRDefault="004C2997">
            <w:pPr>
              <w:tabs>
                <w:tab w:val="left" w:pos="510"/>
              </w:tabs>
              <w:autoSpaceDE w:val="0"/>
              <w:autoSpaceDN w:val="0"/>
              <w:adjustRightInd w:val="0"/>
              <w:spacing w:after="0" w:line="240" w:lineRule="auto"/>
              <w:ind w:left="510" w:hanging="397"/>
              <w:rPr>
                <w:rFonts w:ascii="Times New Roman" w:hAnsi="Times New Roman" w:cs="Times New Roman"/>
                <w:b/>
                <w:bCs/>
                <w:sz w:val="20"/>
                <w:szCs w:val="20"/>
              </w:rPr>
            </w:pPr>
            <w:r>
              <w:rPr>
                <w:rFonts w:ascii="Times New Roman" w:hAnsi="Times New Roman" w:cs="Times New Roman"/>
                <w:b/>
                <w:bCs/>
                <w:sz w:val="20"/>
                <w:szCs w:val="20"/>
              </w:rPr>
              <w:t>12.</w:t>
            </w:r>
            <w:r>
              <w:rPr>
                <w:rFonts w:ascii="Times New Roman" w:hAnsi="Times New Roman" w:cs="Times New Roman"/>
                <w:b/>
                <w:bCs/>
                <w:sz w:val="20"/>
                <w:szCs w:val="20"/>
              </w:rPr>
              <w:tab/>
              <w:t>Heterogén egyensúlyok</w:t>
            </w:r>
          </w:p>
        </w:tc>
        <w:tc>
          <w:tcPr>
            <w:tcW w:w="3780" w:type="dxa"/>
            <w:tcBorders>
              <w:bottom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Szilárd anyagok oldása folyadékban.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Szolvatáció, hidratáció.</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Oldás energiaviszonyai.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Oldhatóság</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Oldás sebességét befolyásoló tényezők.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Oldhatósági szorzat.</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Folyadékok kölcsönös oldhatósága.</w:t>
            </w:r>
          </w:p>
        </w:tc>
        <w:tc>
          <w:tcPr>
            <w:tcW w:w="3420" w:type="dxa"/>
            <w:gridSpan w:val="2"/>
            <w:tcBorders>
              <w:bottom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Oldhatósági görbék.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Oldhatósággal kapcsolatos számítások.</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Borders>
              <w:top w:val="nil"/>
              <w:bottom w:val="nil"/>
            </w:tcBorders>
          </w:tcPr>
          <w:p w:rsidR="004C2997" w:rsidRDefault="004C2997">
            <w:pPr>
              <w:autoSpaceDE w:val="0"/>
              <w:autoSpaceDN w:val="0"/>
              <w:adjustRightInd w:val="0"/>
              <w:spacing w:after="0" w:line="240" w:lineRule="auto"/>
              <w:ind w:left="510" w:hanging="397"/>
              <w:rPr>
                <w:rFonts w:ascii="Times New Roman" w:hAnsi="Times New Roman" w:cs="Times New Roman"/>
                <w:b/>
                <w:bCs/>
                <w:sz w:val="20"/>
                <w:szCs w:val="20"/>
              </w:rPr>
            </w:pPr>
          </w:p>
        </w:tc>
        <w:tc>
          <w:tcPr>
            <w:tcW w:w="3780" w:type="dxa"/>
            <w:tcBorders>
              <w:top w:val="nil"/>
              <w:bottom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Megoszlás két oldószer között.</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Extrakciós folyamatok.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Extrakció gyakorlati jelentősége.</w:t>
            </w:r>
          </w:p>
        </w:tc>
        <w:tc>
          <w:tcPr>
            <w:tcW w:w="3420" w:type="dxa"/>
            <w:gridSpan w:val="2"/>
            <w:tcBorders>
              <w:top w:val="nil"/>
              <w:bottom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 xml:space="preserve">Megoszlási hányados. </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Nernst-féle megoszlási törvény.</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Extrakciós számítások.</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Borders>
              <w:top w:val="nil"/>
            </w:tcBorders>
          </w:tcPr>
          <w:p w:rsidR="004C2997" w:rsidRDefault="004C2997">
            <w:pPr>
              <w:autoSpaceDE w:val="0"/>
              <w:autoSpaceDN w:val="0"/>
              <w:adjustRightInd w:val="0"/>
              <w:spacing w:after="0" w:line="240" w:lineRule="auto"/>
              <w:ind w:left="510" w:hanging="397"/>
              <w:rPr>
                <w:rFonts w:ascii="Times New Roman" w:hAnsi="Times New Roman" w:cs="Times New Roman"/>
                <w:b/>
                <w:bCs/>
                <w:sz w:val="20"/>
                <w:szCs w:val="20"/>
              </w:rPr>
            </w:pPr>
          </w:p>
        </w:tc>
        <w:tc>
          <w:tcPr>
            <w:tcW w:w="3780" w:type="dxa"/>
            <w:tcBorders>
              <w:top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Henry-Dalton törvény.</w:t>
            </w:r>
          </w:p>
        </w:tc>
        <w:tc>
          <w:tcPr>
            <w:tcW w:w="3420" w:type="dxa"/>
            <w:gridSpan w:val="2"/>
            <w:tcBorders>
              <w:top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Pr>
          <w:p w:rsidR="004C2997" w:rsidRDefault="004C2997">
            <w:pPr>
              <w:tabs>
                <w:tab w:val="left" w:pos="510"/>
              </w:tabs>
              <w:autoSpaceDE w:val="0"/>
              <w:autoSpaceDN w:val="0"/>
              <w:adjustRightInd w:val="0"/>
              <w:spacing w:after="0" w:line="240" w:lineRule="auto"/>
              <w:ind w:left="510" w:hanging="397"/>
              <w:rPr>
                <w:rFonts w:ascii="Times New Roman" w:hAnsi="Times New Roman" w:cs="Times New Roman"/>
                <w:b/>
                <w:bCs/>
                <w:sz w:val="20"/>
                <w:szCs w:val="20"/>
              </w:rPr>
            </w:pPr>
            <w:r>
              <w:rPr>
                <w:rFonts w:ascii="Times New Roman" w:hAnsi="Times New Roman" w:cs="Times New Roman"/>
                <w:b/>
                <w:bCs/>
                <w:sz w:val="20"/>
                <w:szCs w:val="20"/>
              </w:rPr>
              <w:t>13.</w:t>
            </w:r>
            <w:r>
              <w:rPr>
                <w:rFonts w:ascii="Times New Roman" w:hAnsi="Times New Roman" w:cs="Times New Roman"/>
                <w:b/>
                <w:bCs/>
                <w:sz w:val="20"/>
                <w:szCs w:val="20"/>
              </w:rPr>
              <w:tab/>
              <w:t>Elektrolit egyensúlyok</w:t>
            </w:r>
          </w:p>
        </w:tc>
        <w:tc>
          <w:tcPr>
            <w:tcW w:w="3780"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Elektrolit, az elektrolitos disszociáció, disszociáció fogalma.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Disszociációfok kiszámítása.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Erős és gyenge elektrolitok.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víz autoprotolízise, a pH</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pH számítás erős és gyenge savak, illetve bázisok esetén.</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Sók hidrolízise.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Pufferoldatok összetétele, működése, a pufferkapacitás.</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 pufferek gyakorlati jelentősége.</w:t>
            </w:r>
          </w:p>
        </w:tc>
        <w:tc>
          <w:tcPr>
            <w:tcW w:w="3420" w:type="dxa"/>
            <w:gridSpan w:val="2"/>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Hidrolizáló sók pH-jának kiszámítása.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Pufferek pH-jának kiszámítása.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Borders>
              <w:bottom w:val="nil"/>
            </w:tcBorders>
          </w:tcPr>
          <w:p w:rsidR="004C2997" w:rsidRDefault="004C2997">
            <w:pPr>
              <w:autoSpaceDE w:val="0"/>
              <w:autoSpaceDN w:val="0"/>
              <w:adjustRightInd w:val="0"/>
              <w:spacing w:after="0" w:line="240" w:lineRule="auto"/>
              <w:ind w:left="510" w:hanging="397"/>
              <w:rPr>
                <w:rFonts w:ascii="Times New Roman" w:hAnsi="Times New Roman" w:cs="Times New Roman"/>
                <w:b/>
                <w:bCs/>
                <w:sz w:val="20"/>
                <w:szCs w:val="20"/>
              </w:rPr>
            </w:pPr>
            <w:r>
              <w:rPr>
                <w:rFonts w:ascii="Times New Roman" w:hAnsi="Times New Roman" w:cs="Times New Roman"/>
                <w:b/>
                <w:bCs/>
                <w:sz w:val="20"/>
                <w:szCs w:val="20"/>
              </w:rPr>
              <w:t>14. Elektrokémia</w:t>
            </w:r>
          </w:p>
        </w:tc>
        <w:tc>
          <w:tcPr>
            <w:tcW w:w="3780" w:type="dxa"/>
            <w:tcBorders>
              <w:bottom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Első- és másodfajú vezetők vezetési mechanizmusa.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Elektrolitok fajlagos vezetése. Elektródpotenciál kialakulása.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Nernst-féle összefüggés.</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Standardpotenciál táblázat értelmezése, alkalmazása.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Elektródfolyamatok.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Első- és másodfajú elektródok fogalma.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Galvánelemek felépítése, működése.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Az elektródpotenciál és a galvánelemek elektromotoros erejének kiszámítása.</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Akkumulátorok.</w:t>
            </w:r>
          </w:p>
        </w:tc>
        <w:tc>
          <w:tcPr>
            <w:tcW w:w="3420" w:type="dxa"/>
            <w:gridSpan w:val="2"/>
            <w:tcBorders>
              <w:bottom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Moláris vezetés.</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Erős és a gyenge elektrolitok vezetése.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Határvezetés</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Redoxi elektródok, gázelektródok.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Membrán elektródok.</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Borders>
              <w:top w:val="nil"/>
            </w:tcBorders>
          </w:tcPr>
          <w:p w:rsidR="004C2997" w:rsidRDefault="004C2997">
            <w:pPr>
              <w:autoSpaceDE w:val="0"/>
              <w:autoSpaceDN w:val="0"/>
              <w:adjustRightInd w:val="0"/>
              <w:spacing w:after="0" w:line="240" w:lineRule="auto"/>
              <w:ind w:left="510" w:hanging="397"/>
              <w:rPr>
                <w:rFonts w:ascii="Times New Roman" w:hAnsi="Times New Roman" w:cs="Times New Roman"/>
                <w:b/>
                <w:bCs/>
                <w:sz w:val="20"/>
                <w:szCs w:val="20"/>
              </w:rPr>
            </w:pPr>
          </w:p>
        </w:tc>
        <w:tc>
          <w:tcPr>
            <w:tcW w:w="3780" w:type="dxa"/>
            <w:tcBorders>
              <w:top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Elektrolízis</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Leválási potenciál, a túlfeszültség, a bomlásfeszültség, a koncentrációs és kémiai polarizáció jelensége.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Az elektrolízis mennyiségi törvényei.</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lastRenderedPageBreak/>
              <w:t>Az elektrolízis gyakorlati jelentősége.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Számítások az elektrolízis mennyiségi törvényeinek alkalmazására.</w:t>
            </w:r>
          </w:p>
        </w:tc>
        <w:tc>
          <w:tcPr>
            <w:tcW w:w="3420" w:type="dxa"/>
            <w:gridSpan w:val="2"/>
            <w:tcBorders>
              <w:top w:val="nil"/>
            </w:tcBorders>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lastRenderedPageBreak/>
              <w:t>Összetett számítások az elektrolízis törvényeinek alkalmazására.</w:t>
            </w:r>
          </w:p>
          <w:p w:rsidR="004C2997" w:rsidRDefault="004C2997">
            <w:pPr>
              <w:autoSpaceDE w:val="0"/>
              <w:autoSpaceDN w:val="0"/>
              <w:adjustRightInd w:val="0"/>
              <w:spacing w:after="0" w:line="240" w:lineRule="auto"/>
              <w:ind w:left="57"/>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Pr>
          <w:p w:rsidR="004C2997" w:rsidRDefault="004C2997">
            <w:pPr>
              <w:tabs>
                <w:tab w:val="left" w:pos="510"/>
              </w:tabs>
              <w:autoSpaceDE w:val="0"/>
              <w:autoSpaceDN w:val="0"/>
              <w:adjustRightInd w:val="0"/>
              <w:spacing w:after="0" w:line="240" w:lineRule="auto"/>
              <w:ind w:left="510" w:hanging="397"/>
              <w:rPr>
                <w:rFonts w:ascii="Times New Roman" w:hAnsi="Times New Roman" w:cs="Times New Roman"/>
                <w:b/>
                <w:bCs/>
                <w:sz w:val="20"/>
                <w:szCs w:val="20"/>
              </w:rPr>
            </w:pPr>
            <w:r>
              <w:rPr>
                <w:rFonts w:ascii="Times New Roman" w:hAnsi="Times New Roman" w:cs="Times New Roman"/>
                <w:b/>
                <w:bCs/>
                <w:sz w:val="20"/>
                <w:szCs w:val="20"/>
              </w:rPr>
              <w:lastRenderedPageBreak/>
              <w:t>15.</w:t>
            </w:r>
            <w:r>
              <w:rPr>
                <w:rFonts w:ascii="Times New Roman" w:hAnsi="Times New Roman" w:cs="Times New Roman"/>
                <w:b/>
                <w:bCs/>
                <w:sz w:val="20"/>
                <w:szCs w:val="20"/>
              </w:rPr>
              <w:tab/>
              <w:t>Termokémia</w:t>
            </w:r>
          </w:p>
        </w:tc>
        <w:tc>
          <w:tcPr>
            <w:tcW w:w="3780"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Reakcióhő, illetve az átalakulási hő, képződéshő.</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Termokémiai egyenletek.</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Termokémia főtétele.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Termokémiai számítások, reakcióhő kiszámítása.</w:t>
            </w:r>
          </w:p>
        </w:tc>
        <w:tc>
          <w:tcPr>
            <w:tcW w:w="3420" w:type="dxa"/>
            <w:gridSpan w:val="2"/>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Termokémiai számítások, képződéshők meghatározása.</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Pr>
          <w:p w:rsidR="004C2997" w:rsidRDefault="004C2997">
            <w:pPr>
              <w:tabs>
                <w:tab w:val="left" w:pos="510"/>
              </w:tabs>
              <w:autoSpaceDE w:val="0"/>
              <w:autoSpaceDN w:val="0"/>
              <w:adjustRightInd w:val="0"/>
              <w:spacing w:after="0" w:line="240" w:lineRule="auto"/>
              <w:ind w:left="510" w:hanging="397"/>
              <w:rPr>
                <w:rFonts w:ascii="Times New Roman" w:hAnsi="Times New Roman" w:cs="Times New Roman"/>
                <w:b/>
                <w:bCs/>
                <w:sz w:val="20"/>
                <w:szCs w:val="20"/>
              </w:rPr>
            </w:pPr>
            <w:r>
              <w:rPr>
                <w:rFonts w:ascii="Times New Roman" w:hAnsi="Times New Roman" w:cs="Times New Roman"/>
                <w:b/>
                <w:bCs/>
                <w:sz w:val="20"/>
                <w:szCs w:val="20"/>
              </w:rPr>
              <w:t>16.</w:t>
            </w:r>
            <w:r>
              <w:rPr>
                <w:rFonts w:ascii="Times New Roman" w:hAnsi="Times New Roman" w:cs="Times New Roman"/>
                <w:b/>
                <w:bCs/>
                <w:sz w:val="20"/>
                <w:szCs w:val="20"/>
              </w:rPr>
              <w:tab/>
              <w:t>Kolloid rendszerek</w:t>
            </w:r>
          </w:p>
        </w:tc>
        <w:tc>
          <w:tcPr>
            <w:tcW w:w="3780"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Kolloid állapot.</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Kolloid rendszerek.</w:t>
            </w:r>
          </w:p>
          <w:p w:rsidR="004C2997" w:rsidRDefault="004C2997">
            <w:pPr>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Vizes alapú kolloidok (asszociációs és makromolekulás kolloid).</w:t>
            </w:r>
          </w:p>
          <w:p w:rsidR="004C2997" w:rsidRDefault="004C2997">
            <w:pPr>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Szolok és gélek.</w:t>
            </w:r>
          </w:p>
          <w:p w:rsidR="004C2997" w:rsidRDefault="004C2997">
            <w:pPr>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Adszorpció és deszorpció, fajlagos felület.</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color w:val="000000"/>
                <w:sz w:val="20"/>
                <w:szCs w:val="20"/>
              </w:rPr>
              <w:t>Szorpciós jelenségek, gyakorlati jelentőségük.</w:t>
            </w:r>
          </w:p>
        </w:tc>
        <w:tc>
          <w:tcPr>
            <w:tcW w:w="3420" w:type="dxa"/>
            <w:gridSpan w:val="2"/>
          </w:tcPr>
          <w:p w:rsidR="004C2997" w:rsidRDefault="004C2997">
            <w:pPr>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Vizes alapú kolloidok szerkezete.</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Szol-gél átalakulás.</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Adszorpciós egyensúly.</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Adszorpciós izotermák értelmezése.</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1" w:type="dxa"/>
            <w:bottom w:w="0" w:type="dxa"/>
            <w:right w:w="71" w:type="dxa"/>
          </w:tblCellMar>
        </w:tblPrEx>
        <w:tc>
          <w:tcPr>
            <w:tcW w:w="2340" w:type="dxa"/>
          </w:tcPr>
          <w:p w:rsidR="004C2997" w:rsidRDefault="004C2997">
            <w:pPr>
              <w:tabs>
                <w:tab w:val="left" w:pos="510"/>
              </w:tabs>
              <w:autoSpaceDE w:val="0"/>
              <w:autoSpaceDN w:val="0"/>
              <w:adjustRightInd w:val="0"/>
              <w:spacing w:after="0" w:line="240" w:lineRule="auto"/>
              <w:ind w:left="510" w:hanging="397"/>
              <w:rPr>
                <w:rFonts w:ascii="Times New Roman" w:hAnsi="Times New Roman" w:cs="Times New Roman"/>
                <w:b/>
                <w:bCs/>
                <w:sz w:val="20"/>
                <w:szCs w:val="20"/>
              </w:rPr>
            </w:pPr>
            <w:r>
              <w:rPr>
                <w:rFonts w:ascii="Times New Roman" w:hAnsi="Times New Roman" w:cs="Times New Roman"/>
                <w:b/>
                <w:bCs/>
                <w:sz w:val="20"/>
                <w:szCs w:val="20"/>
              </w:rPr>
              <w:t>17.</w:t>
            </w:r>
            <w:r>
              <w:rPr>
                <w:rFonts w:ascii="Times New Roman" w:hAnsi="Times New Roman" w:cs="Times New Roman"/>
                <w:b/>
                <w:bCs/>
                <w:sz w:val="20"/>
                <w:szCs w:val="20"/>
              </w:rPr>
              <w:tab/>
              <w:t>Korrózió</w:t>
            </w:r>
          </w:p>
        </w:tc>
        <w:tc>
          <w:tcPr>
            <w:tcW w:w="3780" w:type="dxa"/>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Korrózió</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Kémiai és az elektrokémiai korrózió.</w:t>
            </w:r>
          </w:p>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Korrózió elleni védelem.</w:t>
            </w:r>
          </w:p>
        </w:tc>
        <w:tc>
          <w:tcPr>
            <w:tcW w:w="3420" w:type="dxa"/>
            <w:gridSpan w:val="2"/>
          </w:tcPr>
          <w:p w:rsidR="004C2997" w:rsidRDefault="004C299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Korrózióvédelem vegyipari jelentősége.</w:t>
            </w:r>
          </w:p>
        </w:tc>
      </w:tr>
    </w:tbl>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II. Laboratóriumi gyakorlat</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13"/>
        <w:gridCol w:w="11"/>
        <w:gridCol w:w="3696"/>
        <w:gridCol w:w="6"/>
        <w:gridCol w:w="3513"/>
      </w:tblGrid>
      <w:tr w:rsidR="004C2997">
        <w:tblPrEx>
          <w:tblCellMar>
            <w:top w:w="0" w:type="dxa"/>
            <w:left w:w="0" w:type="dxa"/>
            <w:bottom w:w="0" w:type="dxa"/>
            <w:right w:w="0" w:type="dxa"/>
          </w:tblCellMar>
        </w:tblPrEx>
        <w:tc>
          <w:tcPr>
            <w:tcW w:w="2424" w:type="dxa"/>
            <w:gridSpan w:val="2"/>
            <w:vAlign w:val="center"/>
          </w:tcPr>
          <w:p w:rsidR="004C2997" w:rsidRDefault="004C2997">
            <w:pPr>
              <w:autoSpaceDE w:val="0"/>
              <w:autoSpaceDN w:val="0"/>
              <w:adjustRightInd w:val="0"/>
              <w:spacing w:after="0" w:line="240" w:lineRule="auto"/>
              <w:ind w:left="184"/>
              <w:rPr>
                <w:rFonts w:ascii="Times New Roman" w:hAnsi="Times New Roman" w:cs="Times New Roman"/>
                <w:b/>
                <w:bCs/>
                <w:sz w:val="20"/>
                <w:szCs w:val="20"/>
              </w:rPr>
            </w:pPr>
            <w:r>
              <w:rPr>
                <w:rFonts w:ascii="Times New Roman" w:hAnsi="Times New Roman" w:cs="Times New Roman"/>
                <w:b/>
                <w:bCs/>
                <w:sz w:val="20"/>
                <w:szCs w:val="20"/>
              </w:rPr>
              <w:t>Témakörök</w:t>
            </w:r>
          </w:p>
        </w:tc>
        <w:tc>
          <w:tcPr>
            <w:tcW w:w="3702" w:type="dxa"/>
            <w:gridSpan w:val="2"/>
            <w:vAlign w:val="center"/>
          </w:tcPr>
          <w:p w:rsidR="004C2997" w:rsidRDefault="004C2997">
            <w:pPr>
              <w:autoSpaceDE w:val="0"/>
              <w:autoSpaceDN w:val="0"/>
              <w:adjustRightInd w:val="0"/>
              <w:spacing w:after="0" w:line="240" w:lineRule="auto"/>
              <w:ind w:left="64"/>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3513" w:type="dxa"/>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13" w:type="dxa"/>
          </w:tcPr>
          <w:p w:rsidR="004C2997" w:rsidRDefault="004C2997">
            <w:pPr>
              <w:tabs>
                <w:tab w:val="left" w:pos="397"/>
              </w:tabs>
              <w:autoSpaceDE w:val="0"/>
              <w:autoSpaceDN w:val="0"/>
              <w:adjustRightInd w:val="0"/>
              <w:spacing w:after="0" w:line="240" w:lineRule="auto"/>
              <w:ind w:left="397" w:hanging="284"/>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Fizikai mennyiségek mérése</w:t>
            </w:r>
          </w:p>
        </w:tc>
        <w:tc>
          <w:tcPr>
            <w:tcW w:w="3707" w:type="dxa"/>
            <w:gridSpan w:val="2"/>
          </w:tcPr>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Tömegmérés</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Sűrűségmérés</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Olvadáspont, forráspont meghatározás.</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Oldatkészítés</w:t>
            </w:r>
          </w:p>
        </w:tc>
        <w:tc>
          <w:tcPr>
            <w:tcW w:w="3519" w:type="dxa"/>
            <w:gridSpan w:val="2"/>
          </w:tcPr>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Térfogatmérés hitelesítése.</w:t>
            </w:r>
          </w:p>
          <w:p w:rsidR="004C2997" w:rsidRDefault="004C2997">
            <w:pPr>
              <w:autoSpaceDE w:val="0"/>
              <w:autoSpaceDN w:val="0"/>
              <w:adjustRightInd w:val="0"/>
              <w:spacing w:after="0" w:line="240" w:lineRule="auto"/>
              <w:ind w:left="113"/>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13" w:type="dxa"/>
          </w:tcPr>
          <w:p w:rsidR="004C2997" w:rsidRDefault="004C2997">
            <w:pPr>
              <w:tabs>
                <w:tab w:val="left" w:pos="397"/>
              </w:tabs>
              <w:autoSpaceDE w:val="0"/>
              <w:autoSpaceDN w:val="0"/>
              <w:adjustRightInd w:val="0"/>
              <w:spacing w:after="0" w:line="240" w:lineRule="auto"/>
              <w:ind w:left="397" w:hanging="284"/>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Szervetlen preparátumok előállítása és szervetlen ionok minőségi elemzése</w:t>
            </w:r>
          </w:p>
        </w:tc>
        <w:tc>
          <w:tcPr>
            <w:tcW w:w="3707" w:type="dxa"/>
            <w:gridSpan w:val="2"/>
          </w:tcPr>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Sztöchiometriai számítások a szervetlen anyagok előállításával kapcsolatosan.</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Tisztítási feladatok.</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Szervetlen preparátumok előállítása.</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Szervetlen preparátum minőségi vizsgálata.</w:t>
            </w:r>
          </w:p>
        </w:tc>
        <w:tc>
          <w:tcPr>
            <w:tcW w:w="3519" w:type="dxa"/>
            <w:gridSpan w:val="2"/>
          </w:tcPr>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Kationok és anionok jellemző kimutatási reakciói.</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Magasabb szintű ismereteket igénylő preparátum előállítása.</w:t>
            </w: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13" w:type="dxa"/>
          </w:tcPr>
          <w:p w:rsidR="004C2997" w:rsidRDefault="004C2997">
            <w:pPr>
              <w:tabs>
                <w:tab w:val="left" w:pos="397"/>
              </w:tabs>
              <w:autoSpaceDE w:val="0"/>
              <w:autoSpaceDN w:val="0"/>
              <w:adjustRightInd w:val="0"/>
              <w:spacing w:after="0" w:line="240" w:lineRule="auto"/>
              <w:ind w:left="397" w:hanging="284"/>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Szerves preparátumok előállítása és minőségi elemzése</w:t>
            </w:r>
          </w:p>
          <w:p w:rsidR="004C2997" w:rsidRDefault="004C2997">
            <w:pPr>
              <w:autoSpaceDE w:val="0"/>
              <w:autoSpaceDN w:val="0"/>
              <w:adjustRightInd w:val="0"/>
              <w:spacing w:after="0" w:line="240" w:lineRule="auto"/>
              <w:rPr>
                <w:rFonts w:ascii="Times New Roman" w:hAnsi="Times New Roman" w:cs="Times New Roman"/>
                <w:b/>
                <w:bCs/>
                <w:sz w:val="20"/>
                <w:szCs w:val="20"/>
              </w:rPr>
            </w:pPr>
          </w:p>
        </w:tc>
        <w:tc>
          <w:tcPr>
            <w:tcW w:w="3707" w:type="dxa"/>
            <w:gridSpan w:val="2"/>
          </w:tcPr>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Szerves preparátumok előállítása: halogénezéssel, nitrálással, észterezéssel, hidrolízissel, oxidálással, redukálással, acilezéssel, diazotálással.</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A termék ellenőrző mérése.</w:t>
            </w:r>
          </w:p>
        </w:tc>
        <w:tc>
          <w:tcPr>
            <w:tcW w:w="3519" w:type="dxa"/>
            <w:gridSpan w:val="2"/>
          </w:tcPr>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Magasabb szintű ismereteket igénylő preparátum előállítása.</w:t>
            </w:r>
          </w:p>
          <w:p w:rsidR="004C2997" w:rsidRDefault="004C2997">
            <w:pPr>
              <w:autoSpaceDE w:val="0"/>
              <w:autoSpaceDN w:val="0"/>
              <w:adjustRightInd w:val="0"/>
              <w:spacing w:after="0" w:line="240" w:lineRule="auto"/>
              <w:ind w:left="113"/>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13" w:type="dxa"/>
          </w:tcPr>
          <w:p w:rsidR="004C2997" w:rsidRDefault="004C2997">
            <w:pPr>
              <w:tabs>
                <w:tab w:val="left" w:pos="397"/>
              </w:tabs>
              <w:autoSpaceDE w:val="0"/>
              <w:autoSpaceDN w:val="0"/>
              <w:adjustRightInd w:val="0"/>
              <w:spacing w:after="0" w:line="240" w:lineRule="auto"/>
              <w:ind w:left="397" w:hanging="284"/>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Mintavétel és mintakezelés</w:t>
            </w:r>
          </w:p>
        </w:tc>
        <w:tc>
          <w:tcPr>
            <w:tcW w:w="3707" w:type="dxa"/>
            <w:gridSpan w:val="2"/>
          </w:tcPr>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Mintavételi módok különböző halmazállapotú anyagok esetén.</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A minta előkészítése.</w:t>
            </w:r>
          </w:p>
        </w:tc>
        <w:tc>
          <w:tcPr>
            <w:tcW w:w="3519"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13" w:type="dxa"/>
          </w:tcPr>
          <w:p w:rsidR="004C2997" w:rsidRDefault="004C2997">
            <w:pPr>
              <w:tabs>
                <w:tab w:val="left" w:pos="397"/>
              </w:tabs>
              <w:autoSpaceDE w:val="0"/>
              <w:autoSpaceDN w:val="0"/>
              <w:adjustRightInd w:val="0"/>
              <w:spacing w:after="0" w:line="240" w:lineRule="auto"/>
              <w:ind w:left="397" w:hanging="284"/>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Mennyiségi vizsgálatok: gravimetria, titrimetria</w:t>
            </w:r>
          </w:p>
          <w:p w:rsidR="004C2997" w:rsidRDefault="004C2997">
            <w:pPr>
              <w:autoSpaceDE w:val="0"/>
              <w:autoSpaceDN w:val="0"/>
              <w:adjustRightInd w:val="0"/>
              <w:spacing w:after="0" w:line="240" w:lineRule="auto"/>
              <w:ind w:left="397" w:hanging="284"/>
              <w:rPr>
                <w:rFonts w:ascii="Times New Roman" w:hAnsi="Times New Roman" w:cs="Times New Roman"/>
                <w:b/>
                <w:bCs/>
                <w:sz w:val="20"/>
                <w:szCs w:val="20"/>
              </w:rPr>
            </w:pPr>
          </w:p>
        </w:tc>
        <w:tc>
          <w:tcPr>
            <w:tcW w:w="3707" w:type="dxa"/>
            <w:gridSpan w:val="2"/>
          </w:tcPr>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Gravimetria módszerei, lépései.</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Gravimetriás mérés kivitelezése.</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Térfogatos elemzések módszerei.</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A térfogatos elemzések kivitelezése: sav-bázis, permanganometriás, jodometriás, komplexometriás és csapadékos titrálások.</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Vízanalitikai vizsgálatok.</w:t>
            </w:r>
          </w:p>
          <w:p w:rsidR="004C2997" w:rsidRDefault="004C2997">
            <w:pPr>
              <w:autoSpaceDE w:val="0"/>
              <w:autoSpaceDN w:val="0"/>
              <w:adjustRightInd w:val="0"/>
              <w:spacing w:after="0" w:line="240" w:lineRule="auto"/>
              <w:ind w:left="113"/>
              <w:rPr>
                <w:rFonts w:ascii="Times New Roman" w:hAnsi="Times New Roman" w:cs="Times New Roman"/>
                <w:sz w:val="20"/>
                <w:szCs w:val="20"/>
              </w:rPr>
            </w:pPr>
          </w:p>
        </w:tc>
        <w:tc>
          <w:tcPr>
            <w:tcW w:w="3519" w:type="dxa"/>
            <w:gridSpan w:val="2"/>
          </w:tcPr>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Indikátor működése.</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Térfogatos elemzés hibái.</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Közvetett és visszatitrálásos módszerek alkalmazása.</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Összetettebb vízanalitikai vizsgálatok.</w:t>
            </w:r>
          </w:p>
          <w:p w:rsidR="004C2997" w:rsidRDefault="004C2997">
            <w:pPr>
              <w:autoSpaceDE w:val="0"/>
              <w:autoSpaceDN w:val="0"/>
              <w:adjustRightInd w:val="0"/>
              <w:spacing w:after="0" w:line="240" w:lineRule="auto"/>
              <w:ind w:left="113"/>
              <w:rPr>
                <w:rFonts w:ascii="Times New Roman" w:hAnsi="Times New Roman" w:cs="Times New Roman"/>
                <w:sz w:val="20"/>
                <w:szCs w:val="20"/>
              </w:rPr>
            </w:pPr>
          </w:p>
          <w:p w:rsidR="004C2997" w:rsidRDefault="004C2997">
            <w:pPr>
              <w:autoSpaceDE w:val="0"/>
              <w:autoSpaceDN w:val="0"/>
              <w:adjustRightInd w:val="0"/>
              <w:spacing w:after="0" w:line="240" w:lineRule="auto"/>
              <w:ind w:left="113"/>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13" w:type="dxa"/>
          </w:tcPr>
          <w:p w:rsidR="004C2997" w:rsidRDefault="004C2997">
            <w:pPr>
              <w:tabs>
                <w:tab w:val="left" w:pos="397"/>
              </w:tabs>
              <w:autoSpaceDE w:val="0"/>
              <w:autoSpaceDN w:val="0"/>
              <w:adjustRightInd w:val="0"/>
              <w:spacing w:after="0" w:line="240" w:lineRule="auto"/>
              <w:ind w:left="397" w:hanging="284"/>
              <w:rPr>
                <w:rFonts w:ascii="Times New Roman" w:hAnsi="Times New Roman" w:cs="Times New Roman"/>
                <w:b/>
                <w:bCs/>
                <w:sz w:val="20"/>
                <w:szCs w:val="20"/>
              </w:rPr>
            </w:pPr>
            <w:r>
              <w:rPr>
                <w:rFonts w:ascii="Times New Roman" w:hAnsi="Times New Roman" w:cs="Times New Roman"/>
                <w:b/>
                <w:bCs/>
                <w:sz w:val="20"/>
                <w:szCs w:val="20"/>
              </w:rPr>
              <w:t>6.</w:t>
            </w:r>
            <w:r>
              <w:rPr>
                <w:rFonts w:ascii="Times New Roman" w:hAnsi="Times New Roman" w:cs="Times New Roman"/>
                <w:b/>
                <w:bCs/>
                <w:sz w:val="20"/>
                <w:szCs w:val="20"/>
              </w:rPr>
              <w:tab/>
              <w:t>Műszeres vizsgálatok</w:t>
            </w:r>
          </w:p>
        </w:tc>
        <w:tc>
          <w:tcPr>
            <w:tcW w:w="3707" w:type="dxa"/>
            <w:gridSpan w:val="2"/>
          </w:tcPr>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Fotometriás mérés látható tartományban</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Oldatsorozatból, kalibrációs görbe felvétele.</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pH mérés műszeresen.</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Refraktometriás mérés.</w:t>
            </w:r>
          </w:p>
        </w:tc>
        <w:tc>
          <w:tcPr>
            <w:tcW w:w="3519" w:type="dxa"/>
            <w:gridSpan w:val="2"/>
          </w:tcPr>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Összetettebb fotometriás feladatok.</w:t>
            </w:r>
          </w:p>
          <w:p w:rsidR="004C2997" w:rsidRDefault="004C2997">
            <w:pPr>
              <w:autoSpaceDE w:val="0"/>
              <w:autoSpaceDN w:val="0"/>
              <w:adjustRightInd w:val="0"/>
              <w:spacing w:after="0" w:line="240" w:lineRule="auto"/>
              <w:ind w:left="113"/>
              <w:rPr>
                <w:rFonts w:ascii="Times New Roman" w:hAnsi="Times New Roman" w:cs="Times New Roman"/>
                <w:sz w:val="20"/>
                <w:szCs w:val="20"/>
              </w:rPr>
            </w:pPr>
          </w:p>
        </w:tc>
      </w:tr>
      <w:tr w:rsidR="004C2997">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70" w:type="dxa"/>
            <w:bottom w:w="0" w:type="dxa"/>
            <w:right w:w="70" w:type="dxa"/>
          </w:tblCellMar>
        </w:tblPrEx>
        <w:tc>
          <w:tcPr>
            <w:tcW w:w="2413" w:type="dxa"/>
          </w:tcPr>
          <w:p w:rsidR="004C2997" w:rsidRDefault="004C2997">
            <w:pPr>
              <w:tabs>
                <w:tab w:val="left" w:pos="397"/>
              </w:tabs>
              <w:autoSpaceDE w:val="0"/>
              <w:autoSpaceDN w:val="0"/>
              <w:adjustRightInd w:val="0"/>
              <w:spacing w:after="0" w:line="240" w:lineRule="auto"/>
              <w:ind w:left="397" w:hanging="284"/>
              <w:rPr>
                <w:rFonts w:ascii="Times New Roman" w:hAnsi="Times New Roman" w:cs="Times New Roman"/>
                <w:b/>
                <w:bCs/>
                <w:sz w:val="20"/>
                <w:szCs w:val="20"/>
              </w:rPr>
            </w:pPr>
            <w:r>
              <w:rPr>
                <w:rFonts w:ascii="Times New Roman" w:hAnsi="Times New Roman" w:cs="Times New Roman"/>
                <w:b/>
                <w:bCs/>
                <w:sz w:val="20"/>
                <w:szCs w:val="20"/>
              </w:rPr>
              <w:t>7.</w:t>
            </w:r>
            <w:r>
              <w:rPr>
                <w:rFonts w:ascii="Times New Roman" w:hAnsi="Times New Roman" w:cs="Times New Roman"/>
                <w:b/>
                <w:bCs/>
                <w:sz w:val="20"/>
                <w:szCs w:val="20"/>
              </w:rPr>
              <w:tab/>
              <w:t>Dokumentálás, értékelés</w:t>
            </w:r>
          </w:p>
        </w:tc>
        <w:tc>
          <w:tcPr>
            <w:tcW w:w="3707" w:type="dxa"/>
            <w:gridSpan w:val="2"/>
          </w:tcPr>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Eredmények kiszámítása.</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Dokumentálás, értékelés hagyományos módon vagy számítógép használatával.</w:t>
            </w:r>
          </w:p>
        </w:tc>
        <w:tc>
          <w:tcPr>
            <w:tcW w:w="3519" w:type="dxa"/>
            <w:gridSpan w:val="2"/>
          </w:tcPr>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Eredmények kiszámítása megfelelő pontossággal.</w:t>
            </w:r>
          </w:p>
          <w:p w:rsidR="004C2997" w:rsidRDefault="004C2997">
            <w:pPr>
              <w:autoSpaceDE w:val="0"/>
              <w:autoSpaceDN w:val="0"/>
              <w:adjustRightInd w:val="0"/>
              <w:spacing w:after="0" w:line="240" w:lineRule="auto"/>
              <w:ind w:left="113"/>
              <w:rPr>
                <w:rFonts w:ascii="Times New Roman" w:hAnsi="Times New Roman" w:cs="Times New Roman"/>
                <w:sz w:val="20"/>
                <w:szCs w:val="20"/>
              </w:rPr>
            </w:pPr>
            <w:r>
              <w:rPr>
                <w:rFonts w:ascii="Times New Roman" w:hAnsi="Times New Roman" w:cs="Times New Roman"/>
                <w:sz w:val="20"/>
                <w:szCs w:val="20"/>
              </w:rPr>
              <w:t>Dokumentálás, értékelés számítógép használatával.</w:t>
            </w:r>
          </w:p>
        </w:tc>
      </w:tr>
    </w:tbl>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 xml:space="preserve">ÉPÍTÉSZETI ÉS ÉPÍTÉSI ALAPISMERETEK </w:t>
      </w:r>
      <w:r>
        <w:rPr>
          <w:rFonts w:ascii="Times New Roman" w:hAnsi="Times New Roman" w:cs="Times New Roman"/>
          <w:b/>
          <w:bCs/>
          <w:sz w:val="20"/>
          <w:szCs w:val="20"/>
        </w:rPr>
        <w:br/>
        <w:t>ÉRETTSÉGI VIZSGA ÁLTALÁNOS KÖVETELMÉNYEI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Az építészeti és építési alapismeretek érettségi vizsga célja: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ismeretek és készségek döntő része közép- és emelt szinten egyaránt megjelenik. A középszintű vizsga elsősorban egyszerűbb feladatok megoldását, a szóbeli kifejező készséget, a rendszerezés és az alkalmazás legalapvetőbb formáit várja el, míg emelt szinten az igényesebb felépítés, az alkalmazás és integrálás összetettsége, a feladatok nehézségi fokának magasabb szintje a jellemző. A szóbeli tételsor komplexebb mivolta miatt is eltér a középszinttől.</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középszintű építészeti és építési alapismeretek érettségi vizsga célja annak megállapítása, hogy:</w:t>
      </w:r>
    </w:p>
    <w:p w:rsidR="004C2997" w:rsidRDefault="004C2997" w:rsidP="004C2997">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képessé vált-e a korszerű építészeti-építési kultúra elsajátítására, és megalapozta-e építész-szemléletét,</w:t>
      </w:r>
    </w:p>
    <w:p w:rsidR="004C2997" w:rsidRDefault="004C2997" w:rsidP="004C2997">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megszerezte-e az építészet-építés széles alapozású ismereteit és tudása konvertálható-e, miáltal alkalmassá válhat a szakmai specializáció elsajátítására,</w:t>
      </w:r>
    </w:p>
    <w:p w:rsidR="004C2997" w:rsidRDefault="004C2997" w:rsidP="004C2997">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megfelelő probléma- és feladatmegoldó, valamint analizáló és szintetizáló képességgel az építés területén,</w:t>
      </w:r>
    </w:p>
    <w:p w:rsidR="004C2997" w:rsidRDefault="004C2997" w:rsidP="004C2997">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elsajátította-e az építési tevékenység során használatos számolási, mérési technikákat, rendelkezik-e műszaki becslési készséggel és az önellenőrzés igényével,</w:t>
      </w:r>
    </w:p>
    <w:p w:rsidR="004C2997" w:rsidRDefault="004C2997" w:rsidP="004C2997">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az építészet síkbeli ábrázolását térbeli szituációként elképzelni, tud-e ezekhez ábrát készíteni, s ennek segítségével az adott konstrukcióban gondolkodni, számolni,</w:t>
      </w:r>
    </w:p>
    <w:p w:rsidR="004C2997" w:rsidRDefault="004C2997" w:rsidP="004C2997">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az építészet térbeli szituációit síkban ábrázolni, s ennek segítségével az építési tervdokumentáció rajzi részeit értelmezni, esetenként elkészíteni,</w:t>
      </w:r>
    </w:p>
    <w:p w:rsidR="004C2997" w:rsidRDefault="004C2997" w:rsidP="004C2997">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tanult ismereteket gyakorlati feladatok megoldására alkotó módon alkalmazni,</w:t>
      </w:r>
    </w:p>
    <w:p w:rsidR="004C2997" w:rsidRDefault="004C2997" w:rsidP="004C2997">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különböző segédeszközök (táblázatok, zsebszámológép, katalógusok, prospektusok) célszerű alkalmazására, a mindenkori tárgyi feltételek függvényében, az építési feladatok megoldása során.</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emelt szinten a felsoroltakon túl az érettségi vizsga célja annak mérése, hogy a vizsgázó fentiekben felsoroltakon túlmenően:</w:t>
      </w:r>
    </w:p>
    <w:p w:rsidR="004C2997" w:rsidRDefault="004C2997" w:rsidP="004C2997">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felsőfokú szakirányú tanulmányokhoz szükséges alapokkal,</w:t>
      </w:r>
    </w:p>
    <w:p w:rsidR="004C2997" w:rsidRDefault="004C2997" w:rsidP="004C2997">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bemutatni az építés, a környezetalakítás jelentőségét, szépségét, valamint a gazdaságban és az emberi kultúrában betöltött szerepét,</w:t>
      </w:r>
    </w:p>
    <w:p w:rsidR="004C2997" w:rsidRDefault="004C2997" w:rsidP="004C2997">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milyen szintű a kreativitása, mennyire kombinatív a gondolkodási képessége,</w:t>
      </w:r>
    </w:p>
    <w:p w:rsidR="004C2997" w:rsidRDefault="004C2997" w:rsidP="004C2997">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érthetően, világosan megfogalmazni a problémákat, a feladatokat értelmezni, a problémamegoldásban alkalmazni a tanult ismereteket, az összefüggéseket megkeresni, állításait igazolni.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ismeretek az emelt szinten kiegészülnek, bővülnek, és a középszintű ismeretek feldolgozása az igényesebb felépítés, az összetettebb alkalmazás, nehezebb feladatok felé tolódik el. A követelmények leírásában gyakran szereplő „alapismeretek”, „alapjai” megfogalmazás azt fejezi ki, hogy az adott fogalom precíz ismerete nem követelmény, azok elmélyítése, kiteljesítése majd az érettségi utáni szakmai speciális képzésre vár. Az építészet szakmacsoportos képzés tananyagai, témakörei részben egymástól függetlenül is elsajátíthatók, vagy pedig egymásra épülnek. Ez a részbeni párhuzamosság, illetve egymásra épülés megköveteli, hogy az összefüggő részterületek ismereteit nem teljes mélységben kell feldolgozni, hogy a kapcsolódások értelmezhetőek legyenek - ennek következménye viszont, hogy egy-egy terület, illetve részterület elmélyültebb, magasabb szinten történő feldolgozására vissza kell térni.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189"/>
        <w:gridCol w:w="3402"/>
        <w:gridCol w:w="3186"/>
      </w:tblGrid>
      <w:tr w:rsidR="004C2997">
        <w:tblPrEx>
          <w:tblCellMar>
            <w:top w:w="0" w:type="dxa"/>
            <w:bottom w:w="0" w:type="dxa"/>
          </w:tblCellMar>
        </w:tblPrEx>
        <w:trPr>
          <w:trHeight w:val="20"/>
        </w:trPr>
        <w:tc>
          <w:tcPr>
            <w:tcW w:w="3189" w:type="dxa"/>
            <w:tcBorders>
              <w:top w:val="single" w:sz="8" w:space="0" w:color="auto"/>
              <w:left w:val="single" w:sz="8" w:space="0" w:color="auto"/>
              <w:bottom w:val="single" w:sz="8" w:space="0" w:color="auto"/>
              <w:right w:val="single" w:sz="8"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Témakörök</w:t>
            </w:r>
          </w:p>
        </w:tc>
        <w:tc>
          <w:tcPr>
            <w:tcW w:w="3402" w:type="dxa"/>
            <w:tcBorders>
              <w:top w:val="single" w:sz="8" w:space="0" w:color="auto"/>
              <w:left w:val="nil"/>
              <w:bottom w:val="single" w:sz="8" w:space="0" w:color="auto"/>
              <w:right w:val="single" w:sz="8"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Követelmények középszinten</w:t>
            </w:r>
          </w:p>
        </w:tc>
        <w:tc>
          <w:tcPr>
            <w:tcW w:w="3186" w:type="dxa"/>
            <w:tcBorders>
              <w:top w:val="single" w:sz="8" w:space="0" w:color="auto"/>
              <w:left w:val="nil"/>
              <w:bottom w:val="single" w:sz="8" w:space="0" w:color="auto"/>
              <w:right w:val="single" w:sz="8"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Követelmények kiegészítése emelt szinten</w:t>
            </w:r>
          </w:p>
        </w:tc>
      </w:tr>
      <w:tr w:rsidR="004C2997">
        <w:tblPrEx>
          <w:tblCellMar>
            <w:top w:w="0" w:type="dxa"/>
            <w:bottom w:w="0" w:type="dxa"/>
          </w:tblCellMar>
        </w:tblPrEx>
        <w:trPr>
          <w:trHeight w:val="20"/>
        </w:trPr>
        <w:tc>
          <w:tcPr>
            <w:tcW w:w="3189" w:type="dxa"/>
            <w:tcBorders>
              <w:top w:val="nil"/>
              <w:left w:val="single" w:sz="8" w:space="0" w:color="auto"/>
              <w:bottom w:val="nil"/>
              <w:right w:val="nil"/>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b/>
                <w:bCs/>
                <w:color w:val="000000"/>
                <w:sz w:val="20"/>
                <w:szCs w:val="20"/>
              </w:rPr>
              <w:t>1. Építési anyagok</w:t>
            </w:r>
          </w:p>
        </w:tc>
        <w:tc>
          <w:tcPr>
            <w:tcW w:w="340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186" w:type="dxa"/>
            <w:tcBorders>
              <w:top w:val="nil"/>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r w:rsidR="004C2997">
        <w:tblPrEx>
          <w:tblCellMar>
            <w:top w:w="0" w:type="dxa"/>
            <w:bottom w:w="0" w:type="dxa"/>
          </w:tblCellMar>
        </w:tblPrEx>
        <w:trPr>
          <w:cantSplit/>
          <w:trHeight w:val="1858"/>
        </w:trPr>
        <w:tc>
          <w:tcPr>
            <w:tcW w:w="3189" w:type="dxa"/>
            <w:tcBorders>
              <w:top w:val="single" w:sz="8" w:space="0" w:color="auto"/>
              <w:left w:val="single" w:sz="8" w:space="0" w:color="auto"/>
              <w:bottom w:val="single" w:sz="4"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Építési anyagok tulajdonságai</w:t>
            </w:r>
          </w:p>
        </w:tc>
        <w:tc>
          <w:tcPr>
            <w:tcW w:w="3402" w:type="dxa"/>
            <w:tcBorders>
              <w:top w:val="single" w:sz="8" w:space="0" w:color="auto"/>
              <w:left w:val="nil"/>
              <w:bottom w:val="single" w:sz="4"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az építési anyagok tulajdonságait.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az építési anyagok jellemző tulajdonságainak vizsgálatait.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Mutassa be egyszerű számpéldákkal az anyagok különböző jellemzőit (víztartalom, hőátbocsátás, szilárdsági tulajdonságok, stb.).</w:t>
            </w:r>
          </w:p>
        </w:tc>
        <w:tc>
          <w:tcPr>
            <w:tcW w:w="3186" w:type="dxa"/>
            <w:tcBorders>
              <w:top w:val="nil"/>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r w:rsidR="004C2997">
        <w:tblPrEx>
          <w:tblCellMar>
            <w:top w:w="0" w:type="dxa"/>
            <w:bottom w:w="0" w:type="dxa"/>
          </w:tblCellMar>
        </w:tblPrEx>
        <w:trPr>
          <w:trHeight w:val="20"/>
        </w:trPr>
        <w:tc>
          <w:tcPr>
            <w:tcW w:w="3189"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építőiparban alkalmazott anyagok</w:t>
            </w:r>
          </w:p>
        </w:tc>
        <w:tc>
          <w:tcPr>
            <w:tcW w:w="3402"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az építőiparban alkalmazott anyagokat, felhasználásuk előírásait.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az anyagok kiválasztásának szempontjait.</w:t>
            </w:r>
          </w:p>
        </w:tc>
      </w:tr>
      <w:tr w:rsidR="004C2997">
        <w:tblPrEx>
          <w:tblCellMar>
            <w:top w:w="0" w:type="dxa"/>
            <w:bottom w:w="0" w:type="dxa"/>
          </w:tblCellMar>
        </w:tblPrEx>
        <w:trPr>
          <w:trHeight w:val="20"/>
        </w:trPr>
        <w:tc>
          <w:tcPr>
            <w:tcW w:w="3189"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Ismertesse az alkalmazott anyagok </w:t>
            </w:r>
            <w:r>
              <w:rPr>
                <w:rFonts w:ascii="Times New Roman" w:hAnsi="Times New Roman" w:cs="Times New Roman"/>
                <w:color w:val="000000"/>
                <w:sz w:val="20"/>
                <w:szCs w:val="20"/>
              </w:rPr>
              <w:lastRenderedPageBreak/>
              <w:t>jellemző tulajdonságait, azok vizsgálatait.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xml:space="preserve">Mutassa be a laboratóriumi vizsgálati </w:t>
            </w:r>
            <w:r>
              <w:rPr>
                <w:rFonts w:ascii="Times New Roman" w:hAnsi="Times New Roman" w:cs="Times New Roman"/>
                <w:color w:val="000000"/>
                <w:sz w:val="20"/>
                <w:szCs w:val="20"/>
              </w:rPr>
              <w:lastRenderedPageBreak/>
              <w:t>módszereket.</w:t>
            </w:r>
          </w:p>
        </w:tc>
      </w:tr>
      <w:tr w:rsidR="004C2997">
        <w:tblPrEx>
          <w:tblCellMar>
            <w:top w:w="0" w:type="dxa"/>
            <w:bottom w:w="0" w:type="dxa"/>
          </w:tblCellMar>
        </w:tblPrEx>
        <w:trPr>
          <w:trHeight w:val="20"/>
        </w:trPr>
        <w:tc>
          <w:tcPr>
            <w:tcW w:w="3189"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az alkalmazott anyagok szállításának, tárolásának, beépítésének előírásait.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munkahelyi anyagvizsgálatokat!</w:t>
            </w:r>
          </w:p>
        </w:tc>
      </w:tr>
      <w:tr w:rsidR="004C2997">
        <w:tblPrEx>
          <w:tblCellMar>
            <w:top w:w="0" w:type="dxa"/>
            <w:bottom w:w="0" w:type="dxa"/>
          </w:tblCellMar>
        </w:tblPrEx>
        <w:trPr>
          <w:trHeight w:val="20"/>
        </w:trPr>
        <w:tc>
          <w:tcPr>
            <w:tcW w:w="3189"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az alkalmazott anyagok szabványos jelöléseit.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és értelmezze az anyagok szabványos jelöléseit.</w:t>
            </w:r>
          </w:p>
        </w:tc>
      </w:tr>
      <w:tr w:rsidR="004C2997">
        <w:tblPrEx>
          <w:tblCellMar>
            <w:top w:w="0" w:type="dxa"/>
            <w:bottom w:w="0" w:type="dxa"/>
          </w:tblCellMar>
        </w:tblPrEx>
        <w:trPr>
          <w:trHeight w:val="20"/>
        </w:trPr>
        <w:tc>
          <w:tcPr>
            <w:tcW w:w="3189" w:type="dxa"/>
            <w:tcBorders>
              <w:top w:val="single" w:sz="8" w:space="0" w:color="auto"/>
              <w:left w:val="single" w:sz="8" w:space="0" w:color="auto"/>
              <w:bottom w:val="single" w:sz="8" w:space="0" w:color="auto"/>
              <w:right w:val="nil"/>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b/>
                <w:bCs/>
                <w:color w:val="000000"/>
                <w:sz w:val="20"/>
                <w:szCs w:val="20"/>
              </w:rPr>
              <w:t>2. A műszaki ábrázolás</w:t>
            </w:r>
          </w:p>
        </w:tc>
        <w:tc>
          <w:tcPr>
            <w:tcW w:w="3402" w:type="dxa"/>
            <w:tcBorders>
              <w:top w:val="single" w:sz="8" w:space="0" w:color="auto"/>
              <w:left w:val="nil"/>
              <w:bottom w:val="single" w:sz="8" w:space="0" w:color="auto"/>
              <w:right w:val="nil"/>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186" w:type="dxa"/>
            <w:tcBorders>
              <w:top w:val="single" w:sz="8" w:space="0" w:color="auto"/>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r w:rsidR="004C2997">
        <w:tblPrEx>
          <w:tblCellMar>
            <w:top w:w="0" w:type="dxa"/>
            <w:bottom w:w="0" w:type="dxa"/>
          </w:tblCellMar>
        </w:tblPrEx>
        <w:trPr>
          <w:trHeight w:val="20"/>
        </w:trPr>
        <w:tc>
          <w:tcPr>
            <w:tcW w:w="3189"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Ábrázoló geometriai alapismeretek</w:t>
            </w:r>
          </w:p>
        </w:tc>
        <w:tc>
          <w:tcPr>
            <w:tcW w:w="3402"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Rajzvázlatok készítése során alkalmazza helyesen a síkmértani és térmértani alapfogalmakat, az axonometrikus, a perspektivikus és a vetületi ábrázolás szabályait. Mértani test vetületi ábráiról készítsen axonometrikus szabadkézi vázlatot, illetve axonometrikus ábráról vázolja fel a vetületeket.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Összetett test vetületi ábráiról szerkesszen axonometrikus ábrát, axonometrikus ábráról szerkessze meg a vetületeket.</w:t>
            </w:r>
          </w:p>
        </w:tc>
      </w:tr>
      <w:tr w:rsidR="004C2997">
        <w:tblPrEx>
          <w:tblCellMar>
            <w:top w:w="0" w:type="dxa"/>
            <w:bottom w:w="0" w:type="dxa"/>
          </w:tblCellMar>
        </w:tblPrEx>
        <w:trPr>
          <w:trHeight w:val="20"/>
        </w:trPr>
        <w:tc>
          <w:tcPr>
            <w:tcW w:w="3189"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vázlatokkal a síkmetszések alapeseteit.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Szerkessze meg síklapú- és forgástestek többsíkos, jellegzetes síkmetszéseit.</w:t>
            </w:r>
          </w:p>
        </w:tc>
      </w:tr>
      <w:tr w:rsidR="004C2997">
        <w:tblPrEx>
          <w:tblCellMar>
            <w:top w:w="0" w:type="dxa"/>
            <w:bottom w:w="0" w:type="dxa"/>
          </w:tblCellMar>
        </w:tblPrEx>
        <w:trPr>
          <w:trHeight w:val="20"/>
        </w:trPr>
        <w:tc>
          <w:tcPr>
            <w:tcW w:w="3189"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nil"/>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Mutassa be az egyszerűbb áthatásokat.</w:t>
            </w:r>
          </w:p>
        </w:tc>
        <w:tc>
          <w:tcPr>
            <w:tcW w:w="3186" w:type="dxa"/>
            <w:tcBorders>
              <w:top w:val="nil"/>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Szerkesszen meg közepes bonyolultságú áthatásokat.</w:t>
            </w:r>
          </w:p>
        </w:tc>
      </w:tr>
      <w:tr w:rsidR="004C2997">
        <w:tblPrEx>
          <w:tblCellMar>
            <w:top w:w="0" w:type="dxa"/>
            <w:bottom w:w="0" w:type="dxa"/>
          </w:tblCellMar>
        </w:tblPrEx>
        <w:trPr>
          <w:trHeight w:val="20"/>
        </w:trPr>
        <w:tc>
          <w:tcPr>
            <w:tcW w:w="3189" w:type="dxa"/>
            <w:tcBorders>
              <w:top w:val="single" w:sz="8" w:space="0" w:color="auto"/>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Építészeti műszaki rajz alapjai.</w:t>
            </w:r>
          </w:p>
        </w:tc>
        <w:tc>
          <w:tcPr>
            <w:tcW w:w="3402"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Alkalmazza a szabványos jelöléseket a műszaki rajzokon.</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4C2997">
        <w:tblPrEx>
          <w:tblCellMar>
            <w:top w:w="0" w:type="dxa"/>
            <w:bottom w:w="0" w:type="dxa"/>
          </w:tblCellMar>
        </w:tblPrEx>
        <w:trPr>
          <w:trHeight w:val="20"/>
        </w:trPr>
        <w:tc>
          <w:tcPr>
            <w:tcW w:w="3189"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Értelmezze a műszaki terveket.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Szerkessze meg az építmények jellemző részletrajzait.</w:t>
            </w:r>
          </w:p>
        </w:tc>
      </w:tr>
      <w:tr w:rsidR="004C2997">
        <w:tblPrEx>
          <w:tblCellMar>
            <w:top w:w="0" w:type="dxa"/>
            <w:bottom w:w="0" w:type="dxa"/>
          </w:tblCellMar>
        </w:tblPrEx>
        <w:trPr>
          <w:trHeight w:val="20"/>
        </w:trPr>
        <w:tc>
          <w:tcPr>
            <w:tcW w:w="3189"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Vegye észre a műszaki terveken előforduló hibákat.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4C2997">
        <w:tblPrEx>
          <w:tblCellMar>
            <w:top w:w="0" w:type="dxa"/>
            <w:bottom w:w="0" w:type="dxa"/>
          </w:tblCellMar>
        </w:tblPrEx>
        <w:trPr>
          <w:trHeight w:val="20"/>
        </w:trPr>
        <w:tc>
          <w:tcPr>
            <w:tcW w:w="3189"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Mutassa be az építési tervdokumentációt.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kiviteli tervdokumentáció különböző terveinek műszaki információtartalmát.</w:t>
            </w:r>
          </w:p>
        </w:tc>
      </w:tr>
      <w:tr w:rsidR="004C2997">
        <w:tblPrEx>
          <w:tblCellMar>
            <w:top w:w="0" w:type="dxa"/>
            <w:bottom w:w="0" w:type="dxa"/>
          </w:tblCellMar>
        </w:tblPrEx>
        <w:trPr>
          <w:trHeight w:val="20"/>
        </w:trPr>
        <w:tc>
          <w:tcPr>
            <w:tcW w:w="3189"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Tudjon síkban, illetve térben tájékozódni, térbeli viszonyokat elképzelni, tudja a háromdimenziós valóságot - alkalmas síkmetszetekkel - két dimenzióban vizsgálni.</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Tudjon síkban, illetve térben tájékozódni, térbeli viszonyokat elképzelni, tudja a háromdimenziós valóságot - alkalmas síkmetszetekkel - két dimenzióban ábrázolni.</w:t>
            </w:r>
          </w:p>
        </w:tc>
      </w:tr>
      <w:tr w:rsidR="004C2997">
        <w:tblPrEx>
          <w:tblCellMar>
            <w:top w:w="0" w:type="dxa"/>
            <w:bottom w:w="0" w:type="dxa"/>
          </w:tblCellMar>
        </w:tblPrEx>
        <w:trPr>
          <w:trHeight w:val="20"/>
        </w:trPr>
        <w:tc>
          <w:tcPr>
            <w:tcW w:w="3189"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Tudjon a számításokhoz, bizonyításokhoz megfelelő ábrát készíteni.</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r w:rsidR="004C2997">
        <w:tblPrEx>
          <w:tblCellMar>
            <w:top w:w="0" w:type="dxa"/>
            <w:bottom w:w="0" w:type="dxa"/>
          </w:tblCellMar>
        </w:tblPrEx>
        <w:trPr>
          <w:trHeight w:val="20"/>
        </w:trPr>
        <w:tc>
          <w:tcPr>
            <w:tcW w:w="3189" w:type="dxa"/>
            <w:tcBorders>
              <w:top w:val="nil"/>
              <w:left w:val="single" w:sz="8" w:space="0" w:color="auto"/>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nil"/>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tervek sokszorosítását, dokumentálását.</w:t>
            </w:r>
          </w:p>
        </w:tc>
        <w:tc>
          <w:tcPr>
            <w:tcW w:w="3186" w:type="dxa"/>
            <w:tcBorders>
              <w:top w:val="nil"/>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r w:rsidR="004C2997">
        <w:tblPrEx>
          <w:tblCellMar>
            <w:top w:w="0" w:type="dxa"/>
            <w:bottom w:w="0" w:type="dxa"/>
          </w:tblCellMar>
        </w:tblPrEx>
        <w:trPr>
          <w:trHeight w:val="20"/>
        </w:trPr>
        <w:tc>
          <w:tcPr>
            <w:tcW w:w="3189" w:type="dxa"/>
            <w:tcBorders>
              <w:top w:val="nil"/>
              <w:left w:val="single" w:sz="8" w:space="0" w:color="auto"/>
              <w:bottom w:val="single" w:sz="8" w:space="0" w:color="auto"/>
              <w:right w:val="nil"/>
            </w:tcBorders>
          </w:tcPr>
          <w:p w:rsidR="004C2997" w:rsidRDefault="004C299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3. Építési ismeretek</w:t>
            </w:r>
          </w:p>
        </w:tc>
        <w:tc>
          <w:tcPr>
            <w:tcW w:w="3402" w:type="dxa"/>
            <w:tcBorders>
              <w:top w:val="nil"/>
              <w:left w:val="nil"/>
              <w:bottom w:val="single" w:sz="8" w:space="0" w:color="auto"/>
              <w:right w:val="nil"/>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186" w:type="dxa"/>
            <w:tcBorders>
              <w:top w:val="nil"/>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r w:rsidR="004C2997">
        <w:tblPrEx>
          <w:tblCellMar>
            <w:top w:w="0" w:type="dxa"/>
            <w:bottom w:w="0" w:type="dxa"/>
          </w:tblCellMar>
        </w:tblPrEx>
        <w:trPr>
          <w:trHeight w:val="20"/>
        </w:trPr>
        <w:tc>
          <w:tcPr>
            <w:tcW w:w="3189"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Építési alapismeretek</w:t>
            </w:r>
          </w:p>
        </w:tc>
        <w:tc>
          <w:tcPr>
            <w:tcW w:w="3402"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természetes és épített környezet kapcsolatát.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az épített környezet kialakítására vonatkozó jogszabályokat.</w:t>
            </w:r>
          </w:p>
        </w:tc>
      </w:tr>
      <w:tr w:rsidR="004C2997">
        <w:tblPrEx>
          <w:tblCellMar>
            <w:top w:w="0" w:type="dxa"/>
            <w:bottom w:w="0" w:type="dxa"/>
          </w:tblCellMar>
        </w:tblPrEx>
        <w:trPr>
          <w:trHeight w:val="20"/>
        </w:trPr>
        <w:tc>
          <w:tcPr>
            <w:tcW w:w="3189"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az építmény fogalmát, fajtáit.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r w:rsidR="004C2997">
        <w:tblPrEx>
          <w:tblCellMar>
            <w:top w:w="0" w:type="dxa"/>
            <w:bottom w:w="0" w:type="dxa"/>
          </w:tblCellMar>
        </w:tblPrEx>
        <w:trPr>
          <w:trHeight w:val="20"/>
        </w:trPr>
        <w:tc>
          <w:tcPr>
            <w:tcW w:w="3189"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az építési tevékenységet, az építés folyamatát.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r w:rsidR="004C2997">
        <w:tblPrEx>
          <w:tblCellMar>
            <w:top w:w="0" w:type="dxa"/>
            <w:bottom w:w="0" w:type="dxa"/>
          </w:tblCellMar>
        </w:tblPrEx>
        <w:trPr>
          <w:trHeight w:val="20"/>
        </w:trPr>
        <w:tc>
          <w:tcPr>
            <w:tcW w:w="3189" w:type="dxa"/>
            <w:tcBorders>
              <w:top w:val="nil"/>
              <w:left w:val="single" w:sz="8" w:space="0" w:color="auto"/>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nil"/>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Osztályozza az épületszerkezeteket.</w:t>
            </w:r>
          </w:p>
        </w:tc>
        <w:tc>
          <w:tcPr>
            <w:tcW w:w="3186" w:type="dxa"/>
            <w:tcBorders>
              <w:top w:val="nil"/>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az épületszerkezetekkel szemben támasztott követelményeket.</w:t>
            </w:r>
          </w:p>
        </w:tc>
      </w:tr>
      <w:tr w:rsidR="004C2997">
        <w:tblPrEx>
          <w:tblCellMar>
            <w:top w:w="0" w:type="dxa"/>
            <w:bottom w:w="0" w:type="dxa"/>
          </w:tblCellMar>
        </w:tblPrEx>
        <w:trPr>
          <w:trHeight w:val="20"/>
        </w:trPr>
        <w:tc>
          <w:tcPr>
            <w:tcW w:w="3189" w:type="dxa"/>
            <w:tcBorders>
              <w:top w:val="single" w:sz="8" w:space="0" w:color="auto"/>
              <w:left w:val="single" w:sz="8" w:space="0" w:color="auto"/>
              <w:bottom w:val="single" w:sz="8"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Alépítményi munkák</w:t>
            </w:r>
          </w:p>
        </w:tc>
        <w:tc>
          <w:tcPr>
            <w:tcW w:w="3402" w:type="dxa"/>
            <w:tcBorders>
              <w:top w:val="single" w:sz="8" w:space="0" w:color="auto"/>
              <w:left w:val="single" w:sz="6" w:space="0" w:color="auto"/>
              <w:bottom w:val="single" w:sz="8" w:space="0" w:color="auto"/>
              <w:right w:val="single" w:sz="6"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földmunkákat, alapozásokat, a talajból származó vízformációk elleni szigeteléseket, készítésük munkavédelmi előírásait.</w:t>
            </w:r>
          </w:p>
        </w:tc>
        <w:tc>
          <w:tcPr>
            <w:tcW w:w="3186" w:type="dxa"/>
            <w:tcBorders>
              <w:top w:val="single" w:sz="8" w:space="0" w:color="auto"/>
              <w:left w:val="single" w:sz="6" w:space="0" w:color="auto"/>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Rajzolja meg az alépítményi szerkezetek szakszerű kialakítását.</w:t>
            </w:r>
          </w:p>
        </w:tc>
      </w:tr>
      <w:tr w:rsidR="004C2997">
        <w:tblPrEx>
          <w:tblCellMar>
            <w:top w:w="0" w:type="dxa"/>
            <w:bottom w:w="0" w:type="dxa"/>
          </w:tblCellMar>
        </w:tblPrEx>
        <w:trPr>
          <w:trHeight w:val="20"/>
        </w:trPr>
        <w:tc>
          <w:tcPr>
            <w:tcW w:w="3189" w:type="dxa"/>
            <w:tcBorders>
              <w:top w:val="single" w:sz="8" w:space="0" w:color="auto"/>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single" w:sz="8" w:space="0" w:color="auto"/>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helyszíni beton és vasbeton munkákat.</w:t>
            </w:r>
          </w:p>
        </w:tc>
        <w:tc>
          <w:tcPr>
            <w:tcW w:w="3186" w:type="dxa"/>
            <w:tcBorders>
              <w:top w:val="single" w:sz="8" w:space="0" w:color="auto"/>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az anyagok, gépek, segédszerkezetek helyes megválasztásának szempontjait.</w:t>
            </w:r>
          </w:p>
        </w:tc>
      </w:tr>
      <w:tr w:rsidR="004C2997">
        <w:tblPrEx>
          <w:tblCellMar>
            <w:top w:w="0" w:type="dxa"/>
            <w:bottom w:w="0" w:type="dxa"/>
          </w:tblCellMar>
        </w:tblPrEx>
        <w:trPr>
          <w:trHeight w:val="20"/>
        </w:trPr>
        <w:tc>
          <w:tcPr>
            <w:tcW w:w="3189"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az előregyártás módjait, az előregyártott beton és vasbeton szerkezeteket.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r w:rsidR="004C2997">
        <w:tblPrEx>
          <w:tblCellMar>
            <w:top w:w="0" w:type="dxa"/>
            <w:bottom w:w="0" w:type="dxa"/>
          </w:tblCellMar>
        </w:tblPrEx>
        <w:trPr>
          <w:trHeight w:val="20"/>
        </w:trPr>
        <w:tc>
          <w:tcPr>
            <w:tcW w:w="3189"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zsaluzatokat, dúcolásokat, készítésük munkavédelmi előírásait.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Rajzolja meg a szerkezetek helyes kialakítását.</w:t>
            </w:r>
          </w:p>
        </w:tc>
      </w:tr>
      <w:tr w:rsidR="004C2997">
        <w:tblPrEx>
          <w:tblCellMar>
            <w:top w:w="0" w:type="dxa"/>
            <w:bottom w:w="0" w:type="dxa"/>
          </w:tblCellMar>
        </w:tblPrEx>
        <w:trPr>
          <w:trHeight w:val="20"/>
        </w:trPr>
        <w:tc>
          <w:tcPr>
            <w:tcW w:w="3189" w:type="dxa"/>
            <w:tcBorders>
              <w:top w:val="nil"/>
              <w:left w:val="single" w:sz="8" w:space="0" w:color="auto"/>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Szerkezetépítés</w:t>
            </w:r>
          </w:p>
        </w:tc>
        <w:tc>
          <w:tcPr>
            <w:tcW w:w="3402" w:type="dxa"/>
            <w:tcBorders>
              <w:top w:val="nil"/>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teherhordó szerkezetek fajtáit, építésük előírásait.</w:t>
            </w:r>
          </w:p>
        </w:tc>
        <w:tc>
          <w:tcPr>
            <w:tcW w:w="3186" w:type="dxa"/>
            <w:tcBorders>
              <w:top w:val="nil"/>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Rajzolja meg a szerkezetek helyes kialakítását.</w:t>
            </w:r>
          </w:p>
        </w:tc>
      </w:tr>
      <w:tr w:rsidR="004C2997">
        <w:tblPrEx>
          <w:tblCellMar>
            <w:top w:w="0" w:type="dxa"/>
            <w:bottom w:w="0" w:type="dxa"/>
          </w:tblCellMar>
        </w:tblPrEx>
        <w:trPr>
          <w:trHeight w:val="20"/>
        </w:trPr>
        <w:tc>
          <w:tcPr>
            <w:tcW w:w="3189" w:type="dxa"/>
            <w:tcBorders>
              <w:top w:val="single" w:sz="8" w:space="0" w:color="auto"/>
              <w:left w:val="single" w:sz="8" w:space="0" w:color="auto"/>
              <w:bottom w:val="single" w:sz="8" w:space="0" w:color="auto"/>
              <w:right w:val="nil"/>
            </w:tcBorders>
          </w:tcPr>
          <w:p w:rsidR="004C2997" w:rsidRDefault="004C2997">
            <w:pPr>
              <w:autoSpaceDE w:val="0"/>
              <w:autoSpaceDN w:val="0"/>
              <w:adjustRightInd w:val="0"/>
              <w:spacing w:after="0" w:line="240" w:lineRule="auto"/>
              <w:ind w:left="-49"/>
              <w:rPr>
                <w:rFonts w:ascii="Times New Roman" w:hAnsi="Times New Roman" w:cs="Times New Roman"/>
                <w:b/>
                <w:bCs/>
                <w:color w:val="000000"/>
                <w:sz w:val="20"/>
                <w:szCs w:val="20"/>
              </w:rPr>
            </w:pPr>
            <w:r>
              <w:rPr>
                <w:rFonts w:ascii="Times New Roman" w:hAnsi="Times New Roman" w:cs="Times New Roman"/>
                <w:b/>
                <w:bCs/>
                <w:color w:val="000000"/>
                <w:sz w:val="20"/>
                <w:szCs w:val="20"/>
              </w:rPr>
              <w:t>4. Építésszervezési ismeretek</w:t>
            </w:r>
          </w:p>
        </w:tc>
        <w:tc>
          <w:tcPr>
            <w:tcW w:w="3402" w:type="dxa"/>
            <w:tcBorders>
              <w:top w:val="single" w:sz="8" w:space="0" w:color="auto"/>
              <w:left w:val="nil"/>
              <w:bottom w:val="single" w:sz="8" w:space="0" w:color="auto"/>
              <w:right w:val="nil"/>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186" w:type="dxa"/>
            <w:tcBorders>
              <w:top w:val="single" w:sz="8" w:space="0" w:color="auto"/>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r w:rsidR="004C2997">
        <w:tblPrEx>
          <w:tblCellMar>
            <w:top w:w="0" w:type="dxa"/>
            <w:bottom w:w="0" w:type="dxa"/>
          </w:tblCellMar>
        </w:tblPrEx>
        <w:trPr>
          <w:trHeight w:val="20"/>
        </w:trPr>
        <w:tc>
          <w:tcPr>
            <w:tcW w:w="3189" w:type="dxa"/>
            <w:tcBorders>
              <w:top w:val="single" w:sz="8" w:space="0" w:color="auto"/>
              <w:left w:val="single" w:sz="8" w:space="0" w:color="auto"/>
              <w:bottom w:val="nil"/>
              <w:right w:val="nil"/>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építési helyszín ismerete</w:t>
            </w:r>
          </w:p>
        </w:tc>
        <w:tc>
          <w:tcPr>
            <w:tcW w:w="3402" w:type="dxa"/>
            <w:tcBorders>
              <w:top w:val="single" w:sz="8" w:space="0" w:color="auto"/>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Legyen képes organizációs helyszínrajzot értelmezni.</w:t>
            </w:r>
          </w:p>
        </w:tc>
        <w:tc>
          <w:tcPr>
            <w:tcW w:w="3186" w:type="dxa"/>
            <w:tcBorders>
              <w:top w:val="single" w:sz="8" w:space="0" w:color="auto"/>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Legyen képes organizációs helyszínrajzot készíteni.</w:t>
            </w:r>
          </w:p>
        </w:tc>
      </w:tr>
      <w:tr w:rsidR="004C2997">
        <w:tblPrEx>
          <w:tblCellMar>
            <w:top w:w="0" w:type="dxa"/>
            <w:bottom w:w="0" w:type="dxa"/>
          </w:tblCellMar>
        </w:tblPrEx>
        <w:trPr>
          <w:trHeight w:val="20"/>
        </w:trPr>
        <w:tc>
          <w:tcPr>
            <w:tcW w:w="3189" w:type="dxa"/>
            <w:tcBorders>
              <w:top w:val="nil"/>
              <w:left w:val="single" w:sz="8" w:space="0" w:color="auto"/>
              <w:bottom w:val="nil"/>
              <w:right w:val="nil"/>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az építési helyszín kialakítását.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r w:rsidR="004C2997">
        <w:tblPrEx>
          <w:tblCellMar>
            <w:top w:w="0" w:type="dxa"/>
            <w:bottom w:w="0" w:type="dxa"/>
          </w:tblCellMar>
        </w:tblPrEx>
        <w:trPr>
          <w:trHeight w:val="20"/>
        </w:trPr>
        <w:tc>
          <w:tcPr>
            <w:tcW w:w="3189" w:type="dxa"/>
            <w:tcBorders>
              <w:top w:val="nil"/>
              <w:left w:val="single" w:sz="8" w:space="0" w:color="auto"/>
              <w:bottom w:val="nil"/>
              <w:right w:val="nil"/>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402"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segédüzemeket, azok kialakítását.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r w:rsidR="004C2997">
        <w:tblPrEx>
          <w:tblCellMar>
            <w:top w:w="0" w:type="dxa"/>
            <w:bottom w:w="0" w:type="dxa"/>
          </w:tblCellMar>
        </w:tblPrEx>
        <w:trPr>
          <w:cantSplit/>
          <w:trHeight w:val="1150"/>
        </w:trPr>
        <w:tc>
          <w:tcPr>
            <w:tcW w:w="3189" w:type="dxa"/>
            <w:tcBorders>
              <w:top w:val="nil"/>
              <w:left w:val="single" w:sz="8" w:space="0" w:color="auto"/>
              <w:bottom w:val="nil"/>
              <w:right w:val="nil"/>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Anyagmennyiségek meghatározása</w:t>
            </w:r>
          </w:p>
        </w:tc>
        <w:tc>
          <w:tcPr>
            <w:tcW w:w="3402" w:type="dxa"/>
            <w:tcBorders>
              <w:top w:val="nil"/>
              <w:left w:val="single" w:sz="8" w:space="0" w:color="auto"/>
              <w:bottom w:val="single" w:sz="4"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Készítsen kiviteli tervek alapján egyszerű idomtervet, méretkimutatást.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Kiviteli tervek alapján határozza meg a szükséges anyagmennyiségeket.</w:t>
            </w:r>
          </w:p>
        </w:tc>
        <w:tc>
          <w:tcPr>
            <w:tcW w:w="3186" w:type="dxa"/>
            <w:tcBorders>
              <w:top w:val="nil"/>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Készítsen kiviteli tervek alapján idomtervet, méretkimutatást.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építési anyagok, valamint szerkezetek fogadásának, dokumentálásának előírásait.</w:t>
            </w:r>
          </w:p>
        </w:tc>
      </w:tr>
      <w:tr w:rsidR="004C2997">
        <w:tblPrEx>
          <w:tblCellMar>
            <w:top w:w="0" w:type="dxa"/>
            <w:bottom w:w="0" w:type="dxa"/>
          </w:tblCellMar>
        </w:tblPrEx>
        <w:trPr>
          <w:trHeight w:val="20"/>
        </w:trPr>
        <w:tc>
          <w:tcPr>
            <w:tcW w:w="3189" w:type="dxa"/>
            <w:tcBorders>
              <w:top w:val="single" w:sz="8" w:space="0" w:color="auto"/>
              <w:left w:val="single" w:sz="8" w:space="0" w:color="auto"/>
              <w:bottom w:val="single" w:sz="8" w:space="0" w:color="auto"/>
              <w:right w:val="nil"/>
            </w:tcBorders>
          </w:tcPr>
          <w:p w:rsidR="004C2997" w:rsidRDefault="004C299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5. Munkavédelem</w:t>
            </w:r>
          </w:p>
        </w:tc>
        <w:tc>
          <w:tcPr>
            <w:tcW w:w="3402" w:type="dxa"/>
            <w:tcBorders>
              <w:top w:val="nil"/>
              <w:left w:val="nil"/>
              <w:bottom w:val="single" w:sz="8" w:space="0" w:color="auto"/>
              <w:right w:val="nil"/>
            </w:tcBorders>
          </w:tcPr>
          <w:p w:rsidR="004C2997" w:rsidRDefault="004C2997">
            <w:pPr>
              <w:autoSpaceDE w:val="0"/>
              <w:autoSpaceDN w:val="0"/>
              <w:adjustRightInd w:val="0"/>
              <w:spacing w:after="0" w:line="240" w:lineRule="auto"/>
              <w:rPr>
                <w:rFonts w:ascii="Times New Roman" w:hAnsi="Times New Roman" w:cs="Times New Roman"/>
                <w:b/>
                <w:bCs/>
                <w:color w:val="000000"/>
                <w:sz w:val="20"/>
                <w:szCs w:val="20"/>
              </w:rPr>
            </w:pPr>
          </w:p>
        </w:tc>
        <w:tc>
          <w:tcPr>
            <w:tcW w:w="3186" w:type="dxa"/>
            <w:tcBorders>
              <w:top w:val="nil"/>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b/>
                <w:bCs/>
                <w:color w:val="000000"/>
                <w:sz w:val="20"/>
                <w:szCs w:val="20"/>
              </w:rPr>
            </w:pPr>
          </w:p>
        </w:tc>
      </w:tr>
      <w:tr w:rsidR="004C2997">
        <w:tblPrEx>
          <w:tblCellMar>
            <w:top w:w="0" w:type="dxa"/>
            <w:bottom w:w="0" w:type="dxa"/>
          </w:tblCellMar>
        </w:tblPrEx>
        <w:trPr>
          <w:trHeight w:val="20"/>
        </w:trPr>
        <w:tc>
          <w:tcPr>
            <w:tcW w:w="3189" w:type="dxa"/>
            <w:tcBorders>
              <w:top w:val="nil"/>
              <w:left w:val="single" w:sz="8" w:space="0" w:color="auto"/>
              <w:bottom w:val="nil"/>
              <w:right w:val="nil"/>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balesetek megelőzése</w:t>
            </w:r>
          </w:p>
        </w:tc>
        <w:tc>
          <w:tcPr>
            <w:tcW w:w="3402"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baleset bekövetkezésének megelőzését, a teendőket a balesetek bekövetkezésekor.</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r w:rsidR="004C2997">
        <w:tblPrEx>
          <w:tblCellMar>
            <w:top w:w="0" w:type="dxa"/>
            <w:bottom w:w="0" w:type="dxa"/>
          </w:tblCellMar>
        </w:tblPrEx>
        <w:trPr>
          <w:trHeight w:val="20"/>
        </w:trPr>
        <w:tc>
          <w:tcPr>
            <w:tcW w:w="3189" w:type="dxa"/>
            <w:tcBorders>
              <w:top w:val="nil"/>
              <w:left w:val="single" w:sz="8" w:space="0" w:color="auto"/>
              <w:bottom w:val="nil"/>
              <w:right w:val="nil"/>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Foglalkozás egészségügy</w:t>
            </w:r>
          </w:p>
        </w:tc>
        <w:tc>
          <w:tcPr>
            <w:tcW w:w="3402"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foglalkozási ártalmakat, betegségeket.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foglalkozási ártalmak, betegségek megelőzésének módjait.</w:t>
            </w:r>
          </w:p>
        </w:tc>
      </w:tr>
      <w:tr w:rsidR="004C2997">
        <w:tblPrEx>
          <w:tblCellMar>
            <w:top w:w="0" w:type="dxa"/>
            <w:bottom w:w="0" w:type="dxa"/>
          </w:tblCellMar>
        </w:tblPrEx>
        <w:trPr>
          <w:trHeight w:val="20"/>
        </w:trPr>
        <w:tc>
          <w:tcPr>
            <w:tcW w:w="3189" w:type="dxa"/>
            <w:tcBorders>
              <w:top w:val="nil"/>
              <w:left w:val="single" w:sz="8" w:space="0" w:color="auto"/>
              <w:bottom w:val="nil"/>
              <w:right w:val="nil"/>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munkavégzés tárgyi és személyi feltételei</w:t>
            </w:r>
          </w:p>
        </w:tc>
        <w:tc>
          <w:tcPr>
            <w:tcW w:w="3402"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munkahelyek munkavédelmi követelményeit.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munkáltató munkavédelmi feladatait.</w:t>
            </w:r>
          </w:p>
        </w:tc>
      </w:tr>
      <w:tr w:rsidR="004C2997">
        <w:tblPrEx>
          <w:tblCellMar>
            <w:top w:w="0" w:type="dxa"/>
            <w:bottom w:w="0" w:type="dxa"/>
          </w:tblCellMar>
        </w:tblPrEx>
        <w:trPr>
          <w:trHeight w:val="20"/>
        </w:trPr>
        <w:tc>
          <w:tcPr>
            <w:tcW w:w="3189" w:type="dxa"/>
            <w:tcBorders>
              <w:top w:val="nil"/>
              <w:left w:val="single" w:sz="8" w:space="0" w:color="auto"/>
              <w:bottom w:val="nil"/>
              <w:right w:val="nil"/>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3402"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kollektív és egyéni védőeszközöket.</w:t>
            </w:r>
          </w:p>
        </w:tc>
        <w:tc>
          <w:tcPr>
            <w:tcW w:w="3186"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r w:rsidR="004C2997">
        <w:tblPrEx>
          <w:tblCellMar>
            <w:top w:w="0" w:type="dxa"/>
            <w:bottom w:w="0" w:type="dxa"/>
          </w:tblCellMar>
        </w:tblPrEx>
        <w:trPr>
          <w:trHeight w:val="20"/>
        </w:trPr>
        <w:tc>
          <w:tcPr>
            <w:tcW w:w="3189" w:type="dxa"/>
            <w:tcBorders>
              <w:top w:val="nil"/>
              <w:left w:val="single" w:sz="8" w:space="0" w:color="auto"/>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3402" w:type="dxa"/>
            <w:tcBorders>
              <w:top w:val="nil"/>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az elsősegélynyújtás különböző módjait.</w:t>
            </w:r>
          </w:p>
        </w:tc>
        <w:tc>
          <w:tcPr>
            <w:tcW w:w="3186" w:type="dxa"/>
            <w:tcBorders>
              <w:top w:val="nil"/>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r w:rsidR="004C2997">
        <w:tblPrEx>
          <w:tblCellMar>
            <w:top w:w="0" w:type="dxa"/>
            <w:bottom w:w="0" w:type="dxa"/>
          </w:tblCellMar>
        </w:tblPrEx>
        <w:trPr>
          <w:trHeight w:val="20"/>
        </w:trPr>
        <w:tc>
          <w:tcPr>
            <w:tcW w:w="3189" w:type="dxa"/>
            <w:tcBorders>
              <w:top w:val="nil"/>
              <w:left w:val="single" w:sz="8" w:space="0" w:color="auto"/>
              <w:bottom w:val="single" w:sz="8" w:space="0" w:color="auto"/>
              <w:right w:val="nil"/>
            </w:tcBorders>
          </w:tcPr>
          <w:p w:rsidR="004C2997" w:rsidRDefault="004C299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6. Statika</w:t>
            </w:r>
          </w:p>
        </w:tc>
        <w:tc>
          <w:tcPr>
            <w:tcW w:w="3402" w:type="dxa"/>
            <w:tcBorders>
              <w:top w:val="nil"/>
              <w:left w:val="nil"/>
              <w:bottom w:val="single" w:sz="8" w:space="0" w:color="auto"/>
              <w:right w:val="nil"/>
            </w:tcBorders>
          </w:tcPr>
          <w:p w:rsidR="004C2997" w:rsidRDefault="004C2997">
            <w:pPr>
              <w:autoSpaceDE w:val="0"/>
              <w:autoSpaceDN w:val="0"/>
              <w:adjustRightInd w:val="0"/>
              <w:spacing w:after="0" w:line="240" w:lineRule="auto"/>
              <w:rPr>
                <w:rFonts w:ascii="Times New Roman" w:hAnsi="Times New Roman" w:cs="Times New Roman"/>
                <w:b/>
                <w:bCs/>
                <w:color w:val="000000"/>
                <w:sz w:val="20"/>
                <w:szCs w:val="20"/>
              </w:rPr>
            </w:pPr>
          </w:p>
        </w:tc>
        <w:tc>
          <w:tcPr>
            <w:tcW w:w="3186" w:type="dxa"/>
            <w:tcBorders>
              <w:top w:val="nil"/>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b/>
                <w:bCs/>
                <w:color w:val="000000"/>
                <w:sz w:val="20"/>
                <w:szCs w:val="20"/>
              </w:rPr>
            </w:pPr>
          </w:p>
        </w:tc>
      </w:tr>
      <w:tr w:rsidR="004C2997">
        <w:tblPrEx>
          <w:tblCellMar>
            <w:top w:w="0" w:type="dxa"/>
            <w:bottom w:w="0" w:type="dxa"/>
          </w:tblCellMar>
        </w:tblPrEx>
        <w:trPr>
          <w:cantSplit/>
          <w:trHeight w:val="944"/>
        </w:trPr>
        <w:tc>
          <w:tcPr>
            <w:tcW w:w="3189" w:type="dxa"/>
            <w:tcBorders>
              <w:top w:val="nil"/>
              <w:left w:val="single" w:sz="8" w:space="0" w:color="auto"/>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Merev testek statikája</w:t>
            </w:r>
          </w:p>
        </w:tc>
        <w:tc>
          <w:tcPr>
            <w:tcW w:w="3402" w:type="dxa"/>
            <w:tcBorders>
              <w:top w:val="nil"/>
              <w:left w:val="nil"/>
              <w:bottom w:val="nil"/>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az erő fogalmát, fajtáit, jellemzőit, a statika alaptételeit.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Határozza meg számítással az erőrendszerek eredőjét és egyensúlyát.</w:t>
            </w:r>
          </w:p>
        </w:tc>
        <w:tc>
          <w:tcPr>
            <w:tcW w:w="3186" w:type="dxa"/>
            <w:tcBorders>
              <w:top w:val="nil"/>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r w:rsidR="004C2997">
        <w:tblPrEx>
          <w:tblCellMar>
            <w:top w:w="0" w:type="dxa"/>
            <w:bottom w:w="0" w:type="dxa"/>
          </w:tblCellMar>
        </w:tblPrEx>
        <w:trPr>
          <w:cantSplit/>
          <w:trHeight w:val="2545"/>
        </w:trPr>
        <w:tc>
          <w:tcPr>
            <w:tcW w:w="3189" w:type="dxa"/>
            <w:tcBorders>
              <w:top w:val="single" w:sz="8" w:space="0" w:color="auto"/>
              <w:left w:val="single" w:sz="8" w:space="0" w:color="auto"/>
              <w:bottom w:val="single" w:sz="4"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Tartószerkezetek</w:t>
            </w:r>
          </w:p>
        </w:tc>
        <w:tc>
          <w:tcPr>
            <w:tcW w:w="3402" w:type="dxa"/>
            <w:tcBorders>
              <w:top w:val="single" w:sz="8" w:space="0" w:color="auto"/>
              <w:left w:val="nil"/>
              <w:bottom w:val="single" w:sz="4"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tartók fogalmát, fajtáit, támaszelemeit.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Rajzolja meg összetett terhelésű, határozott tartók belsőerő ábráit, vegyes terhelés esetében.</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tartószerkezetek mértékadó terheit.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Számítsa ki egyszerű tartószerkezet mértékadó terhelését.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tartószerkezetek igénybevételeit.</w:t>
            </w:r>
          </w:p>
        </w:tc>
        <w:tc>
          <w:tcPr>
            <w:tcW w:w="3186" w:type="dxa"/>
            <w:tcBorders>
              <w:top w:val="nil"/>
              <w:left w:val="nil"/>
              <w:bottom w:val="single" w:sz="8" w:space="0" w:color="auto"/>
              <w:right w:val="single" w:sz="8"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KÖNNYŰIPARI ALAPISMERETEK </w:t>
      </w:r>
      <w:r>
        <w:rPr>
          <w:rFonts w:ascii="Times New Roman" w:hAnsi="Times New Roman" w:cs="Times New Roman"/>
          <w:b/>
          <w:bCs/>
          <w:sz w:val="24"/>
          <w:szCs w:val="24"/>
        </w:rPr>
        <w:br/>
        <w:t>ÉRETTSÉGI VIZSGA ÁLTALÁNOS KÖVETELMÉNYEI</w:t>
      </w:r>
    </w:p>
    <w:p w:rsidR="004C2997" w:rsidRDefault="004C2997" w:rsidP="004C2997">
      <w:pPr>
        <w:autoSpaceDE w:val="0"/>
        <w:autoSpaceDN w:val="0"/>
        <w:adjustRightInd w:val="0"/>
        <w:spacing w:after="0" w:line="240" w:lineRule="auto"/>
        <w:jc w:val="center"/>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19"/>
          <w:szCs w:val="19"/>
        </w:rPr>
      </w:pPr>
      <w:r>
        <w:rPr>
          <w:rFonts w:ascii="Times New Roman" w:hAnsi="Times New Roman" w:cs="Times New Roman"/>
          <w:b/>
          <w:bCs/>
          <w:sz w:val="19"/>
          <w:szCs w:val="19"/>
        </w:rPr>
        <w:t>A vizsga formája:</w:t>
      </w:r>
    </w:p>
    <w:p w:rsidR="004C2997" w:rsidRDefault="004C2997" w:rsidP="004C2997">
      <w:pPr>
        <w:autoSpaceDE w:val="0"/>
        <w:autoSpaceDN w:val="0"/>
        <w:adjustRightInd w:val="0"/>
        <w:spacing w:after="0" w:line="240" w:lineRule="auto"/>
        <w:ind w:left="539"/>
        <w:rPr>
          <w:rFonts w:ascii="Times New Roman" w:hAnsi="Times New Roman" w:cs="Times New Roman"/>
          <w:sz w:val="19"/>
          <w:szCs w:val="19"/>
        </w:rPr>
      </w:pPr>
      <w:r>
        <w:rPr>
          <w:rFonts w:ascii="Times New Roman" w:hAnsi="Times New Roman" w:cs="Times New Roman"/>
          <w:sz w:val="19"/>
          <w:szCs w:val="19"/>
        </w:rPr>
        <w:t>Középszinten: írásbeli és szóbeli.</w:t>
      </w:r>
    </w:p>
    <w:p w:rsidR="004C2997" w:rsidRDefault="004C2997" w:rsidP="004C2997">
      <w:pPr>
        <w:autoSpaceDE w:val="0"/>
        <w:autoSpaceDN w:val="0"/>
        <w:adjustRightInd w:val="0"/>
        <w:spacing w:after="0" w:line="240" w:lineRule="auto"/>
        <w:ind w:left="539"/>
        <w:rPr>
          <w:rFonts w:ascii="Times New Roman" w:hAnsi="Times New Roman" w:cs="Times New Roman"/>
          <w:sz w:val="19"/>
          <w:szCs w:val="19"/>
        </w:rPr>
      </w:pPr>
      <w:r>
        <w:rPr>
          <w:rFonts w:ascii="Times New Roman" w:hAnsi="Times New Roman" w:cs="Times New Roman"/>
          <w:sz w:val="19"/>
          <w:szCs w:val="19"/>
        </w:rPr>
        <w:t>Emelt szinten: írásbeli és szóbeli.</w:t>
      </w:r>
    </w:p>
    <w:p w:rsidR="004C2997" w:rsidRDefault="004C2997" w:rsidP="004C2997">
      <w:pPr>
        <w:autoSpaceDE w:val="0"/>
        <w:autoSpaceDN w:val="0"/>
        <w:adjustRightInd w:val="0"/>
        <w:spacing w:after="0" w:line="240" w:lineRule="auto"/>
        <w:rPr>
          <w:rFonts w:ascii="Times New Roman" w:hAnsi="Times New Roman" w:cs="Times New Roman"/>
          <w:sz w:val="19"/>
          <w:szCs w:val="19"/>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Könnyűipari alapismeretek érettségi vizsga célja; </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Az ismeretek és a készségek legnagyobb része középszinten és emeltszinten is megjelenik, a középszintű célok elsősorban az egyszerűbb ismeretszerzési eljárásokat, kifejezéseket, készségeket, a rendszerezés és az alkalmazás alapvető formáit várja el. </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Emelt szinten elsősorban az igényesebb felépítést, az alkalmazást és az integrálást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A középszintű vizsga célja annak megállapítása, hogy a vizsgázó: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Öltözködéskultúrából: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 </w:t>
      </w:r>
      <w:r>
        <w:rPr>
          <w:rFonts w:ascii="Times New Roman" w:hAnsi="Times New Roman" w:cs="Times New Roman"/>
          <w:sz w:val="20"/>
          <w:szCs w:val="20"/>
        </w:rPr>
        <w:t xml:space="preserve">ismeri-e a viselettörténeti alapfogalmakat,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ismeri-e az öltözködés kialakulását,</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ismeri-e az öltözködéstörténet főbb szakaszait,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ismeri-e az egyes korok kultúrák jellegzetes alapanyagait, mintázatait,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képes-e a viseletekhez hozzárendelni </w:t>
      </w:r>
      <w:r>
        <w:rPr>
          <w:rFonts w:ascii="Times New Roman" w:hAnsi="Times New Roman" w:cs="Times New Roman"/>
          <w:i/>
          <w:iCs/>
          <w:sz w:val="20"/>
          <w:szCs w:val="20"/>
        </w:rPr>
        <w:t xml:space="preserve">a </w:t>
      </w:r>
      <w:r>
        <w:rPr>
          <w:rFonts w:ascii="Times New Roman" w:hAnsi="Times New Roman" w:cs="Times New Roman"/>
          <w:sz w:val="20"/>
          <w:szCs w:val="20"/>
        </w:rPr>
        <w:t xml:space="preserve">kiegészítőket,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be tudja-e mutatni a viselettörténeti korszakokat, azok főbb jellemzőit,</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felismeri-e az újkori öltözeteket,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tájékozott-e a XIX. századi</w:t>
      </w:r>
      <w:r>
        <w:rPr>
          <w:rFonts w:ascii="Times New Roman" w:hAnsi="Times New Roman" w:cs="Times New Roman"/>
          <w:i/>
          <w:iCs/>
          <w:sz w:val="20"/>
          <w:szCs w:val="20"/>
        </w:rPr>
        <w:t xml:space="preserve"> </w:t>
      </w:r>
      <w:r>
        <w:rPr>
          <w:rFonts w:ascii="Times New Roman" w:hAnsi="Times New Roman" w:cs="Times New Roman"/>
          <w:sz w:val="20"/>
          <w:szCs w:val="20"/>
        </w:rPr>
        <w:t xml:space="preserve">öltözékekről,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tájékozott-e a XXI. századi öltözékekről,</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tájékozott-e a magyar népművészeti tájegységekről,</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ismeri-e az alföldi, dunántúli, erdélyi és a felföldi viseletek jellemzőit,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ismeri-e a divat kialakulását,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tájékozott-e divat és a divatipar kapcso1atáról,</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tájékozott-e hagy mi a szak- és a divatlapok szerepe a tervezési folyamatban,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ismeri-e divattervezés feladatköreit és a tervezés folyamatát,</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tudja-e mi a szerep és jelentősége a divattrendeknek a divat iparban.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Könnyűipaiban alkalmazott anyagokból:</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ismeri-e a könnyűiparban alkalmazott anyagok eredetét és felhasználási területüket,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ismeri-e az alapanyagok fizikai, kémiai tulajdonságait,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ismeri-e a textilipari szálas anyagok feldolgozását,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ismeri-e a bőripari nyersanyagok fajtáit,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ismeri-e a szőrmeiparban használt nyersanyagok fajtáit,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tájékozott-e könnyűiparban használatos ragasztók fajtáiról,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tudja-e mi a fonás, cérnázás,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rendelkezik-e a szövés technológiájának ismeretével,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ismeri-e a kötés fogalmát,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ismeri-e a nemszőtt kelmékkel kapcsolatos alapfogalmak fajtáit jellemzőit,</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ismeri-e a bőr- és szőrmegyártás fogalmát,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ismeri-e a műbőrök, cipőipari talpak fajtáit, alapanyagait. </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b/>
          <w:bCs/>
          <w:sz w:val="19"/>
          <w:szCs w:val="19"/>
        </w:rPr>
      </w:pPr>
      <w:r>
        <w:rPr>
          <w:rFonts w:ascii="Times New Roman" w:hAnsi="Times New Roman" w:cs="Times New Roman"/>
          <w:b/>
          <w:bCs/>
          <w:sz w:val="19"/>
          <w:szCs w:val="19"/>
        </w:rPr>
        <w:t>Az emeltszintű vizsga célja annak megállapítása, hogy a vizsgázó a fentiekben felsoroltakon túlmenően:</w:t>
      </w:r>
    </w:p>
    <w:p w:rsidR="004C2997" w:rsidRDefault="004C2997" w:rsidP="004C2997">
      <w:pPr>
        <w:autoSpaceDE w:val="0"/>
        <w:autoSpaceDN w:val="0"/>
        <w:adjustRightInd w:val="0"/>
        <w:spacing w:after="0" w:line="240" w:lineRule="auto"/>
        <w:jc w:val="both"/>
        <w:rPr>
          <w:rFonts w:ascii="Times New Roman" w:hAnsi="Times New Roman" w:cs="Times New Roman"/>
          <w:sz w:val="19"/>
          <w:szCs w:val="19"/>
        </w:rPr>
      </w:pPr>
      <w:r>
        <w:rPr>
          <w:rFonts w:ascii="Times New Roman" w:hAnsi="Times New Roman" w:cs="Times New Roman"/>
          <w:sz w:val="19"/>
          <w:szCs w:val="19"/>
        </w:rPr>
        <w:t>- elsajátította-e a speciális szakmai tantárgyak tanulásához szükséges feladatmegoldó képességet,</w:t>
      </w:r>
    </w:p>
    <w:p w:rsidR="004C2997" w:rsidRDefault="004C2997" w:rsidP="004C2997">
      <w:pPr>
        <w:autoSpaceDE w:val="0"/>
        <w:autoSpaceDN w:val="0"/>
        <w:adjustRightInd w:val="0"/>
        <w:spacing w:after="0" w:line="240" w:lineRule="auto"/>
        <w:jc w:val="both"/>
        <w:rPr>
          <w:rFonts w:ascii="Times New Roman" w:hAnsi="Times New Roman" w:cs="Times New Roman"/>
          <w:sz w:val="19"/>
          <w:szCs w:val="19"/>
        </w:rPr>
      </w:pPr>
      <w:r>
        <w:rPr>
          <w:rFonts w:ascii="Times New Roman" w:hAnsi="Times New Roman" w:cs="Times New Roman"/>
          <w:sz w:val="19"/>
          <w:szCs w:val="19"/>
        </w:rPr>
        <w:t xml:space="preserve">- tudja-e rendszerezni a különböző korok, kultúrák jellegzetes alapanyagainak mintázatait, </w:t>
      </w:r>
    </w:p>
    <w:p w:rsidR="004C2997" w:rsidRDefault="004C2997" w:rsidP="004C2997">
      <w:pPr>
        <w:autoSpaceDE w:val="0"/>
        <w:autoSpaceDN w:val="0"/>
        <w:adjustRightInd w:val="0"/>
        <w:spacing w:after="0" w:line="240" w:lineRule="auto"/>
        <w:jc w:val="both"/>
        <w:rPr>
          <w:rFonts w:ascii="Times New Roman" w:hAnsi="Times New Roman" w:cs="Times New Roman"/>
          <w:sz w:val="19"/>
          <w:szCs w:val="19"/>
        </w:rPr>
      </w:pPr>
      <w:r>
        <w:rPr>
          <w:rFonts w:ascii="Times New Roman" w:hAnsi="Times New Roman" w:cs="Times New Roman"/>
          <w:sz w:val="19"/>
          <w:szCs w:val="19"/>
        </w:rPr>
        <w:t xml:space="preserve">- a korok jellegzetes öltözékeihez képes-e hozzárendelni a különböző kellékeket, kiegészítőket, díszítő elemeket, </w:t>
      </w:r>
    </w:p>
    <w:p w:rsidR="004C2997" w:rsidRDefault="004C2997" w:rsidP="004C2997">
      <w:pPr>
        <w:autoSpaceDE w:val="0"/>
        <w:autoSpaceDN w:val="0"/>
        <w:adjustRightInd w:val="0"/>
        <w:spacing w:after="0" w:line="240" w:lineRule="auto"/>
        <w:jc w:val="both"/>
        <w:rPr>
          <w:rFonts w:ascii="Times New Roman" w:hAnsi="Times New Roman" w:cs="Times New Roman"/>
          <w:sz w:val="19"/>
          <w:szCs w:val="19"/>
        </w:rPr>
      </w:pPr>
      <w:r>
        <w:rPr>
          <w:rFonts w:ascii="Times New Roman" w:hAnsi="Times New Roman" w:cs="Times New Roman"/>
          <w:sz w:val="19"/>
          <w:szCs w:val="19"/>
        </w:rPr>
        <w:t>- rendelkezzen a divattrendek szerepével, jelentőségével a divatiparban,</w:t>
      </w:r>
    </w:p>
    <w:p w:rsidR="004C2997" w:rsidRDefault="004C2997" w:rsidP="004C2997">
      <w:pPr>
        <w:autoSpaceDE w:val="0"/>
        <w:autoSpaceDN w:val="0"/>
        <w:adjustRightInd w:val="0"/>
        <w:spacing w:after="0" w:line="240" w:lineRule="auto"/>
        <w:jc w:val="both"/>
        <w:rPr>
          <w:rFonts w:ascii="Times New Roman" w:hAnsi="Times New Roman" w:cs="Times New Roman"/>
          <w:sz w:val="19"/>
          <w:szCs w:val="19"/>
        </w:rPr>
      </w:pPr>
      <w:r>
        <w:rPr>
          <w:rFonts w:ascii="Times New Roman" w:hAnsi="Times New Roman" w:cs="Times New Roman"/>
          <w:sz w:val="19"/>
          <w:szCs w:val="19"/>
        </w:rPr>
        <w:t xml:space="preserve">- ismerje a nagy divatházak, tervezők kollekcióit, </w:t>
      </w:r>
    </w:p>
    <w:p w:rsidR="004C2997" w:rsidRDefault="004C2997" w:rsidP="004C2997">
      <w:pPr>
        <w:autoSpaceDE w:val="0"/>
        <w:autoSpaceDN w:val="0"/>
        <w:adjustRightInd w:val="0"/>
        <w:spacing w:after="0" w:line="240" w:lineRule="auto"/>
        <w:jc w:val="both"/>
        <w:rPr>
          <w:rFonts w:ascii="Times New Roman" w:hAnsi="Times New Roman" w:cs="Times New Roman"/>
          <w:sz w:val="19"/>
          <w:szCs w:val="19"/>
        </w:rPr>
      </w:pPr>
      <w:r>
        <w:rPr>
          <w:rFonts w:ascii="Times New Roman" w:hAnsi="Times New Roman" w:cs="Times New Roman"/>
          <w:sz w:val="19"/>
          <w:szCs w:val="19"/>
        </w:rPr>
        <w:t xml:space="preserve">- rendelkezik-e az anyagok fizikai, kémiai szerkezetének jellemzőire vonatkozó ismeretekkel, </w:t>
      </w:r>
    </w:p>
    <w:p w:rsidR="004C2997" w:rsidRDefault="004C2997" w:rsidP="004C2997">
      <w:pPr>
        <w:autoSpaceDE w:val="0"/>
        <w:autoSpaceDN w:val="0"/>
        <w:adjustRightInd w:val="0"/>
        <w:spacing w:after="0" w:line="240" w:lineRule="auto"/>
        <w:jc w:val="both"/>
        <w:rPr>
          <w:rFonts w:ascii="Times New Roman" w:hAnsi="Times New Roman" w:cs="Times New Roman"/>
          <w:sz w:val="19"/>
          <w:szCs w:val="19"/>
        </w:rPr>
      </w:pPr>
      <w:r>
        <w:rPr>
          <w:rFonts w:ascii="Times New Roman" w:hAnsi="Times New Roman" w:cs="Times New Roman"/>
          <w:sz w:val="19"/>
          <w:szCs w:val="19"/>
        </w:rPr>
        <w:t xml:space="preserve">- tudja-e szakszerűen kiválasztani és hozzárendelni az alapanyagokhoz a megfelelő segédanyagokat, kellékeket, kiegészítőket és díszítőelemeket. </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Tartalmi követelmények: </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könnyűipari alapismeretek érettségi vizsgatárgy tartalmi követelményei alapvetően a könnyűipari szakmacsoport érettségire épülő képesítéseinek központi programjának Viselettörténet és a Könnyűiparban alkalmazott anyagok témaköreire épül.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sectPr w:rsidR="004C2997">
          <w:pgSz w:w="11906" w:h="16838"/>
          <w:pgMar w:top="1134" w:right="1134" w:bottom="1134" w:left="1134" w:header="708" w:footer="708" w:gutter="0"/>
          <w:cols w:space="708"/>
          <w:noEndnote/>
        </w:sect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keepNext/>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 I. ÖLTÖZKÖDÉSKULTÚRA</w:t>
      </w:r>
    </w:p>
    <w:p w:rsidR="004C2997" w:rsidRDefault="004C2997" w:rsidP="004C2997">
      <w:pPr>
        <w:autoSpaceDE w:val="0"/>
        <w:autoSpaceDN w:val="0"/>
        <w:adjustRightInd w:val="0"/>
        <w:spacing w:after="0" w:line="240" w:lineRule="auto"/>
        <w:jc w:val="center"/>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ind w:firstLine="284"/>
        <w:rPr>
          <w:rFonts w:ascii="Times New Roman" w:hAnsi="Times New Roman" w:cs="Times New Roman"/>
          <w:b/>
          <w:bCs/>
          <w:sz w:val="20"/>
          <w:szCs w:val="20"/>
        </w:rPr>
      </w:pPr>
      <w:r>
        <w:rPr>
          <w:rFonts w:ascii="Times New Roman" w:hAnsi="Times New Roman" w:cs="Times New Roman"/>
          <w:b/>
          <w:bCs/>
          <w:sz w:val="20"/>
          <w:szCs w:val="20"/>
        </w:rPr>
        <w:t>1. NÉPMŰVÉSZET</w:t>
      </w: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615"/>
        <w:gridCol w:w="5528"/>
        <w:gridCol w:w="5569"/>
      </w:tblGrid>
      <w:tr w:rsidR="004C2997">
        <w:tblPrEx>
          <w:tblCellMar>
            <w:top w:w="0" w:type="dxa"/>
            <w:bottom w:w="0" w:type="dxa"/>
          </w:tblCellMar>
        </w:tblPrEx>
        <w:tc>
          <w:tcPr>
            <w:tcW w:w="3615" w:type="dxa"/>
            <w:vAlign w:val="center"/>
          </w:tcPr>
          <w:p w:rsidR="004C2997" w:rsidRDefault="004C2997">
            <w:pPr>
              <w:autoSpaceDE w:val="0"/>
              <w:autoSpaceDN w:val="0"/>
              <w:adjustRightInd w:val="0"/>
              <w:spacing w:after="0" w:line="240" w:lineRule="auto"/>
              <w:ind w:right="-597"/>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5528" w:type="dxa"/>
            <w:vAlign w:val="center"/>
          </w:tcPr>
          <w:p w:rsidR="004C2997" w:rsidRDefault="004C2997">
            <w:pPr>
              <w:autoSpaceDE w:val="0"/>
              <w:autoSpaceDN w:val="0"/>
              <w:adjustRightInd w:val="0"/>
              <w:spacing w:after="0" w:line="240" w:lineRule="auto"/>
              <w:ind w:right="-597"/>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5569" w:type="dxa"/>
            <w:vAlign w:val="center"/>
          </w:tcPr>
          <w:p w:rsidR="004C2997" w:rsidRDefault="004C2997">
            <w:pPr>
              <w:autoSpaceDE w:val="0"/>
              <w:autoSpaceDN w:val="0"/>
              <w:adjustRightInd w:val="0"/>
              <w:spacing w:after="0" w:line="240" w:lineRule="auto"/>
              <w:ind w:right="-597"/>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3615" w:type="dxa"/>
            <w:tcBorders>
              <w:top w:val="single" w:sz="12" w:space="0" w:color="auto"/>
              <w:left w:val="single" w:sz="12" w:space="0" w:color="auto"/>
            </w:tcBorders>
          </w:tcPr>
          <w:p w:rsidR="004C2997" w:rsidRDefault="004C2997">
            <w:pPr>
              <w:autoSpaceDE w:val="0"/>
              <w:autoSpaceDN w:val="0"/>
              <w:adjustRightInd w:val="0"/>
              <w:spacing w:after="0" w:line="240" w:lineRule="auto"/>
              <w:ind w:right="-597"/>
              <w:rPr>
                <w:rFonts w:ascii="Times New Roman" w:hAnsi="Times New Roman" w:cs="Times New Roman"/>
                <w:b/>
                <w:bCs/>
                <w:sz w:val="20"/>
                <w:szCs w:val="20"/>
              </w:rPr>
            </w:pPr>
            <w:r>
              <w:rPr>
                <w:rFonts w:ascii="Times New Roman" w:hAnsi="Times New Roman" w:cs="Times New Roman"/>
                <w:b/>
                <w:bCs/>
                <w:sz w:val="20"/>
                <w:szCs w:val="20"/>
              </w:rPr>
              <w:t>1. 1. A magyar népművészet tájegységei</w:t>
            </w:r>
          </w:p>
          <w:p w:rsidR="004C2997" w:rsidRDefault="004C2997">
            <w:pPr>
              <w:autoSpaceDE w:val="0"/>
              <w:autoSpaceDN w:val="0"/>
              <w:adjustRightInd w:val="0"/>
              <w:spacing w:after="0" w:line="240" w:lineRule="auto"/>
              <w:ind w:right="-597"/>
              <w:rPr>
                <w:rFonts w:ascii="Times New Roman" w:hAnsi="Times New Roman" w:cs="Times New Roman"/>
                <w:b/>
                <w:bCs/>
                <w:sz w:val="20"/>
                <w:szCs w:val="20"/>
              </w:rPr>
            </w:pPr>
          </w:p>
        </w:tc>
        <w:tc>
          <w:tcPr>
            <w:tcW w:w="5528" w:type="dxa"/>
            <w:tcBorders>
              <w:top w:val="single" w:sz="12" w:space="0" w:color="auto"/>
            </w:tcBorders>
          </w:tcPr>
          <w:p w:rsidR="004C2997" w:rsidRDefault="004C2997">
            <w:pPr>
              <w:autoSpaceDE w:val="0"/>
              <w:autoSpaceDN w:val="0"/>
              <w:adjustRightInd w:val="0"/>
              <w:spacing w:after="0" w:line="240" w:lineRule="auto"/>
              <w:ind w:right="-597"/>
              <w:rPr>
                <w:rFonts w:ascii="Times New Roman" w:hAnsi="Times New Roman" w:cs="Times New Roman"/>
                <w:sz w:val="20"/>
                <w:szCs w:val="20"/>
              </w:rPr>
            </w:pPr>
            <w:r>
              <w:rPr>
                <w:rFonts w:ascii="Times New Roman" w:hAnsi="Times New Roman" w:cs="Times New Roman"/>
                <w:sz w:val="20"/>
                <w:szCs w:val="20"/>
              </w:rPr>
              <w:t>A magyar népművészet általános jellegzetességei.</w:t>
            </w:r>
          </w:p>
          <w:p w:rsidR="004C2997" w:rsidRDefault="004C2997">
            <w:pPr>
              <w:autoSpaceDE w:val="0"/>
              <w:autoSpaceDN w:val="0"/>
              <w:adjustRightInd w:val="0"/>
              <w:spacing w:after="0" w:line="240" w:lineRule="auto"/>
              <w:ind w:right="-597"/>
              <w:rPr>
                <w:rFonts w:ascii="Times New Roman" w:hAnsi="Times New Roman" w:cs="Times New Roman"/>
                <w:sz w:val="20"/>
                <w:szCs w:val="20"/>
              </w:rPr>
            </w:pPr>
            <w:r>
              <w:rPr>
                <w:rFonts w:ascii="Times New Roman" w:hAnsi="Times New Roman" w:cs="Times New Roman"/>
                <w:sz w:val="20"/>
                <w:szCs w:val="20"/>
              </w:rPr>
              <w:t>A magyar népművészet kiemelt tájegységei.</w:t>
            </w:r>
          </w:p>
          <w:p w:rsidR="004C2997" w:rsidRDefault="004C2997">
            <w:pPr>
              <w:autoSpaceDE w:val="0"/>
              <w:autoSpaceDN w:val="0"/>
              <w:adjustRightInd w:val="0"/>
              <w:spacing w:after="0" w:line="240" w:lineRule="auto"/>
              <w:ind w:right="-597"/>
              <w:rPr>
                <w:rFonts w:ascii="Times New Roman" w:hAnsi="Times New Roman" w:cs="Times New Roman"/>
                <w:sz w:val="20"/>
                <w:szCs w:val="20"/>
              </w:rPr>
            </w:pPr>
            <w:r>
              <w:rPr>
                <w:rFonts w:ascii="Times New Roman" w:hAnsi="Times New Roman" w:cs="Times New Roman"/>
                <w:sz w:val="20"/>
                <w:szCs w:val="20"/>
              </w:rPr>
              <w:t>A magyar népművészet kiemelt tájegységeinek öltözetei.</w:t>
            </w:r>
          </w:p>
        </w:tc>
        <w:tc>
          <w:tcPr>
            <w:tcW w:w="5569" w:type="dxa"/>
            <w:tcBorders>
              <w:top w:val="single" w:sz="12" w:space="0" w:color="auto"/>
              <w:right w:val="single" w:sz="12" w:space="0" w:color="auto"/>
            </w:tcBorders>
          </w:tcPr>
          <w:p w:rsidR="004C2997" w:rsidRDefault="004C2997">
            <w:pPr>
              <w:autoSpaceDE w:val="0"/>
              <w:autoSpaceDN w:val="0"/>
              <w:adjustRightInd w:val="0"/>
              <w:spacing w:after="0" w:line="240" w:lineRule="auto"/>
              <w:ind w:right="-597"/>
              <w:rPr>
                <w:rFonts w:ascii="Times New Roman" w:hAnsi="Times New Roman" w:cs="Times New Roman"/>
                <w:sz w:val="20"/>
                <w:szCs w:val="20"/>
              </w:rPr>
            </w:pPr>
            <w:r>
              <w:rPr>
                <w:rFonts w:ascii="Times New Roman" w:hAnsi="Times New Roman" w:cs="Times New Roman"/>
                <w:sz w:val="20"/>
                <w:szCs w:val="20"/>
              </w:rPr>
              <w:t>A magyar népművészet kiemelt tájegységeinek jellemző forma- és szimbólumvilága, viseletei.</w:t>
            </w:r>
          </w:p>
          <w:p w:rsidR="004C2997" w:rsidRDefault="004C2997">
            <w:pPr>
              <w:autoSpaceDE w:val="0"/>
              <w:autoSpaceDN w:val="0"/>
              <w:adjustRightInd w:val="0"/>
              <w:spacing w:after="0" w:line="240" w:lineRule="auto"/>
              <w:ind w:right="-597"/>
              <w:rPr>
                <w:rFonts w:ascii="Times New Roman" w:hAnsi="Times New Roman" w:cs="Times New Roman"/>
                <w:sz w:val="20"/>
                <w:szCs w:val="20"/>
              </w:rPr>
            </w:pPr>
          </w:p>
        </w:tc>
      </w:tr>
      <w:tr w:rsidR="004C2997">
        <w:tblPrEx>
          <w:tblCellMar>
            <w:top w:w="0" w:type="dxa"/>
            <w:bottom w:w="0" w:type="dxa"/>
          </w:tblCellMar>
        </w:tblPrEx>
        <w:tc>
          <w:tcPr>
            <w:tcW w:w="3615" w:type="dxa"/>
            <w:tcBorders>
              <w:left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 2. Az alföldi, a dunántúli, a felföldi és az erdélyi viseletek jellemzői.</w:t>
            </w:r>
          </w:p>
        </w:tc>
        <w:tc>
          <w:tcPr>
            <w:tcW w:w="5528" w:type="dxa"/>
          </w:tcPr>
          <w:p w:rsidR="004C2997" w:rsidRDefault="004C2997">
            <w:pPr>
              <w:autoSpaceDE w:val="0"/>
              <w:autoSpaceDN w:val="0"/>
              <w:adjustRightInd w:val="0"/>
              <w:spacing w:after="0" w:line="240" w:lineRule="auto"/>
              <w:ind w:right="-597"/>
              <w:rPr>
                <w:rFonts w:ascii="Times New Roman" w:hAnsi="Times New Roman" w:cs="Times New Roman"/>
                <w:sz w:val="20"/>
                <w:szCs w:val="20"/>
              </w:rPr>
            </w:pPr>
            <w:r>
              <w:rPr>
                <w:rFonts w:ascii="Times New Roman" w:hAnsi="Times New Roman" w:cs="Times New Roman"/>
                <w:sz w:val="20"/>
                <w:szCs w:val="20"/>
              </w:rPr>
              <w:t>Az alföldi viselet.</w:t>
            </w:r>
          </w:p>
          <w:p w:rsidR="004C2997" w:rsidRDefault="004C2997">
            <w:pPr>
              <w:autoSpaceDE w:val="0"/>
              <w:autoSpaceDN w:val="0"/>
              <w:adjustRightInd w:val="0"/>
              <w:spacing w:after="0" w:line="240" w:lineRule="auto"/>
              <w:ind w:right="-597"/>
              <w:rPr>
                <w:rFonts w:ascii="Times New Roman" w:hAnsi="Times New Roman" w:cs="Times New Roman"/>
                <w:sz w:val="20"/>
                <w:szCs w:val="20"/>
              </w:rPr>
            </w:pPr>
            <w:r>
              <w:rPr>
                <w:rFonts w:ascii="Times New Roman" w:hAnsi="Times New Roman" w:cs="Times New Roman"/>
                <w:sz w:val="20"/>
                <w:szCs w:val="20"/>
              </w:rPr>
              <w:t>A Dunántúl jellegzetes viseletei.</w:t>
            </w:r>
          </w:p>
          <w:p w:rsidR="004C2997" w:rsidRDefault="004C2997">
            <w:pPr>
              <w:autoSpaceDE w:val="0"/>
              <w:autoSpaceDN w:val="0"/>
              <w:adjustRightInd w:val="0"/>
              <w:spacing w:after="0" w:line="240" w:lineRule="auto"/>
              <w:ind w:right="-597"/>
              <w:rPr>
                <w:rFonts w:ascii="Times New Roman" w:hAnsi="Times New Roman" w:cs="Times New Roman"/>
                <w:sz w:val="20"/>
                <w:szCs w:val="20"/>
              </w:rPr>
            </w:pPr>
            <w:r>
              <w:rPr>
                <w:rFonts w:ascii="Times New Roman" w:hAnsi="Times New Roman" w:cs="Times New Roman"/>
                <w:sz w:val="20"/>
                <w:szCs w:val="20"/>
              </w:rPr>
              <w:t>Felföldi viseletek.</w:t>
            </w:r>
          </w:p>
          <w:p w:rsidR="004C2997" w:rsidRDefault="004C2997">
            <w:pPr>
              <w:autoSpaceDE w:val="0"/>
              <w:autoSpaceDN w:val="0"/>
              <w:adjustRightInd w:val="0"/>
              <w:spacing w:after="0" w:line="240" w:lineRule="auto"/>
              <w:ind w:right="-597"/>
              <w:rPr>
                <w:rFonts w:ascii="Times New Roman" w:hAnsi="Times New Roman" w:cs="Times New Roman"/>
                <w:sz w:val="20"/>
                <w:szCs w:val="20"/>
              </w:rPr>
            </w:pPr>
            <w:r>
              <w:rPr>
                <w:rFonts w:ascii="Times New Roman" w:hAnsi="Times New Roman" w:cs="Times New Roman"/>
                <w:sz w:val="20"/>
                <w:szCs w:val="20"/>
              </w:rPr>
              <w:t>Erdélyi női és férfi viseletek.</w:t>
            </w:r>
          </w:p>
        </w:tc>
        <w:tc>
          <w:tcPr>
            <w:tcW w:w="5569" w:type="dxa"/>
            <w:tcBorders>
              <w:right w:val="single" w:sz="12" w:space="0" w:color="auto"/>
            </w:tcBorders>
          </w:tcPr>
          <w:p w:rsidR="004C2997" w:rsidRDefault="004C2997">
            <w:pPr>
              <w:autoSpaceDE w:val="0"/>
              <w:autoSpaceDN w:val="0"/>
              <w:adjustRightInd w:val="0"/>
              <w:spacing w:after="0" w:line="240" w:lineRule="auto"/>
              <w:ind w:right="-597"/>
              <w:rPr>
                <w:rFonts w:ascii="Times New Roman" w:hAnsi="Times New Roman" w:cs="Times New Roman"/>
                <w:sz w:val="20"/>
                <w:szCs w:val="20"/>
              </w:rPr>
            </w:pPr>
            <w:r>
              <w:rPr>
                <w:rFonts w:ascii="Times New Roman" w:hAnsi="Times New Roman" w:cs="Times New Roman"/>
                <w:sz w:val="20"/>
                <w:szCs w:val="20"/>
              </w:rPr>
              <w:t>Jellegzetes alföldi viselethez tartozó</w:t>
            </w:r>
          </w:p>
          <w:p w:rsidR="004C2997" w:rsidRDefault="004C2997">
            <w:pPr>
              <w:autoSpaceDE w:val="0"/>
              <w:autoSpaceDN w:val="0"/>
              <w:adjustRightInd w:val="0"/>
              <w:spacing w:after="0" w:line="240" w:lineRule="auto"/>
              <w:ind w:right="-597"/>
              <w:rPr>
                <w:rFonts w:ascii="Times New Roman" w:hAnsi="Times New Roman" w:cs="Times New Roman"/>
                <w:sz w:val="20"/>
                <w:szCs w:val="20"/>
              </w:rPr>
            </w:pPr>
            <w:r>
              <w:rPr>
                <w:rFonts w:ascii="Times New Roman" w:hAnsi="Times New Roman" w:cs="Times New Roman"/>
                <w:sz w:val="20"/>
                <w:szCs w:val="20"/>
              </w:rPr>
              <w:t>kiegészítők.</w:t>
            </w:r>
          </w:p>
          <w:p w:rsidR="004C2997" w:rsidRDefault="004C2997">
            <w:pPr>
              <w:autoSpaceDE w:val="0"/>
              <w:autoSpaceDN w:val="0"/>
              <w:adjustRightInd w:val="0"/>
              <w:spacing w:after="0" w:line="240" w:lineRule="auto"/>
              <w:ind w:right="-597"/>
              <w:rPr>
                <w:rFonts w:ascii="Times New Roman" w:hAnsi="Times New Roman" w:cs="Times New Roman"/>
                <w:sz w:val="20"/>
                <w:szCs w:val="20"/>
              </w:rPr>
            </w:pPr>
          </w:p>
          <w:p w:rsidR="004C2997" w:rsidRDefault="004C2997">
            <w:pPr>
              <w:autoSpaceDE w:val="0"/>
              <w:autoSpaceDN w:val="0"/>
              <w:adjustRightInd w:val="0"/>
              <w:spacing w:after="0" w:line="240" w:lineRule="auto"/>
              <w:ind w:right="-597"/>
              <w:rPr>
                <w:rFonts w:ascii="Times New Roman" w:hAnsi="Times New Roman" w:cs="Times New Roman"/>
                <w:sz w:val="20"/>
                <w:szCs w:val="20"/>
              </w:rPr>
            </w:pPr>
            <w:r>
              <w:rPr>
                <w:rFonts w:ascii="Times New Roman" w:hAnsi="Times New Roman" w:cs="Times New Roman"/>
                <w:sz w:val="20"/>
                <w:szCs w:val="20"/>
              </w:rPr>
              <w:t>Jellegzetes erdélyi viseletek és kiegészítői.</w:t>
            </w:r>
          </w:p>
        </w:tc>
      </w:tr>
    </w:tbl>
    <w:p w:rsidR="004C2997" w:rsidRDefault="004C2997" w:rsidP="004C2997">
      <w:pPr>
        <w:autoSpaceDE w:val="0"/>
        <w:autoSpaceDN w:val="0"/>
        <w:adjustRightInd w:val="0"/>
        <w:spacing w:after="0" w:line="240" w:lineRule="auto"/>
        <w:ind w:right="-597"/>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ind w:right="-597" w:firstLine="284"/>
        <w:rPr>
          <w:rFonts w:ascii="Times New Roman" w:hAnsi="Times New Roman" w:cs="Times New Roman"/>
          <w:b/>
          <w:bCs/>
          <w:sz w:val="20"/>
          <w:szCs w:val="20"/>
        </w:rPr>
      </w:pPr>
      <w:r>
        <w:rPr>
          <w:rFonts w:ascii="Times New Roman" w:hAnsi="Times New Roman" w:cs="Times New Roman"/>
          <w:b/>
          <w:bCs/>
          <w:sz w:val="20"/>
          <w:szCs w:val="20"/>
        </w:rPr>
        <w:t>2. VISELETTÖRTÉNET</w:t>
      </w:r>
    </w:p>
    <w:p w:rsidR="004C2997" w:rsidRDefault="004C2997" w:rsidP="004C2997">
      <w:pPr>
        <w:autoSpaceDE w:val="0"/>
        <w:autoSpaceDN w:val="0"/>
        <w:adjustRightInd w:val="0"/>
        <w:spacing w:after="0" w:line="240" w:lineRule="auto"/>
        <w:ind w:right="-597"/>
        <w:rPr>
          <w:rFonts w:ascii="Times New Roman" w:hAnsi="Times New Roman" w:cs="Times New Roman"/>
          <w:b/>
          <w:bCs/>
          <w:sz w:val="20"/>
          <w:szCs w:val="20"/>
        </w:rPr>
      </w:pPr>
    </w:p>
    <w:tbl>
      <w:tblPr>
        <w:tblW w:w="0" w:type="auto"/>
        <w:tblInd w:w="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544"/>
        <w:gridCol w:w="5528"/>
        <w:gridCol w:w="5570"/>
      </w:tblGrid>
      <w:tr w:rsidR="004C2997">
        <w:tblPrEx>
          <w:tblCellMar>
            <w:top w:w="0" w:type="dxa"/>
            <w:bottom w:w="0" w:type="dxa"/>
          </w:tblCellMar>
        </w:tblPrEx>
        <w:tc>
          <w:tcPr>
            <w:tcW w:w="3544" w:type="dxa"/>
            <w:vAlign w:val="center"/>
          </w:tcPr>
          <w:p w:rsidR="004C2997" w:rsidRDefault="004C2997">
            <w:pPr>
              <w:autoSpaceDE w:val="0"/>
              <w:autoSpaceDN w:val="0"/>
              <w:adjustRightInd w:val="0"/>
              <w:spacing w:after="0" w:line="240" w:lineRule="auto"/>
              <w:ind w:right="-597"/>
              <w:rPr>
                <w:rFonts w:ascii="Times New Roman" w:hAnsi="Times New Roman" w:cs="Times New Roman"/>
                <w:b/>
                <w:bCs/>
                <w:sz w:val="20"/>
                <w:szCs w:val="20"/>
              </w:rPr>
            </w:pPr>
            <w:r>
              <w:rPr>
                <w:rFonts w:ascii="Times New Roman" w:hAnsi="Times New Roman" w:cs="Times New Roman"/>
                <w:b/>
                <w:bCs/>
                <w:sz w:val="20"/>
                <w:szCs w:val="20"/>
              </w:rPr>
              <w:t>Témakörök</w:t>
            </w:r>
          </w:p>
        </w:tc>
        <w:tc>
          <w:tcPr>
            <w:tcW w:w="5528" w:type="dxa"/>
            <w:vAlign w:val="center"/>
          </w:tcPr>
          <w:p w:rsidR="004C2997" w:rsidRDefault="004C2997">
            <w:pPr>
              <w:autoSpaceDE w:val="0"/>
              <w:autoSpaceDN w:val="0"/>
              <w:adjustRightInd w:val="0"/>
              <w:spacing w:after="0" w:line="240" w:lineRule="auto"/>
              <w:ind w:right="-597"/>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5569" w:type="dxa"/>
            <w:vAlign w:val="center"/>
          </w:tcPr>
          <w:p w:rsidR="004C2997" w:rsidRDefault="004C2997">
            <w:pPr>
              <w:autoSpaceDE w:val="0"/>
              <w:autoSpaceDN w:val="0"/>
              <w:adjustRightInd w:val="0"/>
              <w:spacing w:after="0" w:line="240" w:lineRule="auto"/>
              <w:ind w:right="-597"/>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left w:w="70" w:type="dxa"/>
            <w:bottom w:w="0" w:type="dxa"/>
            <w:right w:w="70" w:type="dxa"/>
          </w:tblCellMar>
        </w:tblPrEx>
        <w:tc>
          <w:tcPr>
            <w:tcW w:w="3544" w:type="dxa"/>
            <w:tcBorders>
              <w:top w:val="single" w:sz="12" w:space="0" w:color="auto"/>
              <w:left w:val="single" w:sz="12" w:space="0" w:color="auto"/>
            </w:tcBorders>
          </w:tcPr>
          <w:p w:rsidR="004C2997" w:rsidRDefault="004C2997">
            <w:pPr>
              <w:autoSpaceDE w:val="0"/>
              <w:autoSpaceDN w:val="0"/>
              <w:adjustRightInd w:val="0"/>
              <w:spacing w:after="0" w:line="240" w:lineRule="auto"/>
              <w:ind w:right="-597"/>
              <w:rPr>
                <w:rFonts w:ascii="Times New Roman" w:hAnsi="Times New Roman" w:cs="Times New Roman"/>
                <w:b/>
                <w:bCs/>
                <w:sz w:val="20"/>
                <w:szCs w:val="20"/>
              </w:rPr>
            </w:pPr>
            <w:r>
              <w:rPr>
                <w:rFonts w:ascii="Times New Roman" w:hAnsi="Times New Roman" w:cs="Times New Roman"/>
                <w:b/>
                <w:bCs/>
                <w:sz w:val="20"/>
                <w:szCs w:val="20"/>
              </w:rPr>
              <w:t>2. 1. Az öltözet kialakulása</w:t>
            </w:r>
          </w:p>
        </w:tc>
        <w:tc>
          <w:tcPr>
            <w:tcW w:w="5528" w:type="dxa"/>
            <w:tcBorders>
              <w:top w:val="single" w:sz="12" w:space="0" w:color="auto"/>
            </w:tcBorders>
          </w:tcPr>
          <w:p w:rsidR="004C2997" w:rsidRDefault="004C2997">
            <w:pPr>
              <w:autoSpaceDE w:val="0"/>
              <w:autoSpaceDN w:val="0"/>
              <w:adjustRightInd w:val="0"/>
              <w:spacing w:after="0" w:line="240" w:lineRule="auto"/>
              <w:ind w:right="71"/>
              <w:rPr>
                <w:rFonts w:ascii="Times New Roman" w:hAnsi="Times New Roman" w:cs="Times New Roman"/>
                <w:sz w:val="20"/>
                <w:szCs w:val="20"/>
              </w:rPr>
            </w:pPr>
            <w:r>
              <w:rPr>
                <w:rFonts w:ascii="Times New Roman" w:hAnsi="Times New Roman" w:cs="Times New Roman"/>
                <w:sz w:val="20"/>
                <w:szCs w:val="20"/>
              </w:rPr>
              <w:t>Viselettörténeti alapfogalmak. A kezdetleges öltözetek kialakulása.</w:t>
            </w:r>
          </w:p>
          <w:p w:rsidR="004C2997" w:rsidRDefault="004C2997">
            <w:pPr>
              <w:autoSpaceDE w:val="0"/>
              <w:autoSpaceDN w:val="0"/>
              <w:adjustRightInd w:val="0"/>
              <w:spacing w:after="0" w:line="240" w:lineRule="auto"/>
              <w:ind w:right="-597"/>
              <w:rPr>
                <w:rFonts w:ascii="Times New Roman" w:hAnsi="Times New Roman" w:cs="Times New Roman"/>
                <w:sz w:val="20"/>
                <w:szCs w:val="20"/>
              </w:rPr>
            </w:pPr>
            <w:r>
              <w:rPr>
                <w:rFonts w:ascii="Times New Roman" w:hAnsi="Times New Roman" w:cs="Times New Roman"/>
                <w:sz w:val="20"/>
                <w:szCs w:val="20"/>
              </w:rPr>
              <w:t>Viselet- és textiltörténeti alapismeretek.</w:t>
            </w:r>
          </w:p>
        </w:tc>
        <w:tc>
          <w:tcPr>
            <w:tcW w:w="5570" w:type="dxa"/>
            <w:tcBorders>
              <w:top w:val="single" w:sz="12" w:space="0" w:color="auto"/>
              <w:right w:val="single" w:sz="12" w:space="0" w:color="auto"/>
            </w:tcBorders>
          </w:tcPr>
          <w:p w:rsidR="004C2997" w:rsidRDefault="004C2997">
            <w:pPr>
              <w:autoSpaceDE w:val="0"/>
              <w:autoSpaceDN w:val="0"/>
              <w:adjustRightInd w:val="0"/>
              <w:spacing w:after="0" w:line="240" w:lineRule="auto"/>
              <w:ind w:right="-597"/>
              <w:rPr>
                <w:rFonts w:ascii="Times New Roman" w:hAnsi="Times New Roman" w:cs="Times New Roman"/>
                <w:sz w:val="20"/>
                <w:szCs w:val="20"/>
              </w:rPr>
            </w:pPr>
            <w:r>
              <w:rPr>
                <w:rFonts w:ascii="Times New Roman" w:hAnsi="Times New Roman" w:cs="Times New Roman"/>
                <w:sz w:val="20"/>
                <w:szCs w:val="20"/>
              </w:rPr>
              <w:t>A kezdetleges öltözetek kialakulása.</w:t>
            </w:r>
          </w:p>
        </w:tc>
      </w:tr>
      <w:tr w:rsidR="004C2997">
        <w:tblPrEx>
          <w:tblCellMar>
            <w:top w:w="0" w:type="dxa"/>
            <w:left w:w="70" w:type="dxa"/>
            <w:bottom w:w="0" w:type="dxa"/>
            <w:right w:w="70" w:type="dxa"/>
          </w:tblCellMar>
        </w:tblPrEx>
        <w:tc>
          <w:tcPr>
            <w:tcW w:w="3544" w:type="dxa"/>
            <w:tcBorders>
              <w:left w:val="single" w:sz="12" w:space="0" w:color="auto"/>
            </w:tcBorders>
          </w:tcPr>
          <w:p w:rsidR="004C2997" w:rsidRDefault="004C2997">
            <w:pPr>
              <w:autoSpaceDE w:val="0"/>
              <w:autoSpaceDN w:val="0"/>
              <w:adjustRightInd w:val="0"/>
              <w:spacing w:after="0" w:line="240" w:lineRule="auto"/>
              <w:ind w:right="72"/>
              <w:rPr>
                <w:rFonts w:ascii="Times New Roman" w:hAnsi="Times New Roman" w:cs="Times New Roman"/>
                <w:b/>
                <w:bCs/>
                <w:sz w:val="20"/>
                <w:szCs w:val="20"/>
              </w:rPr>
            </w:pPr>
            <w:r>
              <w:rPr>
                <w:rFonts w:ascii="Times New Roman" w:hAnsi="Times New Roman" w:cs="Times New Roman"/>
                <w:b/>
                <w:bCs/>
                <w:sz w:val="20"/>
                <w:szCs w:val="20"/>
              </w:rPr>
              <w:t>2. 2. Az öltözködéstörténet főbb szakaszai</w:t>
            </w:r>
          </w:p>
          <w:p w:rsidR="004C2997" w:rsidRDefault="004C2997">
            <w:pPr>
              <w:autoSpaceDE w:val="0"/>
              <w:autoSpaceDN w:val="0"/>
              <w:adjustRightInd w:val="0"/>
              <w:spacing w:after="0" w:line="240" w:lineRule="auto"/>
              <w:ind w:right="-597"/>
              <w:rPr>
                <w:rFonts w:ascii="Times New Roman" w:hAnsi="Times New Roman" w:cs="Times New Roman"/>
                <w:b/>
                <w:bCs/>
                <w:sz w:val="20"/>
                <w:szCs w:val="20"/>
              </w:rPr>
            </w:pPr>
          </w:p>
        </w:tc>
        <w:tc>
          <w:tcPr>
            <w:tcW w:w="5528" w:type="dxa"/>
          </w:tcPr>
          <w:p w:rsidR="004C2997" w:rsidRDefault="004C2997">
            <w:pPr>
              <w:autoSpaceDE w:val="0"/>
              <w:autoSpaceDN w:val="0"/>
              <w:adjustRightInd w:val="0"/>
              <w:spacing w:after="0" w:line="240" w:lineRule="auto"/>
              <w:ind w:right="-597"/>
              <w:rPr>
                <w:rFonts w:ascii="Times New Roman" w:hAnsi="Times New Roman" w:cs="Times New Roman"/>
                <w:sz w:val="20"/>
                <w:szCs w:val="20"/>
              </w:rPr>
            </w:pPr>
            <w:r>
              <w:rPr>
                <w:rFonts w:ascii="Times New Roman" w:hAnsi="Times New Roman" w:cs="Times New Roman"/>
                <w:sz w:val="20"/>
                <w:szCs w:val="20"/>
              </w:rPr>
              <w:t>Az öltözködéstörténet fejlődésének, korszakának ismertetése.</w:t>
            </w:r>
          </w:p>
          <w:p w:rsidR="004C2997" w:rsidRDefault="004C2997">
            <w:pPr>
              <w:autoSpaceDE w:val="0"/>
              <w:autoSpaceDN w:val="0"/>
              <w:adjustRightInd w:val="0"/>
              <w:spacing w:after="0" w:line="240" w:lineRule="auto"/>
              <w:ind w:right="-597"/>
              <w:rPr>
                <w:rFonts w:ascii="Times New Roman" w:hAnsi="Times New Roman" w:cs="Times New Roman"/>
                <w:sz w:val="20"/>
                <w:szCs w:val="20"/>
              </w:rPr>
            </w:pPr>
          </w:p>
        </w:tc>
        <w:tc>
          <w:tcPr>
            <w:tcW w:w="5570" w:type="dxa"/>
            <w:tcBorders>
              <w:right w:val="single" w:sz="12" w:space="0" w:color="auto"/>
            </w:tcBorders>
          </w:tcPr>
          <w:p w:rsidR="004C2997" w:rsidRDefault="004C2997">
            <w:pPr>
              <w:autoSpaceDE w:val="0"/>
              <w:autoSpaceDN w:val="0"/>
              <w:adjustRightInd w:val="0"/>
              <w:spacing w:after="0" w:line="240" w:lineRule="auto"/>
              <w:ind w:right="-597"/>
              <w:rPr>
                <w:rFonts w:ascii="Times New Roman" w:hAnsi="Times New Roman" w:cs="Times New Roman"/>
                <w:sz w:val="20"/>
                <w:szCs w:val="20"/>
              </w:rPr>
            </w:pPr>
            <w:r>
              <w:rPr>
                <w:rFonts w:ascii="Times New Roman" w:hAnsi="Times New Roman" w:cs="Times New Roman"/>
                <w:sz w:val="20"/>
                <w:szCs w:val="20"/>
              </w:rPr>
              <w:t>Az egyes korok, kultúrák jellegzetes alapanyagainak, mintázatainak, jellemző öltözék-elemeinek ismertetése korabeli képzőművészeti források alapján.</w:t>
            </w:r>
          </w:p>
        </w:tc>
      </w:tr>
      <w:tr w:rsidR="004C2997">
        <w:tblPrEx>
          <w:tblCellMar>
            <w:top w:w="0" w:type="dxa"/>
            <w:left w:w="70" w:type="dxa"/>
            <w:bottom w:w="0" w:type="dxa"/>
            <w:right w:w="70" w:type="dxa"/>
          </w:tblCellMar>
        </w:tblPrEx>
        <w:tc>
          <w:tcPr>
            <w:tcW w:w="3544" w:type="dxa"/>
            <w:tcBorders>
              <w:left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2. 3. Viselettörténeti korszakok bemutatása</w:t>
            </w:r>
          </w:p>
          <w:p w:rsidR="004C2997" w:rsidRDefault="004C2997">
            <w:pPr>
              <w:autoSpaceDE w:val="0"/>
              <w:autoSpaceDN w:val="0"/>
              <w:adjustRightInd w:val="0"/>
              <w:spacing w:after="0" w:line="240" w:lineRule="auto"/>
              <w:rPr>
                <w:rFonts w:ascii="Times New Roman" w:hAnsi="Times New Roman" w:cs="Times New Roman"/>
                <w:b/>
                <w:bCs/>
                <w:sz w:val="20"/>
                <w:szCs w:val="20"/>
              </w:rPr>
            </w:pPr>
          </w:p>
        </w:tc>
        <w:tc>
          <w:tcPr>
            <w:tcW w:w="552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természeti népek, ősi kultúrák öltözeteit, jellegzetességeit (pl. testfestés, szimbólumok).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ókori Egyiptom viselettörténeti emlékeit.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az ókori görög viseleteket, lábbeliket és fejfedőket.</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ókori római viseleteket, lábbeliket és fejfedőket.</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koraközépkori öltözetek.)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román kori jellegzetes viseletek lábbeliket és fejfedőket.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gótikus viseleteket, lábbeliket és fejfedőket.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reneszánsz öltözeteket, lábbeliket és fejfedőket.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Ismertesse a barokk korszak jellegzetes öltözeteit, lábbeliket és </w:t>
            </w:r>
            <w:r>
              <w:rPr>
                <w:rFonts w:ascii="Times New Roman" w:hAnsi="Times New Roman" w:cs="Times New Roman"/>
                <w:sz w:val="20"/>
                <w:szCs w:val="20"/>
              </w:rPr>
              <w:lastRenderedPageBreak/>
              <w:t>fejfedőket.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rokokó jellemző udvari öltözeteit, kiegészítőit.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biedermeier öltözeteit.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klasszicista korszak öltözeteit, cipőit, táskáit, egyéb kiegészítőit.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századforduló jellegzetes öltözeteit, cipőit, táskáit, egyéb kiegészítőit.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1920-30-as évek öltözeteit, kiegészítőit, cipőit és táskáit, nappali, esti és strandviseletek, a film világának hatása.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1940-50-es évek öltözeteit, cipőit, táskáit. A II. világháború hatása a 40-es évek öltözetére. Az 50-es évek újításai, új sziluettjei, cipői, táskái.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Ismertesse az 1960-70-es évek öltözeteit, cipőit, táskáit. Az </w:t>
            </w:r>
            <w:r>
              <w:rPr>
                <w:rFonts w:ascii="Times New Roman" w:hAnsi="Times New Roman" w:cs="Times New Roman"/>
                <w:sz w:val="20"/>
                <w:szCs w:val="20"/>
              </w:rPr>
              <w:br/>
              <w:t>1960-70-es évek hippi öltözetei, az antidivat megjelenése.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Ismertesse az 1980-90-es évek öltözeteit, cipőit, táskáit. Az </w:t>
            </w:r>
            <w:r>
              <w:rPr>
                <w:rFonts w:ascii="Times New Roman" w:hAnsi="Times New Roman" w:cs="Times New Roman"/>
                <w:sz w:val="20"/>
                <w:szCs w:val="20"/>
              </w:rPr>
              <w:br/>
              <w:t>1980-90-es évek új formavilága, haute couture és pret-a-porter kollekciók, táskák, kiegészítők.</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5570" w:type="dxa"/>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kezdetleges öltözetek elkészítése 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jellegzetes alapanyagai.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ókori egyiptomi öltözékek kiegészítőinek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ókori görög alapanyagok, színviláguk, kiegészítőik, valamint az ókori görög katonai öltözetek.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római katonai öltözetek.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ókori római öltözetek jellegzetes kiegészítői, alapanyagai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gótika jellegzetes formavilága, 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textíliák díszítőelemei.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francia, olasz, német textilközpontok.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barokk textilgyártás fő központjai, a textilek mintázata, díszítése.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Klasszicista öltözékek kiegészítői.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századforduló jellegzetes kelméi és mintázatuk.</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1920-30-as évek újításainak hatása 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XX. századi öltözetekre.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1940-as évek öltözetei, táskák, cipők és egyéb kiegészítők.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1950-as évek öltözetei, táskái, cipői. A katonai öltözetek megjelenése a 40-es évek viseletében. Az 50-es évek, II. világháború utáni öltözetei, new look megjelenése, cipők, táskák.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1960-as évek öltözetei, táskák, cipők és egyéb kiegészítők.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1970-as évek öltözetei, táskák, cipők és egyéb kiegészítők.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1980-as évek öltözetei, táskák, cipői és egyéb kiegészítők.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1990-as évek öltözetei, táskák, cipői és egyéb kiegészítők. Nagy divatházak, tervezők kollekciói.</w:t>
            </w:r>
          </w:p>
        </w:tc>
      </w:tr>
    </w:tbl>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ind w:firstLine="284"/>
        <w:rPr>
          <w:rFonts w:ascii="Times New Roman" w:hAnsi="Times New Roman" w:cs="Times New Roman"/>
          <w:b/>
          <w:bCs/>
          <w:sz w:val="20"/>
          <w:szCs w:val="20"/>
        </w:rPr>
      </w:pPr>
      <w:r>
        <w:rPr>
          <w:rFonts w:ascii="Times New Roman" w:hAnsi="Times New Roman" w:cs="Times New Roman"/>
          <w:b/>
          <w:bCs/>
          <w:sz w:val="20"/>
          <w:szCs w:val="20"/>
        </w:rPr>
        <w:t>3. DIVATISMERET</w:t>
      </w: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70"/>
        <w:gridCol w:w="5400"/>
        <w:gridCol w:w="5580"/>
      </w:tblGrid>
      <w:tr w:rsidR="004C2997">
        <w:tblPrEx>
          <w:tblCellMar>
            <w:top w:w="0" w:type="dxa"/>
            <w:bottom w:w="0" w:type="dxa"/>
          </w:tblCellMar>
        </w:tblPrEx>
        <w:trPr>
          <w:cantSplit/>
        </w:trPr>
        <w:tc>
          <w:tcPr>
            <w:tcW w:w="3670" w:type="dxa"/>
            <w:tcBorders>
              <w:left w:val="single" w:sz="12" w:space="0" w:color="auto"/>
              <w:bottom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Témakörök</w:t>
            </w:r>
          </w:p>
        </w:tc>
        <w:tc>
          <w:tcPr>
            <w:tcW w:w="5400" w:type="dxa"/>
            <w:tcBorders>
              <w:bottom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5580" w:type="dxa"/>
            <w:tcBorders>
              <w:bottom w:val="single" w:sz="12" w:space="0" w:color="auto"/>
              <w:right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3670" w:type="dxa"/>
            <w:tcBorders>
              <w:top w:val="single" w:sz="12" w:space="0" w:color="auto"/>
              <w:left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3. 1. A divat fogalma,</w:t>
            </w:r>
          </w:p>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jelentősége a kulturált</w:t>
            </w:r>
          </w:p>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öltözködés kialakulásában</w:t>
            </w:r>
          </w:p>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p>
        </w:tc>
        <w:tc>
          <w:tcPr>
            <w:tcW w:w="5400" w:type="dxa"/>
            <w:tcBorders>
              <w:top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divat fogalmának meghatározása.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divat alapfogalmai.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divat fejlődésének üteme a 19-20.</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században.</w:t>
            </w:r>
          </w:p>
        </w:tc>
        <w:tc>
          <w:tcPr>
            <w:tcW w:w="5580" w:type="dxa"/>
            <w:tcBorders>
              <w:top w:val="single" w:sz="12" w:space="0" w:color="auto"/>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divat és a divatipar kapcsolata, viszonyai.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trend és a piac kapcsolata.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divatszakma információs csatornáinak, forrásainak elemzése,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20. század meghatározó tervezői, divatházai (pl. Chanel, Dior, Givenchy).</w:t>
            </w:r>
          </w:p>
        </w:tc>
      </w:tr>
      <w:tr w:rsidR="004C2997">
        <w:tblPrEx>
          <w:tblCellMar>
            <w:top w:w="0" w:type="dxa"/>
            <w:bottom w:w="0" w:type="dxa"/>
          </w:tblCellMar>
        </w:tblPrEx>
        <w:tc>
          <w:tcPr>
            <w:tcW w:w="3670" w:type="dxa"/>
            <w:tcBorders>
              <w:left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3. 2. A szak- és divatlapok szerepe a divat alakulásában</w:t>
            </w:r>
          </w:p>
          <w:p w:rsidR="004C2997" w:rsidRDefault="004C2997">
            <w:pPr>
              <w:autoSpaceDE w:val="0"/>
              <w:autoSpaceDN w:val="0"/>
              <w:adjustRightInd w:val="0"/>
              <w:spacing w:after="0" w:line="240" w:lineRule="auto"/>
              <w:rPr>
                <w:rFonts w:ascii="Times New Roman" w:hAnsi="Times New Roman" w:cs="Times New Roman"/>
                <w:b/>
                <w:bCs/>
                <w:sz w:val="20"/>
                <w:szCs w:val="20"/>
              </w:rPr>
            </w:pPr>
          </w:p>
        </w:tc>
        <w:tc>
          <w:tcPr>
            <w:tcW w:w="540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szak-, trend- és divatlapok megismertetése, felépítésük, használatuk módja szakemberek számára.</w:t>
            </w:r>
          </w:p>
        </w:tc>
        <w:tc>
          <w:tcPr>
            <w:tcW w:w="5580" w:type="dxa"/>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trendek leolvasása a szak- és divatlapokból - hogyan szűrjük le, mi lesz az adott szezonra vonatkozó alapanyag, szín, mintázat és formatrend?</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szak- és divatlapok szerepe a tervezési folyamatban, a kollekciók megszületésében.</w:t>
            </w:r>
          </w:p>
        </w:tc>
      </w:tr>
      <w:tr w:rsidR="004C2997">
        <w:tblPrEx>
          <w:tblCellMar>
            <w:top w:w="0" w:type="dxa"/>
            <w:bottom w:w="0" w:type="dxa"/>
          </w:tblCellMar>
        </w:tblPrEx>
        <w:tc>
          <w:tcPr>
            <w:tcW w:w="3670" w:type="dxa"/>
            <w:tcBorders>
              <w:left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3. 3. A divattervezés fogalma, a</w:t>
            </w:r>
          </w:p>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divattervezők feladatai</w:t>
            </w:r>
          </w:p>
          <w:p w:rsidR="004C2997" w:rsidRDefault="004C2997">
            <w:pPr>
              <w:autoSpaceDE w:val="0"/>
              <w:autoSpaceDN w:val="0"/>
              <w:adjustRightInd w:val="0"/>
              <w:spacing w:after="0" w:line="240" w:lineRule="auto"/>
              <w:rPr>
                <w:rFonts w:ascii="Times New Roman" w:hAnsi="Times New Roman" w:cs="Times New Roman"/>
                <w:b/>
                <w:bCs/>
                <w:sz w:val="20"/>
                <w:szCs w:val="20"/>
              </w:rPr>
            </w:pPr>
          </w:p>
        </w:tc>
        <w:tc>
          <w:tcPr>
            <w:tcW w:w="540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divattervezés fogalma, feladatkörei.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tervezéshez szükséges szakmai információk beszerzése.</w:t>
            </w:r>
          </w:p>
        </w:tc>
        <w:tc>
          <w:tcPr>
            <w:tcW w:w="5580" w:type="dxa"/>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tervezés folyamata, fázisai.</w:t>
            </w:r>
          </w:p>
          <w:p w:rsidR="004C2997" w:rsidRDefault="004C2997">
            <w:pPr>
              <w:widowControl w:val="0"/>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670" w:type="dxa"/>
            <w:tcBorders>
              <w:left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3. 4. A divattrend fogalma,</w:t>
            </w:r>
          </w:p>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szerepe, jelentősége</w:t>
            </w:r>
          </w:p>
          <w:p w:rsidR="004C2997" w:rsidRDefault="004C2997">
            <w:pPr>
              <w:autoSpaceDE w:val="0"/>
              <w:autoSpaceDN w:val="0"/>
              <w:adjustRightInd w:val="0"/>
              <w:spacing w:after="0" w:line="240" w:lineRule="auto"/>
              <w:rPr>
                <w:rFonts w:ascii="Times New Roman" w:hAnsi="Times New Roman" w:cs="Times New Roman"/>
                <w:b/>
                <w:bCs/>
                <w:sz w:val="20"/>
                <w:szCs w:val="20"/>
              </w:rPr>
            </w:pPr>
          </w:p>
        </w:tc>
        <w:tc>
          <w:tcPr>
            <w:tcW w:w="540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divattrend fogalma.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aktuális trendcsoportok, szempontok bemutatása, ismertetése.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2000-es évek trendvonulatai, Haute-Conture és Pret-A-Porter kollekciók.</w:t>
            </w:r>
          </w:p>
        </w:tc>
        <w:tc>
          <w:tcPr>
            <w:tcW w:w="5580" w:type="dxa"/>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divattrend szerepe, jelentősége a divatiparban.</w:t>
            </w:r>
          </w:p>
          <w:p w:rsidR="004C2997" w:rsidRDefault="004C2997">
            <w:pPr>
              <w:widowControl w:val="0"/>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 KÖNNYŰIPARBAN ALKALMAZOTT ANYAGOK</w:t>
      </w:r>
    </w:p>
    <w:p w:rsidR="004C2997" w:rsidRDefault="004C2997" w:rsidP="004C2997">
      <w:pPr>
        <w:autoSpaceDE w:val="0"/>
        <w:autoSpaceDN w:val="0"/>
        <w:adjustRightInd w:val="0"/>
        <w:spacing w:after="0" w:line="240" w:lineRule="auto"/>
        <w:jc w:val="center"/>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ind w:firstLine="284"/>
        <w:rPr>
          <w:rFonts w:ascii="Times New Roman" w:hAnsi="Times New Roman" w:cs="Times New Roman"/>
          <w:b/>
          <w:bCs/>
          <w:sz w:val="20"/>
          <w:szCs w:val="20"/>
        </w:rPr>
      </w:pPr>
      <w:r>
        <w:rPr>
          <w:rFonts w:ascii="Times New Roman" w:hAnsi="Times New Roman" w:cs="Times New Roman"/>
          <w:b/>
          <w:bCs/>
          <w:sz w:val="20"/>
          <w:szCs w:val="20"/>
        </w:rPr>
        <w:t>1. A KÖNNYŰIPARBAN HASZNÁLT ANYAGOK ÁLTALÁNOS JELLEMZŐI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70"/>
        <w:gridCol w:w="5400"/>
        <w:gridCol w:w="5580"/>
      </w:tblGrid>
      <w:tr w:rsidR="004C2997">
        <w:tblPrEx>
          <w:tblCellMar>
            <w:top w:w="0" w:type="dxa"/>
            <w:bottom w:w="0" w:type="dxa"/>
          </w:tblCellMar>
        </w:tblPrEx>
        <w:trPr>
          <w:cantSplit/>
        </w:trPr>
        <w:tc>
          <w:tcPr>
            <w:tcW w:w="3670" w:type="dxa"/>
            <w:tcBorders>
              <w:left w:val="single" w:sz="12" w:space="0" w:color="auto"/>
              <w:bottom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Témakörök</w:t>
            </w:r>
          </w:p>
        </w:tc>
        <w:tc>
          <w:tcPr>
            <w:tcW w:w="5400" w:type="dxa"/>
            <w:tcBorders>
              <w:bottom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5580" w:type="dxa"/>
            <w:tcBorders>
              <w:bottom w:val="single" w:sz="12" w:space="0" w:color="auto"/>
              <w:right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3670" w:type="dxa"/>
            <w:tcBorders>
              <w:top w:val="single" w:sz="12" w:space="0" w:color="auto"/>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1. 1. A könnyűiparban használt alapanyagokkal kapcsolatos alapfogalmak</w:t>
            </w:r>
          </w:p>
        </w:tc>
        <w:tc>
          <w:tcPr>
            <w:tcW w:w="5400" w:type="dxa"/>
            <w:tcBorders>
              <w:top w:val="single" w:sz="12" w:space="0" w:color="auto"/>
            </w:tcBorders>
          </w:tcPr>
          <w:p w:rsidR="004C2997" w:rsidRDefault="004C2997">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és szakszerűen alkalmazza a szakkifejezéseket</w:t>
            </w:r>
          </w:p>
          <w:p w:rsidR="004C2997" w:rsidRDefault="004C2997">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Rendszerezze a könnyűiparban használt alapanyagok fajtáit.</w:t>
            </w:r>
          </w:p>
          <w:p w:rsidR="004C2997" w:rsidRDefault="004C2997">
            <w:pPr>
              <w:widowControl w:val="0"/>
              <w:autoSpaceDE w:val="0"/>
              <w:autoSpaceDN w:val="0"/>
              <w:adjustRightInd w:val="0"/>
              <w:spacing w:after="0" w:line="240" w:lineRule="auto"/>
              <w:rPr>
                <w:rFonts w:ascii="Times New Roman" w:hAnsi="Times New Roman" w:cs="Times New Roman"/>
                <w:sz w:val="20"/>
                <w:szCs w:val="20"/>
              </w:rPr>
            </w:pPr>
          </w:p>
          <w:p w:rsidR="004C2997" w:rsidRDefault="004C2997">
            <w:pPr>
              <w:widowControl w:val="0"/>
              <w:autoSpaceDE w:val="0"/>
              <w:autoSpaceDN w:val="0"/>
              <w:adjustRightInd w:val="0"/>
              <w:spacing w:after="0" w:line="240" w:lineRule="auto"/>
              <w:rPr>
                <w:rFonts w:ascii="Times New Roman" w:hAnsi="Times New Roman" w:cs="Times New Roman"/>
                <w:sz w:val="20"/>
                <w:szCs w:val="20"/>
              </w:rPr>
            </w:pPr>
          </w:p>
          <w:p w:rsidR="004C2997" w:rsidRDefault="004C2997">
            <w:pPr>
              <w:widowControl w:val="0"/>
              <w:autoSpaceDE w:val="0"/>
              <w:autoSpaceDN w:val="0"/>
              <w:adjustRightInd w:val="0"/>
              <w:spacing w:after="0" w:line="240" w:lineRule="auto"/>
              <w:rPr>
                <w:rFonts w:ascii="Times New Roman" w:hAnsi="Times New Roman" w:cs="Times New Roman"/>
                <w:sz w:val="20"/>
                <w:szCs w:val="20"/>
              </w:rPr>
            </w:pPr>
          </w:p>
        </w:tc>
        <w:tc>
          <w:tcPr>
            <w:tcW w:w="5580" w:type="dxa"/>
            <w:tcBorders>
              <w:top w:val="single" w:sz="12" w:space="0" w:color="auto"/>
              <w:right w:val="single" w:sz="12" w:space="0" w:color="auto"/>
            </w:tcBorders>
          </w:tcPr>
          <w:p w:rsidR="004C2997" w:rsidRDefault="004C2997">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és rendszerezze a könnyűiparban alkalmazott anyagok eredetét, szerkezeti jellemzőit, alkalmazási területeit.</w:t>
            </w:r>
          </w:p>
          <w:p w:rsidR="004C2997" w:rsidRDefault="004C2997">
            <w:pPr>
              <w:widowControl w:val="0"/>
              <w:autoSpaceDE w:val="0"/>
              <w:autoSpaceDN w:val="0"/>
              <w:adjustRightInd w:val="0"/>
              <w:spacing w:after="0" w:line="240" w:lineRule="auto"/>
              <w:rPr>
                <w:rFonts w:ascii="Times New Roman" w:hAnsi="Times New Roman" w:cs="Times New Roman"/>
                <w:sz w:val="20"/>
                <w:szCs w:val="20"/>
              </w:rPr>
            </w:pPr>
          </w:p>
          <w:p w:rsidR="004C2997" w:rsidRDefault="004C2997">
            <w:pPr>
              <w:widowControl w:val="0"/>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670" w:type="dxa"/>
            <w:tcBorders>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1. 2. Az alapanyagok kémiai felépítése</w:t>
            </w:r>
          </w:p>
        </w:tc>
        <w:tc>
          <w:tcPr>
            <w:tcW w:w="5400" w:type="dxa"/>
          </w:tcPr>
          <w:p w:rsidR="004C2997" w:rsidRDefault="004C2997">
            <w:pPr>
              <w:widowControl w:val="0"/>
              <w:autoSpaceDE w:val="0"/>
              <w:autoSpaceDN w:val="0"/>
              <w:adjustRightInd w:val="0"/>
              <w:spacing w:after="0" w:line="240" w:lineRule="auto"/>
              <w:rPr>
                <w:rFonts w:ascii="Times New Roman" w:hAnsi="Times New Roman" w:cs="Times New Roman"/>
                <w:sz w:val="20"/>
                <w:szCs w:val="20"/>
              </w:rPr>
            </w:pPr>
          </w:p>
        </w:tc>
        <w:tc>
          <w:tcPr>
            <w:tcW w:w="5580" w:type="dxa"/>
            <w:tcBorders>
              <w:right w:val="single" w:sz="12" w:space="0" w:color="auto"/>
            </w:tcBorders>
          </w:tcPr>
          <w:p w:rsidR="004C2997" w:rsidRDefault="004C2997">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Képes legyen a nyersanyagok eredetének meghatározása. Rendelkezzen az anyagok kémiai szerkezetének jellemzőire vonatkozó ismeretekkel. Ismerje a szerkezeti jellemzők hatását a tulajdonságokra, a feldolgozhatóságra.</w:t>
            </w:r>
          </w:p>
          <w:p w:rsidR="004C2997" w:rsidRDefault="004C2997">
            <w:pPr>
              <w:widowControl w:val="0"/>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84"/>
        <w:rPr>
          <w:rFonts w:ascii="Times New Roman" w:hAnsi="Times New Roman" w:cs="Times New Roman"/>
          <w:b/>
          <w:bCs/>
          <w:sz w:val="20"/>
          <w:szCs w:val="20"/>
        </w:rPr>
      </w:pPr>
      <w:r>
        <w:rPr>
          <w:rFonts w:ascii="Times New Roman" w:hAnsi="Times New Roman" w:cs="Times New Roman"/>
          <w:b/>
          <w:bCs/>
          <w:sz w:val="20"/>
          <w:szCs w:val="20"/>
        </w:rPr>
        <w:t>2. A KÖNNYŰIPARBAN HASZNÁLATOS NYERSANYAGOK CSOPORTOSÍTÁSA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74"/>
        <w:gridCol w:w="4743"/>
        <w:gridCol w:w="5930"/>
      </w:tblGrid>
      <w:tr w:rsidR="004C2997">
        <w:tblPrEx>
          <w:tblCellMar>
            <w:top w:w="0" w:type="dxa"/>
            <w:bottom w:w="0" w:type="dxa"/>
          </w:tblCellMar>
        </w:tblPrEx>
        <w:trPr>
          <w:cantSplit/>
          <w:trHeight w:val="407"/>
        </w:trPr>
        <w:tc>
          <w:tcPr>
            <w:tcW w:w="3974" w:type="dxa"/>
            <w:tcBorders>
              <w:left w:val="single" w:sz="12" w:space="0" w:color="auto"/>
              <w:bottom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Témakörök</w:t>
            </w:r>
          </w:p>
        </w:tc>
        <w:tc>
          <w:tcPr>
            <w:tcW w:w="4743" w:type="dxa"/>
            <w:tcBorders>
              <w:bottom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5930" w:type="dxa"/>
            <w:tcBorders>
              <w:right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rPr>
          <w:cantSplit/>
          <w:trHeight w:val="1270"/>
        </w:trPr>
        <w:tc>
          <w:tcPr>
            <w:tcW w:w="3974" w:type="dxa"/>
            <w:tcBorders>
              <w:top w:val="single" w:sz="12" w:space="0" w:color="auto"/>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2. 1. Az alapanyagok fizikai jellemzői</w:t>
            </w:r>
          </w:p>
        </w:tc>
        <w:tc>
          <w:tcPr>
            <w:tcW w:w="4743" w:type="dxa"/>
            <w:tcBorders>
              <w:top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Rendelkezzen alapanyagok fizikai jellemzőinek meghatározására, mértékegységeire, értelmezésére, szakszerű használatára vonatkozó ismeretekkel.</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5930" w:type="dxa"/>
            <w:tcBorders>
              <w:right w:val="single" w:sz="12" w:space="0" w:color="auto"/>
            </w:tcBorders>
          </w:tcPr>
          <w:p w:rsidR="004C2997" w:rsidRDefault="004C2997">
            <w:pPr>
              <w:autoSpaceDE w:val="0"/>
              <w:autoSpaceDN w:val="0"/>
              <w:adjustRightInd w:val="0"/>
              <w:spacing w:after="0" w:line="240" w:lineRule="auto"/>
              <w:ind w:right="-152"/>
              <w:rPr>
                <w:rFonts w:ascii="Times New Roman" w:hAnsi="Times New Roman" w:cs="Times New Roman"/>
                <w:sz w:val="20"/>
                <w:szCs w:val="20"/>
              </w:rPr>
            </w:pPr>
            <w:r>
              <w:rPr>
                <w:rFonts w:ascii="Times New Roman" w:hAnsi="Times New Roman" w:cs="Times New Roman"/>
                <w:sz w:val="20"/>
                <w:szCs w:val="20"/>
              </w:rPr>
              <w:t xml:space="preserve">Ismerje fel és alkalmazza az alapanyagok fizikai </w:t>
            </w:r>
          </w:p>
          <w:p w:rsidR="004C2997" w:rsidRDefault="004C2997">
            <w:pPr>
              <w:autoSpaceDE w:val="0"/>
              <w:autoSpaceDN w:val="0"/>
              <w:adjustRightInd w:val="0"/>
              <w:spacing w:after="0" w:line="240" w:lineRule="auto"/>
              <w:ind w:right="120"/>
              <w:rPr>
                <w:rFonts w:ascii="Times New Roman" w:hAnsi="Times New Roman" w:cs="Times New Roman"/>
                <w:sz w:val="20"/>
                <w:szCs w:val="20"/>
              </w:rPr>
            </w:pPr>
            <w:r>
              <w:rPr>
                <w:rFonts w:ascii="Times New Roman" w:hAnsi="Times New Roman" w:cs="Times New Roman"/>
                <w:sz w:val="20"/>
                <w:szCs w:val="20"/>
              </w:rPr>
              <w:t>jellemzőinek összefüggéseit az alapanyagok feldolgozása, felhasználása során.</w:t>
            </w:r>
          </w:p>
          <w:p w:rsidR="004C2997" w:rsidRDefault="004C2997">
            <w:pPr>
              <w:autoSpaceDE w:val="0"/>
              <w:autoSpaceDN w:val="0"/>
              <w:adjustRightInd w:val="0"/>
              <w:spacing w:after="0" w:line="240" w:lineRule="auto"/>
              <w:ind w:right="-152"/>
              <w:rPr>
                <w:rFonts w:ascii="Times New Roman" w:hAnsi="Times New Roman" w:cs="Times New Roman"/>
                <w:sz w:val="20"/>
                <w:szCs w:val="20"/>
              </w:rPr>
            </w:pPr>
            <w:r>
              <w:rPr>
                <w:rFonts w:ascii="Times New Roman" w:hAnsi="Times New Roman" w:cs="Times New Roman"/>
                <w:sz w:val="20"/>
                <w:szCs w:val="20"/>
              </w:rPr>
              <w:t>Képes legyen vizsgálni az alapanyagok szerkezeti jellemzőit,</w:t>
            </w:r>
          </w:p>
          <w:p w:rsidR="004C2997" w:rsidRDefault="004C2997">
            <w:pPr>
              <w:autoSpaceDE w:val="0"/>
              <w:autoSpaceDN w:val="0"/>
              <w:adjustRightInd w:val="0"/>
              <w:spacing w:after="0" w:line="240" w:lineRule="auto"/>
              <w:ind w:right="-152"/>
              <w:rPr>
                <w:rFonts w:ascii="Times New Roman" w:hAnsi="Times New Roman" w:cs="Times New Roman"/>
                <w:sz w:val="20"/>
                <w:szCs w:val="20"/>
              </w:rPr>
            </w:pPr>
            <w:r>
              <w:rPr>
                <w:rFonts w:ascii="Times New Roman" w:hAnsi="Times New Roman" w:cs="Times New Roman"/>
                <w:sz w:val="20"/>
                <w:szCs w:val="20"/>
              </w:rPr>
              <w:t>és hatásukat az anyagok tulajdonságaira.</w:t>
            </w:r>
          </w:p>
          <w:p w:rsidR="004C2997" w:rsidRDefault="004C2997">
            <w:pPr>
              <w:autoSpaceDE w:val="0"/>
              <w:autoSpaceDN w:val="0"/>
              <w:adjustRightInd w:val="0"/>
              <w:spacing w:after="0" w:line="240" w:lineRule="auto"/>
              <w:ind w:right="25"/>
              <w:rPr>
                <w:rFonts w:ascii="Times New Roman" w:hAnsi="Times New Roman" w:cs="Times New Roman"/>
                <w:sz w:val="20"/>
                <w:szCs w:val="20"/>
              </w:rPr>
            </w:pPr>
          </w:p>
        </w:tc>
      </w:tr>
      <w:tr w:rsidR="004C2997">
        <w:tblPrEx>
          <w:tblCellMar>
            <w:top w:w="0" w:type="dxa"/>
            <w:bottom w:w="0" w:type="dxa"/>
          </w:tblCellMar>
        </w:tblPrEx>
        <w:trPr>
          <w:cantSplit/>
        </w:trPr>
        <w:tc>
          <w:tcPr>
            <w:tcW w:w="3974" w:type="dxa"/>
            <w:tcBorders>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2. 2. Az alapanyagok mechanikai tulajdonságai, alakíthatósága</w:t>
            </w:r>
          </w:p>
        </w:tc>
        <w:tc>
          <w:tcPr>
            <w:tcW w:w="47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Rendelkezzen az alapanyagokra gyakorolt mechanikai hatásokra: húzásra, hajlításra, nyomásra, koptatásra vonatkozó ismeretekkel.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alapanyagok alakíthatósági feltételeit.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5930" w:type="dxa"/>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Képes legyen szakszerűen értelmezni az alapanyagok alakváltozásait, tudjon következtetni az alakíthatóság feltételeire.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Pr>
        <w:tc>
          <w:tcPr>
            <w:tcW w:w="3974" w:type="dxa"/>
            <w:tcBorders>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lastRenderedPageBreak/>
              <w:t>2. 3. Az alapanyagok kémiai tulajdonságai</w:t>
            </w:r>
          </w:p>
        </w:tc>
        <w:tc>
          <w:tcPr>
            <w:tcW w:w="47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alapanyagok kémiai felépítését, és rendszerezze az alapanyagokat a kémiai felépítésük alapján.</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5930" w:type="dxa"/>
            <w:tcBorders>
              <w:right w:val="single" w:sz="12" w:space="0" w:color="auto"/>
            </w:tcBorders>
          </w:tcPr>
          <w:p w:rsidR="004C2997" w:rsidRDefault="004C2997">
            <w:pPr>
              <w:autoSpaceDE w:val="0"/>
              <w:autoSpaceDN w:val="0"/>
              <w:adjustRightInd w:val="0"/>
              <w:spacing w:after="0" w:line="240" w:lineRule="auto"/>
              <w:ind w:right="150" w:firstLine="390"/>
              <w:jc w:val="both"/>
              <w:rPr>
                <w:rFonts w:ascii="Times New Roman" w:hAnsi="Times New Roman" w:cs="Times New Roman"/>
                <w:sz w:val="20"/>
                <w:szCs w:val="20"/>
              </w:rPr>
            </w:pPr>
            <w:r>
              <w:rPr>
                <w:rFonts w:ascii="Times New Roman" w:hAnsi="Times New Roman" w:cs="Times New Roman"/>
                <w:sz w:val="20"/>
                <w:szCs w:val="20"/>
              </w:rPr>
              <w:t xml:space="preserve">Ismerje a kémiai hatásokat, és tudjon következtetni </w:t>
            </w:r>
          </w:p>
          <w:p w:rsidR="004C2997" w:rsidRDefault="004C2997">
            <w:pPr>
              <w:autoSpaceDE w:val="0"/>
              <w:autoSpaceDN w:val="0"/>
              <w:adjustRightInd w:val="0"/>
              <w:spacing w:after="0" w:line="240" w:lineRule="auto"/>
              <w:ind w:right="150" w:firstLine="390"/>
              <w:jc w:val="both"/>
              <w:rPr>
                <w:rFonts w:ascii="Times New Roman" w:hAnsi="Times New Roman" w:cs="Times New Roman"/>
                <w:sz w:val="20"/>
                <w:szCs w:val="20"/>
              </w:rPr>
            </w:pPr>
            <w:r>
              <w:rPr>
                <w:rFonts w:ascii="Times New Roman" w:hAnsi="Times New Roman" w:cs="Times New Roman"/>
                <w:sz w:val="20"/>
                <w:szCs w:val="20"/>
              </w:rPr>
              <w:t>az alapanyagok vegyszerekkel, fénnyel és hőhatással szembeni érzékenységére, a vegyszerek hatására.</w:t>
            </w:r>
          </w:p>
          <w:p w:rsidR="004C2997" w:rsidRDefault="004C2997">
            <w:pPr>
              <w:autoSpaceDE w:val="0"/>
              <w:autoSpaceDN w:val="0"/>
              <w:adjustRightInd w:val="0"/>
              <w:spacing w:after="0" w:line="240" w:lineRule="auto"/>
              <w:ind w:right="150" w:firstLine="390"/>
              <w:jc w:val="both"/>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ind w:firstLine="284"/>
        <w:rPr>
          <w:rFonts w:ascii="Times New Roman" w:hAnsi="Times New Roman" w:cs="Times New Roman"/>
          <w:b/>
          <w:bCs/>
          <w:sz w:val="20"/>
          <w:szCs w:val="20"/>
        </w:rPr>
      </w:pPr>
      <w:r>
        <w:rPr>
          <w:rFonts w:ascii="Times New Roman" w:hAnsi="Times New Roman" w:cs="Times New Roman"/>
          <w:b/>
          <w:bCs/>
          <w:sz w:val="20"/>
          <w:szCs w:val="20"/>
        </w:rPr>
        <w:t>3. A KÖNNYŰIPARBAN HASZNÁLATOS NYERSANYAGOK</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70"/>
        <w:gridCol w:w="5417"/>
        <w:gridCol w:w="5563"/>
      </w:tblGrid>
      <w:tr w:rsidR="004C2997">
        <w:tblPrEx>
          <w:tblCellMar>
            <w:top w:w="0" w:type="dxa"/>
            <w:bottom w:w="0" w:type="dxa"/>
          </w:tblCellMar>
        </w:tblPrEx>
        <w:trPr>
          <w:cantSplit/>
          <w:trHeight w:val="274"/>
        </w:trPr>
        <w:tc>
          <w:tcPr>
            <w:tcW w:w="3670" w:type="dxa"/>
            <w:tcBorders>
              <w:left w:val="single" w:sz="12" w:space="0" w:color="auto"/>
              <w:bottom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Témakörök</w:t>
            </w:r>
          </w:p>
        </w:tc>
        <w:tc>
          <w:tcPr>
            <w:tcW w:w="5417" w:type="dxa"/>
            <w:tcBorders>
              <w:bottom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5563" w:type="dxa"/>
            <w:tcBorders>
              <w:bottom w:val="single" w:sz="12" w:space="0" w:color="auto"/>
              <w:right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3670" w:type="dxa"/>
            <w:tcBorders>
              <w:top w:val="single" w:sz="12" w:space="0" w:color="auto"/>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3. 1. A textilipari szálas anyagok csoportosítása</w:t>
            </w:r>
          </w:p>
        </w:tc>
        <w:tc>
          <w:tcPr>
            <w:tcW w:w="5417" w:type="dxa"/>
            <w:tcBorders>
              <w:top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szálas anyag, elemi szál, rost, filament, kábel fogalmát.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csoportosítani textilipariban használt nyersanyagokat eredetük szerint.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Képes legyen a természetes eredetű és a vegyi szálak fajtáinak, jellemzőinek megnevezése, a szálas anyagok szakszerű besorolása.</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5563" w:type="dxa"/>
            <w:tcBorders>
              <w:top w:val="single" w:sz="12" w:space="0" w:color="auto"/>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670" w:type="dxa"/>
            <w:tcBorders>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3. 2. A textilipari szálas anyagok fajtái, tulajdonságai, feldolgozása</w:t>
            </w:r>
          </w:p>
        </w:tc>
        <w:tc>
          <w:tcPr>
            <w:tcW w:w="541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textilipari szálas anyagok fajtáit.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Méretek: hosszúság, vastagság.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Tömeg, térfogat és lineáris sűrűség.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szálas anyagok fizikai, kémiai tulajdonságait, és a szálas anyagok jellemzőinek hatását a feldolgozhatóságra, a viselési tulajdonságokra.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5563" w:type="dxa"/>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Rendelkezzen a természetes szálak (pamut, len, gyapjú, hernyóselyem) elsődleges megmunkálására vonatkozó ismeretekkel.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vegyi szálak gyártási elvét.</w:t>
            </w:r>
          </w:p>
        </w:tc>
      </w:tr>
      <w:tr w:rsidR="004C2997">
        <w:tblPrEx>
          <w:tblCellMar>
            <w:top w:w="0" w:type="dxa"/>
            <w:bottom w:w="0" w:type="dxa"/>
          </w:tblCellMar>
        </w:tblPrEx>
        <w:tc>
          <w:tcPr>
            <w:tcW w:w="3670" w:type="dxa"/>
            <w:tcBorders>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3. 3. A bőripari nyersanyagok, a nyersbőr felépítése, a legismertebb bőrfajták tulajdonságai, felhasználása</w:t>
            </w:r>
          </w:p>
        </w:tc>
        <w:tc>
          <w:tcPr>
            <w:tcW w:w="541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bőripari nyersanyagok fajtáinak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nyersbőr szerkezeti felépítése.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bőr kémiai felépítése.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nyersbőr területi felosztása, topográfiája.</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5563" w:type="dxa"/>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nyersbőr minőségét befolyásoló tényezők ismerete, hatásuk a minőségre.</w:t>
            </w:r>
          </w:p>
        </w:tc>
      </w:tr>
      <w:tr w:rsidR="004C2997">
        <w:tblPrEx>
          <w:tblCellMar>
            <w:top w:w="0" w:type="dxa"/>
            <w:bottom w:w="0" w:type="dxa"/>
          </w:tblCellMar>
        </w:tblPrEx>
        <w:tc>
          <w:tcPr>
            <w:tcW w:w="3670" w:type="dxa"/>
            <w:tcBorders>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3. 4. A szőrmeipar nyersanyagai, a prémes állatok fajtái, a szőrme topográfiája</w:t>
            </w:r>
          </w:p>
        </w:tc>
        <w:tc>
          <w:tcPr>
            <w:tcW w:w="541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szőrmeiparban használt nyersanyagok fajtáinak ismerete.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prémes állatok fajtái.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szőrme-konfekcionálásban felhasznált prémfajták feldolgozás szerinti csoportosítása.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szőrmésbőr topográfiája.</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5563" w:type="dxa"/>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szőrmék minőségét befolyásoló tényezők ismerete, rendszerezése, hatásuk a minőségre.</w:t>
            </w:r>
          </w:p>
        </w:tc>
      </w:tr>
    </w:tbl>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tabs>
          <w:tab w:val="left" w:pos="180"/>
        </w:tabs>
        <w:autoSpaceDE w:val="0"/>
        <w:autoSpaceDN w:val="0"/>
        <w:adjustRightInd w:val="0"/>
        <w:spacing w:after="0" w:line="240" w:lineRule="auto"/>
        <w:ind w:left="180" w:firstLine="284"/>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 xml:space="preserve"> A KÖNNYŰIPARBAN HASZNÁLATOS RAGASZTÓK, ÉS KELLÉKANYAGOK</w:t>
      </w:r>
    </w:p>
    <w:p w:rsidR="004C2997" w:rsidRDefault="004C2997" w:rsidP="004C2997">
      <w:pPr>
        <w:autoSpaceDE w:val="0"/>
        <w:autoSpaceDN w:val="0"/>
        <w:adjustRightInd w:val="0"/>
        <w:spacing w:after="0" w:line="240" w:lineRule="auto"/>
        <w:ind w:left="360"/>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70"/>
        <w:gridCol w:w="5400"/>
        <w:gridCol w:w="5580"/>
      </w:tblGrid>
      <w:tr w:rsidR="004C2997">
        <w:tblPrEx>
          <w:tblCellMar>
            <w:top w:w="0" w:type="dxa"/>
            <w:bottom w:w="0" w:type="dxa"/>
          </w:tblCellMar>
        </w:tblPrEx>
        <w:trPr>
          <w:cantSplit/>
        </w:trPr>
        <w:tc>
          <w:tcPr>
            <w:tcW w:w="3670" w:type="dxa"/>
            <w:tcBorders>
              <w:left w:val="single" w:sz="12" w:space="0" w:color="auto"/>
              <w:bottom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Témakörök</w:t>
            </w:r>
          </w:p>
        </w:tc>
        <w:tc>
          <w:tcPr>
            <w:tcW w:w="5400" w:type="dxa"/>
            <w:tcBorders>
              <w:bottom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5580" w:type="dxa"/>
            <w:tcBorders>
              <w:bottom w:val="single" w:sz="12" w:space="0" w:color="auto"/>
              <w:right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3670" w:type="dxa"/>
            <w:tcBorders>
              <w:top w:val="single" w:sz="12" w:space="0" w:color="auto"/>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 xml:space="preserve">4. 1. A könnyűiparban használatos </w:t>
            </w:r>
            <w:r>
              <w:rPr>
                <w:rFonts w:ascii="Times New Roman" w:hAnsi="Times New Roman" w:cs="Times New Roman"/>
                <w:b/>
                <w:bCs/>
                <w:sz w:val="20"/>
                <w:szCs w:val="20"/>
              </w:rPr>
              <w:lastRenderedPageBreak/>
              <w:t>ragasztók fajtái</w:t>
            </w:r>
          </w:p>
        </w:tc>
        <w:tc>
          <w:tcPr>
            <w:tcW w:w="5400" w:type="dxa"/>
            <w:tcBorders>
              <w:top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Ismerje a könnyűiparban alkalmazható ragasztók fajtáit, a </w:t>
            </w:r>
            <w:r>
              <w:rPr>
                <w:rFonts w:ascii="Times New Roman" w:hAnsi="Times New Roman" w:cs="Times New Roman"/>
                <w:sz w:val="20"/>
                <w:szCs w:val="20"/>
              </w:rPr>
              <w:lastRenderedPageBreak/>
              <w:t>ragasztók jellemző tulajdonságait, alkalmazási területeit.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és tudja alkalmazni a ragasztási kötések kialakításának feltételeit.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5580" w:type="dxa"/>
            <w:tcBorders>
              <w:top w:val="single" w:sz="12" w:space="0" w:color="auto"/>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Képes legyen a ragasztási körülmények hatásainak értelmezésére. </w:t>
            </w:r>
            <w:r>
              <w:rPr>
                <w:rFonts w:ascii="Times New Roman" w:hAnsi="Times New Roman" w:cs="Times New Roman"/>
                <w:sz w:val="20"/>
                <w:szCs w:val="20"/>
              </w:rPr>
              <w:lastRenderedPageBreak/>
              <w:t>Ismerje a ragasztási kötés szilárdságát, befolyásoló tényezőit.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670" w:type="dxa"/>
            <w:tcBorders>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lastRenderedPageBreak/>
              <w:t>4. 2. A könnyűiparban használatos kellékanyagok fajtái</w:t>
            </w:r>
          </w:p>
        </w:tc>
        <w:tc>
          <w:tcPr>
            <w:tcW w:w="540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könnyűiparban alkalmazható kellékanyagok fajtái, legfontosabb jellemzői.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megfelelő kellékanyagok kiválasztásának értelmezése.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kellékanyagok alkalmazási területeinek meghatározása.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kellékek jellemzőinek hatása a késztermékek tulajdonságaira.</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5580" w:type="dxa"/>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Rendszerezze a kellékek fajtáit, az alkalmazásuk feltételeit.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szakszerűen kiválasztani a megfelelő kellékeket.</w:t>
            </w:r>
          </w:p>
        </w:tc>
      </w:tr>
    </w:tbl>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ind w:firstLine="284"/>
        <w:rPr>
          <w:rFonts w:ascii="Times New Roman" w:hAnsi="Times New Roman" w:cs="Times New Roman"/>
          <w:b/>
          <w:bCs/>
          <w:sz w:val="20"/>
          <w:szCs w:val="20"/>
        </w:rPr>
      </w:pPr>
      <w:r>
        <w:rPr>
          <w:rFonts w:ascii="Times New Roman" w:hAnsi="Times New Roman" w:cs="Times New Roman"/>
          <w:b/>
          <w:bCs/>
          <w:sz w:val="20"/>
          <w:szCs w:val="20"/>
        </w:rPr>
        <w:t>5. FONÁS, CÉRNÁZÁS</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70"/>
        <w:gridCol w:w="5417"/>
        <w:gridCol w:w="5563"/>
      </w:tblGrid>
      <w:tr w:rsidR="004C2997">
        <w:tblPrEx>
          <w:tblCellMar>
            <w:top w:w="0" w:type="dxa"/>
            <w:bottom w:w="0" w:type="dxa"/>
          </w:tblCellMar>
        </w:tblPrEx>
        <w:trPr>
          <w:cantSplit/>
        </w:trPr>
        <w:tc>
          <w:tcPr>
            <w:tcW w:w="3670" w:type="dxa"/>
            <w:tcBorders>
              <w:left w:val="single" w:sz="12" w:space="0" w:color="auto"/>
              <w:bottom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Témakörök</w:t>
            </w:r>
          </w:p>
        </w:tc>
        <w:tc>
          <w:tcPr>
            <w:tcW w:w="5417" w:type="dxa"/>
            <w:tcBorders>
              <w:bottom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5563" w:type="dxa"/>
            <w:tcBorders>
              <w:bottom w:val="single" w:sz="12" w:space="0" w:color="auto"/>
              <w:right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3670" w:type="dxa"/>
            <w:tcBorders>
              <w:top w:val="single" w:sz="12" w:space="0" w:color="auto"/>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5. 1. A fonás fogalma, a fonalak legfontosabb jellemzői</w:t>
            </w:r>
          </w:p>
        </w:tc>
        <w:tc>
          <w:tcPr>
            <w:tcW w:w="5417" w:type="dxa"/>
            <w:tcBorders>
              <w:top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fonás fogalmát, a fonal készítés elvét.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Képes legyen értelmezni a fonalak jellemzőinek hatását a belőlük készült textiltermékek tulajdonságaira.</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5563" w:type="dxa"/>
            <w:tcBorders>
              <w:top w:val="single" w:sz="12" w:space="0" w:color="auto"/>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fonalak jelölését.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Értelmezze a számozási rendszereket. </w:t>
            </w:r>
          </w:p>
        </w:tc>
      </w:tr>
      <w:tr w:rsidR="004C2997">
        <w:tblPrEx>
          <w:tblCellMar>
            <w:top w:w="0" w:type="dxa"/>
            <w:bottom w:w="0" w:type="dxa"/>
          </w:tblCellMar>
        </w:tblPrEx>
        <w:tc>
          <w:tcPr>
            <w:tcW w:w="3670" w:type="dxa"/>
            <w:tcBorders>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5. 2. Fonalfajták</w:t>
            </w:r>
          </w:p>
        </w:tc>
        <w:tc>
          <w:tcPr>
            <w:tcW w:w="5417"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5563" w:type="dxa"/>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kártolt-, nyújtott-, fésűs fonási eljárással, turbinás fonással készült fonalak fajtáit.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Rendelkezzen ismeretekkel a korszerű fonalakról.</w:t>
            </w:r>
          </w:p>
        </w:tc>
      </w:tr>
      <w:tr w:rsidR="004C2997">
        <w:tblPrEx>
          <w:tblCellMar>
            <w:top w:w="0" w:type="dxa"/>
            <w:bottom w:w="0" w:type="dxa"/>
          </w:tblCellMar>
        </w:tblPrEx>
        <w:tc>
          <w:tcPr>
            <w:tcW w:w="3670" w:type="dxa"/>
            <w:tcBorders>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5. 3. A cérnázás fogalma</w:t>
            </w:r>
          </w:p>
        </w:tc>
        <w:tc>
          <w:tcPr>
            <w:tcW w:w="541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cérnázás fogalmát, a cérnakészítés elvét, a cérnák jellemzőit.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5563" w:type="dxa"/>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670" w:type="dxa"/>
            <w:tcBorders>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5. 4. Cérnafajták</w:t>
            </w:r>
          </w:p>
        </w:tc>
        <w:tc>
          <w:tcPr>
            <w:tcW w:w="5417"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varrócérnák alapanyagait, fajtáit, jellemzőit, alkalmazási területeit.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5563" w:type="dxa"/>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Rendszerezze a cérnák fajtáit szerkezet és felhasználás szerint. Rendelkezzen ismeretekkel a korszerű cérnafajtákról.</w:t>
            </w:r>
          </w:p>
        </w:tc>
      </w:tr>
    </w:tbl>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ind w:firstLine="284"/>
        <w:rPr>
          <w:rFonts w:ascii="Times New Roman" w:hAnsi="Times New Roman" w:cs="Times New Roman"/>
          <w:b/>
          <w:bCs/>
          <w:sz w:val="20"/>
          <w:szCs w:val="20"/>
        </w:rPr>
      </w:pPr>
      <w:r>
        <w:rPr>
          <w:rFonts w:ascii="Times New Roman" w:hAnsi="Times New Roman" w:cs="Times New Roman"/>
          <w:b/>
          <w:bCs/>
          <w:sz w:val="20"/>
          <w:szCs w:val="20"/>
        </w:rPr>
        <w:t>6. A SZÖVÉS</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70"/>
        <w:gridCol w:w="5400"/>
        <w:gridCol w:w="5580"/>
      </w:tblGrid>
      <w:tr w:rsidR="004C2997">
        <w:tblPrEx>
          <w:tblCellMar>
            <w:top w:w="0" w:type="dxa"/>
            <w:bottom w:w="0" w:type="dxa"/>
          </w:tblCellMar>
        </w:tblPrEx>
        <w:trPr>
          <w:cantSplit/>
        </w:trPr>
        <w:tc>
          <w:tcPr>
            <w:tcW w:w="3670" w:type="dxa"/>
            <w:tcBorders>
              <w:left w:val="single" w:sz="12" w:space="0" w:color="auto"/>
              <w:bottom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Témakörök</w:t>
            </w:r>
          </w:p>
        </w:tc>
        <w:tc>
          <w:tcPr>
            <w:tcW w:w="5400" w:type="dxa"/>
            <w:tcBorders>
              <w:bottom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5580" w:type="dxa"/>
            <w:tcBorders>
              <w:bottom w:val="single" w:sz="12" w:space="0" w:color="auto"/>
              <w:right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3670" w:type="dxa"/>
            <w:tcBorders>
              <w:top w:val="single" w:sz="12" w:space="0" w:color="auto"/>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6. 1. A szövés alapfogalmai, a szövés menete, technológiája</w:t>
            </w:r>
          </w:p>
        </w:tc>
        <w:tc>
          <w:tcPr>
            <w:tcW w:w="5400" w:type="dxa"/>
            <w:tcBorders>
              <w:top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szövéssel kapcsolatos alapfogalmakat, szakkifejezéseket.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Rendelkezzen ismeretekkel a láncfonalak és vetülékfonalak előkészítéséről a szövéshez.</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Képes legyen bemutatni a szövetkészítés elvét.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szövés menetét, tudja egyszerűsített ábra alapján bemutatni.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Ismerje a korszerű szövetfajták jellemzőit.</w:t>
            </w:r>
          </w:p>
        </w:tc>
        <w:tc>
          <w:tcPr>
            <w:tcW w:w="5580" w:type="dxa"/>
            <w:tcBorders>
              <w:top w:val="single" w:sz="12" w:space="0" w:color="auto"/>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Rendelkezzen ismeretekkel szövőgépek működésére vonatkozóan.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4C2997">
        <w:tblPrEx>
          <w:tblCellMar>
            <w:top w:w="0" w:type="dxa"/>
            <w:bottom w:w="0" w:type="dxa"/>
          </w:tblCellMar>
        </w:tblPrEx>
        <w:tc>
          <w:tcPr>
            <w:tcW w:w="3670" w:type="dxa"/>
            <w:tcBorders>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lastRenderedPageBreak/>
              <w:t>6. 2. A szövet szerkezete</w:t>
            </w:r>
          </w:p>
        </w:tc>
        <w:tc>
          <w:tcPr>
            <w:tcW w:w="540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Tudja rendszerezni az alapkötések fajtáit, jellemzőit.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Ábrázolja a szövetek szerkezetét.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szövetek szerkezetének hatását a feldolgozhatóságra, a belőle készült termék tulajdonságaira.</w:t>
            </w:r>
          </w:p>
        </w:tc>
        <w:tc>
          <w:tcPr>
            <w:tcW w:w="5580" w:type="dxa"/>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ind w:firstLine="284"/>
        <w:rPr>
          <w:rFonts w:ascii="Times New Roman" w:hAnsi="Times New Roman" w:cs="Times New Roman"/>
          <w:b/>
          <w:bCs/>
          <w:sz w:val="20"/>
          <w:szCs w:val="20"/>
        </w:rPr>
      </w:pPr>
      <w:r>
        <w:rPr>
          <w:rFonts w:ascii="Times New Roman" w:hAnsi="Times New Roman" w:cs="Times New Roman"/>
          <w:b/>
          <w:bCs/>
          <w:sz w:val="20"/>
          <w:szCs w:val="20"/>
        </w:rPr>
        <w:t>7. A KÖTÉS</w:t>
      </w: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70"/>
        <w:gridCol w:w="5400"/>
        <w:gridCol w:w="5580"/>
      </w:tblGrid>
      <w:tr w:rsidR="004C2997">
        <w:tblPrEx>
          <w:tblCellMar>
            <w:top w:w="0" w:type="dxa"/>
            <w:bottom w:w="0" w:type="dxa"/>
          </w:tblCellMar>
        </w:tblPrEx>
        <w:trPr>
          <w:cantSplit/>
        </w:trPr>
        <w:tc>
          <w:tcPr>
            <w:tcW w:w="3670" w:type="dxa"/>
            <w:tcBorders>
              <w:left w:val="single" w:sz="12" w:space="0" w:color="auto"/>
              <w:bottom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Témakörök</w:t>
            </w:r>
          </w:p>
        </w:tc>
        <w:tc>
          <w:tcPr>
            <w:tcW w:w="5400" w:type="dxa"/>
            <w:tcBorders>
              <w:bottom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5580" w:type="dxa"/>
            <w:tcBorders>
              <w:bottom w:val="single" w:sz="12" w:space="0" w:color="auto"/>
              <w:right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3670" w:type="dxa"/>
            <w:tcBorders>
              <w:top w:val="single" w:sz="12" w:space="0" w:color="auto"/>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 xml:space="preserve">7.1. A kötés és a hurkolás alapfogalmai </w:t>
            </w:r>
          </w:p>
        </w:tc>
        <w:tc>
          <w:tcPr>
            <w:tcW w:w="5400" w:type="dxa"/>
            <w:tcBorders>
              <w:top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kötött kelme fogalmát, a szem részeit, a szemkapcsolatok fajtáit.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kötött és a hurkolt kelmék jellemzőit, felhasználási területeit.</w:t>
            </w:r>
          </w:p>
        </w:tc>
        <w:tc>
          <w:tcPr>
            <w:tcW w:w="5580" w:type="dxa"/>
            <w:tcBorders>
              <w:top w:val="single" w:sz="12" w:space="0" w:color="auto"/>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fel a kötött kelmék szerkezetét, ábrázolja egyszerűsített ábra segítségével.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Rendelkezzen ismeretekkel láncrendszerű és a vetülékrendszerű kötések felismerésére vonatkozóan.</w:t>
            </w: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84"/>
        <w:rPr>
          <w:rFonts w:ascii="Times New Roman" w:hAnsi="Times New Roman" w:cs="Times New Roman"/>
          <w:b/>
          <w:bCs/>
          <w:sz w:val="20"/>
          <w:szCs w:val="20"/>
        </w:rPr>
      </w:pPr>
      <w:r>
        <w:rPr>
          <w:rFonts w:ascii="Times New Roman" w:hAnsi="Times New Roman" w:cs="Times New Roman"/>
          <w:b/>
          <w:bCs/>
          <w:sz w:val="20"/>
          <w:szCs w:val="20"/>
        </w:rPr>
        <w:t>8. NEMSZŐTT-KELME GYÁRTÁSA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70"/>
        <w:gridCol w:w="5400"/>
        <w:gridCol w:w="5580"/>
      </w:tblGrid>
      <w:tr w:rsidR="004C2997">
        <w:tblPrEx>
          <w:tblCellMar>
            <w:top w:w="0" w:type="dxa"/>
            <w:bottom w:w="0" w:type="dxa"/>
          </w:tblCellMar>
        </w:tblPrEx>
        <w:trPr>
          <w:cantSplit/>
        </w:trPr>
        <w:tc>
          <w:tcPr>
            <w:tcW w:w="3670" w:type="dxa"/>
            <w:tcBorders>
              <w:left w:val="single" w:sz="12" w:space="0" w:color="auto"/>
              <w:bottom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Témakörök</w:t>
            </w:r>
          </w:p>
        </w:tc>
        <w:tc>
          <w:tcPr>
            <w:tcW w:w="5400" w:type="dxa"/>
            <w:tcBorders>
              <w:bottom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5580" w:type="dxa"/>
            <w:tcBorders>
              <w:bottom w:val="single" w:sz="12" w:space="0" w:color="auto"/>
              <w:right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3670" w:type="dxa"/>
            <w:tcBorders>
              <w:top w:val="single" w:sz="12" w:space="0" w:color="auto"/>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8. 1 A nemszőtt-kelmékkel kapcsolatos alapfogalmak, fajtáik, jellemzőik, felhasználási területeik</w:t>
            </w:r>
          </w:p>
        </w:tc>
        <w:tc>
          <w:tcPr>
            <w:tcW w:w="5400" w:type="dxa"/>
            <w:tcBorders>
              <w:top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nemszőtt-kelmékkel kapcsolatos alapfogalmakat, a nemszőtt-kelmék fajtáit: filceket, rétegelt textíliákat, fátyollapokat, varrva-hurkolt textíliákat.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a  nemszőtt-kelmék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nemszőtt-kelmék könnyűipari alkalmazási területeit.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5580" w:type="dxa"/>
            <w:tcBorders>
              <w:top w:val="single" w:sz="12" w:space="0" w:color="auto"/>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 fátyolkelmék és a varrva-hurkolt kelmék gyártási elvét.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Rendelkezzen ismeretekkel a korszerű nemszőtt kelmékről.</w:t>
            </w:r>
          </w:p>
        </w:tc>
      </w:tr>
      <w:tr w:rsidR="004C2997">
        <w:tblPrEx>
          <w:tblCellMar>
            <w:top w:w="0" w:type="dxa"/>
            <w:bottom w:w="0" w:type="dxa"/>
          </w:tblCellMar>
        </w:tblPrEx>
        <w:tc>
          <w:tcPr>
            <w:tcW w:w="3670" w:type="dxa"/>
            <w:tcBorders>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8. 2. A varrva-hurkolt kelmék fajtái, jellemzői</w:t>
            </w:r>
          </w:p>
        </w:tc>
        <w:tc>
          <w:tcPr>
            <w:tcW w:w="540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fel a varrva-hurkolt kelmék fajtáinak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előállítási módszereit,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Képes legyen a könnyűipari alkalmazási területek meghatározására.</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5580" w:type="dxa"/>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670" w:type="dxa"/>
            <w:tcBorders>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8.3. A fátyolkelmék fajtái, jellemzői</w:t>
            </w:r>
          </w:p>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p>
        </w:tc>
        <w:tc>
          <w:tcPr>
            <w:tcW w:w="540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fátyolkelmék fajtáit, jellemzőit, a könnyűipari alkalmazási lehetőségeit, területeit.</w:t>
            </w:r>
          </w:p>
        </w:tc>
        <w:tc>
          <w:tcPr>
            <w:tcW w:w="5580" w:type="dxa"/>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84"/>
        <w:rPr>
          <w:rFonts w:ascii="Times New Roman" w:hAnsi="Times New Roman" w:cs="Times New Roman"/>
          <w:b/>
          <w:bCs/>
          <w:sz w:val="20"/>
          <w:szCs w:val="20"/>
        </w:rPr>
      </w:pPr>
      <w:r>
        <w:rPr>
          <w:rFonts w:ascii="Times New Roman" w:hAnsi="Times New Roman" w:cs="Times New Roman"/>
          <w:b/>
          <w:bCs/>
          <w:sz w:val="20"/>
          <w:szCs w:val="20"/>
        </w:rPr>
        <w:t>9. BŐRGYÁRTÁS, SZŐRMEGYÁRTÁS</w:t>
      </w: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70"/>
        <w:gridCol w:w="5400"/>
        <w:gridCol w:w="5580"/>
      </w:tblGrid>
      <w:tr w:rsidR="004C2997">
        <w:tblPrEx>
          <w:tblCellMar>
            <w:top w:w="0" w:type="dxa"/>
            <w:bottom w:w="0" w:type="dxa"/>
          </w:tblCellMar>
        </w:tblPrEx>
        <w:trPr>
          <w:cantSplit/>
        </w:trPr>
        <w:tc>
          <w:tcPr>
            <w:tcW w:w="3670" w:type="dxa"/>
            <w:tcBorders>
              <w:left w:val="single" w:sz="12" w:space="0" w:color="auto"/>
              <w:bottom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Témakörök</w:t>
            </w:r>
          </w:p>
        </w:tc>
        <w:tc>
          <w:tcPr>
            <w:tcW w:w="5400" w:type="dxa"/>
            <w:tcBorders>
              <w:bottom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5580" w:type="dxa"/>
            <w:tcBorders>
              <w:bottom w:val="single" w:sz="12" w:space="0" w:color="auto"/>
              <w:right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3670" w:type="dxa"/>
            <w:tcBorders>
              <w:top w:val="single" w:sz="12" w:space="0" w:color="auto"/>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9. 1. A bőrgyártás folyamata</w:t>
            </w:r>
          </w:p>
        </w:tc>
        <w:tc>
          <w:tcPr>
            <w:tcW w:w="5400" w:type="dxa"/>
            <w:tcBorders>
              <w:top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bőrgyártás technológiai folyamata: előkészítő műveletek, cserzés, kikészítés.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műbőrök előállítási technológiái.</w:t>
            </w:r>
          </w:p>
        </w:tc>
        <w:tc>
          <w:tcPr>
            <w:tcW w:w="5580" w:type="dxa"/>
            <w:tcBorders>
              <w:top w:val="single" w:sz="12" w:space="0" w:color="auto"/>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műbőrök felhasználási területek szerinti csoportosítása.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műbőrök alkalmazási lehetőségei a könnyűiparban.</w:t>
            </w:r>
          </w:p>
        </w:tc>
      </w:tr>
      <w:tr w:rsidR="004C2997">
        <w:tblPrEx>
          <w:tblCellMar>
            <w:top w:w="0" w:type="dxa"/>
            <w:bottom w:w="0" w:type="dxa"/>
          </w:tblCellMar>
        </w:tblPrEx>
        <w:tc>
          <w:tcPr>
            <w:tcW w:w="3670" w:type="dxa"/>
            <w:tcBorders>
              <w:left w:val="single" w:sz="12" w:space="0" w:color="auto"/>
            </w:tcBorders>
          </w:tcPr>
          <w:p w:rsidR="004C2997" w:rsidRDefault="004C2997">
            <w:pPr>
              <w:autoSpaceDE w:val="0"/>
              <w:autoSpaceDN w:val="0"/>
              <w:adjustRightInd w:val="0"/>
              <w:spacing w:after="0" w:line="240" w:lineRule="auto"/>
              <w:ind w:left="340" w:hanging="340"/>
              <w:rPr>
                <w:rFonts w:ascii="Times New Roman" w:hAnsi="Times New Roman" w:cs="Times New Roman"/>
                <w:b/>
                <w:bCs/>
                <w:sz w:val="20"/>
                <w:szCs w:val="20"/>
              </w:rPr>
            </w:pPr>
            <w:r>
              <w:rPr>
                <w:rFonts w:ascii="Times New Roman" w:hAnsi="Times New Roman" w:cs="Times New Roman"/>
                <w:b/>
                <w:bCs/>
                <w:sz w:val="20"/>
                <w:szCs w:val="20"/>
              </w:rPr>
              <w:t>9. 2. Szőrmegyártás</w:t>
            </w:r>
          </w:p>
        </w:tc>
        <w:tc>
          <w:tcPr>
            <w:tcW w:w="540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szőrmekészítés folyamatának ismerete.</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5580" w:type="dxa"/>
            <w:tcBorders>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84"/>
        <w:rPr>
          <w:rFonts w:ascii="Times New Roman" w:hAnsi="Times New Roman" w:cs="Times New Roman"/>
          <w:b/>
          <w:bCs/>
          <w:sz w:val="20"/>
          <w:szCs w:val="20"/>
        </w:rPr>
      </w:pPr>
      <w:r>
        <w:rPr>
          <w:rFonts w:ascii="Times New Roman" w:hAnsi="Times New Roman" w:cs="Times New Roman"/>
          <w:b/>
          <w:bCs/>
          <w:sz w:val="20"/>
          <w:szCs w:val="20"/>
        </w:rPr>
        <w:t>10. MŰBŐRGYÁRTÁS</w:t>
      </w: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70"/>
        <w:gridCol w:w="5400"/>
        <w:gridCol w:w="5580"/>
      </w:tblGrid>
      <w:tr w:rsidR="004C2997">
        <w:tblPrEx>
          <w:tblCellMar>
            <w:top w:w="0" w:type="dxa"/>
            <w:bottom w:w="0" w:type="dxa"/>
          </w:tblCellMar>
        </w:tblPrEx>
        <w:trPr>
          <w:cantSplit/>
        </w:trPr>
        <w:tc>
          <w:tcPr>
            <w:tcW w:w="3670" w:type="dxa"/>
            <w:tcBorders>
              <w:left w:val="single" w:sz="12" w:space="0" w:color="auto"/>
              <w:bottom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Témakörök</w:t>
            </w:r>
          </w:p>
        </w:tc>
        <w:tc>
          <w:tcPr>
            <w:tcW w:w="5400" w:type="dxa"/>
            <w:tcBorders>
              <w:bottom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5580" w:type="dxa"/>
            <w:tcBorders>
              <w:bottom w:val="single" w:sz="12" w:space="0" w:color="auto"/>
              <w:right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3670" w:type="dxa"/>
            <w:tcBorders>
              <w:top w:val="single" w:sz="12" w:space="0" w:color="auto"/>
              <w:left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10. 1. Műbőrök fajtái, alapanyagai, műbőrgyártási technológiák</w:t>
            </w:r>
          </w:p>
        </w:tc>
        <w:tc>
          <w:tcPr>
            <w:tcW w:w="5400" w:type="dxa"/>
            <w:tcBorders>
              <w:top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műbőrök fajtáinak szerkezet és alapanyag szerinti csoportosítása.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műbőrök előállítási technológiái.</w:t>
            </w:r>
          </w:p>
        </w:tc>
        <w:tc>
          <w:tcPr>
            <w:tcW w:w="5580" w:type="dxa"/>
            <w:tcBorders>
              <w:top w:val="single" w:sz="12" w:space="0" w:color="auto"/>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műbőrök felhasználási területek szerinti csoportosítása.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műbőrök alkalmazási lehetőségei a könnyűiparban.</w:t>
            </w:r>
          </w:p>
        </w:tc>
      </w:tr>
    </w:tbl>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ind w:firstLine="284"/>
        <w:rPr>
          <w:rFonts w:ascii="Times New Roman" w:hAnsi="Times New Roman" w:cs="Times New Roman"/>
          <w:b/>
          <w:bCs/>
          <w:sz w:val="20"/>
          <w:szCs w:val="20"/>
        </w:rPr>
      </w:pPr>
      <w:r>
        <w:rPr>
          <w:rFonts w:ascii="Times New Roman" w:hAnsi="Times New Roman" w:cs="Times New Roman"/>
          <w:b/>
          <w:bCs/>
          <w:sz w:val="20"/>
          <w:szCs w:val="20"/>
        </w:rPr>
        <w:t>11. CIPŐIPARI TALPANYAGOK</w:t>
      </w: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70"/>
        <w:gridCol w:w="5400"/>
        <w:gridCol w:w="5580"/>
      </w:tblGrid>
      <w:tr w:rsidR="004C2997">
        <w:tblPrEx>
          <w:tblCellMar>
            <w:top w:w="0" w:type="dxa"/>
            <w:bottom w:w="0" w:type="dxa"/>
          </w:tblCellMar>
        </w:tblPrEx>
        <w:trPr>
          <w:cantSplit/>
        </w:trPr>
        <w:tc>
          <w:tcPr>
            <w:tcW w:w="3670" w:type="dxa"/>
            <w:tcBorders>
              <w:left w:val="single" w:sz="12" w:space="0" w:color="auto"/>
              <w:bottom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Témakörök</w:t>
            </w:r>
          </w:p>
        </w:tc>
        <w:tc>
          <w:tcPr>
            <w:tcW w:w="5400" w:type="dxa"/>
            <w:tcBorders>
              <w:bottom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5580" w:type="dxa"/>
            <w:tcBorders>
              <w:bottom w:val="single" w:sz="12" w:space="0" w:color="auto"/>
              <w:right w:val="single" w:sz="12"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3670" w:type="dxa"/>
            <w:tcBorders>
              <w:top w:val="single" w:sz="12" w:space="0" w:color="auto"/>
              <w:left w:val="single" w:sz="12" w:space="0" w:color="auto"/>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11. 1. Cipőipari talp anyagai és jellemzői</w:t>
            </w:r>
          </w:p>
        </w:tc>
        <w:tc>
          <w:tcPr>
            <w:tcW w:w="5400" w:type="dxa"/>
            <w:tcBorders>
              <w:top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Cipőipari talp fajtái, alapanyagai, jellemzői.</w:t>
            </w:r>
          </w:p>
        </w:tc>
        <w:tc>
          <w:tcPr>
            <w:tcW w:w="5580" w:type="dxa"/>
            <w:tcBorders>
              <w:top w:val="single" w:sz="12" w:space="0" w:color="auto"/>
              <w:right w:val="single" w:sz="12"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talpalapanyag előállítási technológiái.</w:t>
            </w: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sectPr w:rsidR="004C2997">
          <w:pgSz w:w="16834" w:h="11909" w:orient="landscape"/>
          <w:pgMar w:top="1418" w:right="1701" w:bottom="1418" w:left="1134" w:header="708" w:footer="708" w:gutter="0"/>
          <w:cols w:space="708"/>
          <w:noEndnote/>
        </w:sect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FAIPARI ALAPISMERETEK </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Középszinten: írásbeli és szóbeli.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faipari alapismeretek érettségi vizsga célja: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Annak megállapítása, hogy a vizsgázó rendelkezik-e azokkal a kompetenciákkal, amelyek tananyagtartalmainak megtanítását a faipari szakmákat oktató szakközépiskolák, a szakmai alapozó ismeretek oktatása során pedagógiai programjaikban célul tűztek ki.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középszintű vizsga célja annak megállapítása, hogy a vizsgázó</w:t>
      </w:r>
    </w:p>
    <w:p w:rsidR="004C2997" w:rsidRDefault="004C2997" w:rsidP="004C2997">
      <w:pPr>
        <w:tabs>
          <w:tab w:val="left" w:pos="709"/>
          <w:tab w:val="left" w:pos="1134"/>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Magyarország faalapanyag helyzetét, az iparban használt fontosabb fafajtákat, alapanyag választékokat, a fatörzs fejlődési rendellenességeit, a faanyag helytelen kezeléséből eredő hibákat, a faanyagot károsító gombákat, rovarokat,</w:t>
      </w:r>
    </w:p>
    <w:p w:rsidR="004C2997" w:rsidRDefault="004C2997" w:rsidP="004C2997">
      <w:pPr>
        <w:tabs>
          <w:tab w:val="left" w:pos="709"/>
          <w:tab w:val="left" w:pos="1134"/>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bútoripari szerelvényeket,</w:t>
      </w:r>
    </w:p>
    <w:p w:rsidR="004C2997" w:rsidRDefault="004C2997" w:rsidP="004C2997">
      <w:pPr>
        <w:tabs>
          <w:tab w:val="left" w:pos="709"/>
          <w:tab w:val="left" w:pos="1134"/>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faiparban alkalmazott ragasztóanyagokat,</w:t>
      </w:r>
    </w:p>
    <w:p w:rsidR="004C2997" w:rsidRDefault="004C2997" w:rsidP="004C2997">
      <w:pPr>
        <w:tabs>
          <w:tab w:val="left" w:pos="709"/>
          <w:tab w:val="left" w:pos="1134"/>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 e a fűrészáru természetes és mesterséges szárításának fogalmát, jelentőségét, célját, a máglyázás módjait, eszközeit, technológiáit, a máglyanyilvántartás fogalmát, célját,</w:t>
      </w:r>
    </w:p>
    <w:p w:rsidR="004C2997" w:rsidRDefault="004C2997" w:rsidP="004C2997">
      <w:pPr>
        <w:tabs>
          <w:tab w:val="left" w:pos="709"/>
          <w:tab w:val="left" w:pos="1134"/>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tájékozott-e azt illetően, hogy a faanyag nedvességtartalmának változása milyen következményekkel jár,</w:t>
      </w:r>
    </w:p>
    <w:p w:rsidR="004C2997" w:rsidRDefault="004C2997" w:rsidP="004C2997">
      <w:pPr>
        <w:tabs>
          <w:tab w:val="left" w:pos="709"/>
          <w:tab w:val="left" w:pos="1134"/>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ismeretei alkalmasak-e arra, hogy szakrajzot készítsen a fakötésekről,</w:t>
      </w:r>
    </w:p>
    <w:p w:rsidR="004C2997" w:rsidRDefault="004C2997" w:rsidP="004C2997">
      <w:pPr>
        <w:tabs>
          <w:tab w:val="left" w:pos="709"/>
          <w:tab w:val="left" w:pos="1134"/>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kellő műszaki szemlélettel ahhoz, hogy egyszerű bútorok jellegrajza és műleírása alapján azok szerkezeti csomóponti rajzait megszerkessze,</w:t>
      </w:r>
    </w:p>
    <w:p w:rsidR="004C2997" w:rsidRDefault="004C2997" w:rsidP="004C2997">
      <w:pPr>
        <w:tabs>
          <w:tab w:val="left" w:pos="709"/>
          <w:tab w:val="left" w:pos="1134"/>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kellő műszaki szemlélettel ahhoz, hogy egyszerű bútorok gyártmány (rajzi) illetve gyártás (technológiai) dokumentációját elkészítse,</w:t>
      </w:r>
    </w:p>
    <w:p w:rsidR="004C2997" w:rsidRDefault="004C2997" w:rsidP="004C2997">
      <w:pPr>
        <w:tabs>
          <w:tab w:val="left" w:pos="709"/>
          <w:tab w:val="left" w:pos="1134"/>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definiálni a famegmunkálás fogalmát, a forgácsolás jellemzőit,</w:t>
      </w:r>
    </w:p>
    <w:p w:rsidR="004C2997" w:rsidRDefault="004C2997" w:rsidP="004C2997">
      <w:pPr>
        <w:tabs>
          <w:tab w:val="left" w:pos="709"/>
          <w:tab w:val="left" w:pos="1134"/>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megérteni a forgácsolás jellemzői és a forgácsolt felület finomsága közti összefüggéseket, és a témakörköz tartozó alapvető számítási feladatokat elvégezni,</w:t>
      </w:r>
    </w:p>
    <w:p w:rsidR="004C2997" w:rsidRDefault="004C2997" w:rsidP="004C2997">
      <w:pPr>
        <w:tabs>
          <w:tab w:val="left" w:pos="709"/>
          <w:tab w:val="left" w:pos="1134"/>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famegmunkáló kézi szerszámokat illetve gépeket,</w:t>
      </w:r>
    </w:p>
    <w:p w:rsidR="004C2997" w:rsidRDefault="004C2997" w:rsidP="004C2997">
      <w:pPr>
        <w:tabs>
          <w:tab w:val="left" w:pos="709"/>
          <w:tab w:val="left" w:pos="1134"/>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balesetmentes munkavégzés feltételeit.</w:t>
      </w:r>
    </w:p>
    <w:p w:rsidR="004C2997" w:rsidRDefault="004C2997" w:rsidP="004C2997">
      <w:pPr>
        <w:autoSpaceDE w:val="0"/>
        <w:autoSpaceDN w:val="0"/>
        <w:adjustRightInd w:val="0"/>
        <w:spacing w:after="0" w:line="240" w:lineRule="auto"/>
        <w:ind w:left="426"/>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emeltszintű vizsga célja annak megállapítása, hogy a vizsgázó az előbbiekben felsoroltakon túl</w:t>
      </w:r>
    </w:p>
    <w:p w:rsidR="004C2997" w:rsidRDefault="004C2997" w:rsidP="004C2997">
      <w:pPr>
        <w:tabs>
          <w:tab w:val="left" w:pos="709"/>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faipari szakrajz ábrázolási rendszereit, rajzfajtáit,</w:t>
      </w:r>
    </w:p>
    <w:p w:rsidR="004C2997" w:rsidRDefault="004C2997" w:rsidP="004C2997">
      <w:pPr>
        <w:tabs>
          <w:tab w:val="left" w:pos="709"/>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értelmezni az anatómiai felépítés és a faanyag tulajdonságai közötti összefüggéseket,</w:t>
      </w:r>
    </w:p>
    <w:p w:rsidR="004C2997" w:rsidRDefault="004C2997" w:rsidP="004C2997">
      <w:pPr>
        <w:tabs>
          <w:tab w:val="left" w:pos="709"/>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 tudja-e magyarázni az egyes anatómiai irányokban bekövetkező alakváltozások eltérésének okait, a fa kémiai összetétele és a farontó gombák károsításának módja közti összefüggéseket,</w:t>
      </w:r>
    </w:p>
    <w:p w:rsidR="004C2997" w:rsidRDefault="004C2997" w:rsidP="004C2997">
      <w:pPr>
        <w:tabs>
          <w:tab w:val="left" w:pos="709"/>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 tudja–e indokolni a legfontosabb hazai fafajok legjellemzőbb felhasználási területeinek okait,</w:t>
      </w:r>
    </w:p>
    <w:p w:rsidR="004C2997" w:rsidRDefault="004C2997" w:rsidP="004C2997">
      <w:pPr>
        <w:tabs>
          <w:tab w:val="left" w:pos="709"/>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meg tudja-e szerkeszteni a fakötések axonometrikus ábráit, </w:t>
      </w:r>
    </w:p>
    <w:p w:rsidR="004C2997" w:rsidRDefault="004C2997" w:rsidP="004C2997">
      <w:pPr>
        <w:tabs>
          <w:tab w:val="left" w:pos="709"/>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fő méretek, rövid műszaki leírás és látványterv alapján jellegrajzot és előírt számú csomóponti rajzot készíteni egyszerű bútorokról,</w:t>
      </w:r>
    </w:p>
    <w:p w:rsidR="004C2997" w:rsidRDefault="004C2997" w:rsidP="004C2997">
      <w:pPr>
        <w:tabs>
          <w:tab w:val="left" w:pos="709"/>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kellő műszaki szemlélettel ahhoz, hogy egyszerű bútorok gyártmány (rajzi) illetve gyártás (technológiai) dokumentációját, valamint árkalkulációját elkészítse,</w:t>
      </w:r>
    </w:p>
    <w:p w:rsidR="004C2997" w:rsidRDefault="004C2997" w:rsidP="004C2997">
      <w:pPr>
        <w:tabs>
          <w:tab w:val="left" w:pos="709"/>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kiszámítani a faiparban előforduló fő forgácsoló megmunkálások optimális műszaki paramétereit,</w:t>
      </w:r>
    </w:p>
    <w:p w:rsidR="004C2997" w:rsidRDefault="004C2997" w:rsidP="004C2997">
      <w:pPr>
        <w:tabs>
          <w:tab w:val="left" w:pos="709"/>
        </w:tabs>
        <w:autoSpaceDE w:val="0"/>
        <w:autoSpaceDN w:val="0"/>
        <w:adjustRightInd w:val="0"/>
        <w:spacing w:after="0" w:line="240" w:lineRule="auto"/>
        <w:ind w:left="709" w:hanging="283"/>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faipari hulladékkezelés szabályait.</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számonkérés célja tehát a vizsgázók műszaki szemléletének, szintetizáló képességének, kreativitásának, szakmaspecifikus ábrázolási ismereteinek, logikus gondolkodásának, célirányos műszaki feladatmegoldó képességének vizsgálata.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közép- és emelt szintű vizsga követelményeiben az ismeretjellegű tudáselemek tartalmukban - az ismeretek mennyiségét illetően - nem térnek el jelentősen, de a készségek képességek alkalmazásának szintje nem azonos. Az emelt szintű vizsgán az ismeretek önállóbb alkalmazása, az összefüggések elemezése, értékelése, a problémamegoldó gondolkodás, az alkotó képességek alkalmazása kap hangsúlyt.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47"/>
        <w:gridCol w:w="4163"/>
        <w:gridCol w:w="3068"/>
      </w:tblGrid>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p>
        </w:tc>
        <w:tc>
          <w:tcPr>
            <w:tcW w:w="4163" w:type="dxa"/>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3068" w:type="dxa"/>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1. A fa, mint ipari nyersanyag, a nyersanyagok között elfoglalt helye, jövője </w:t>
            </w:r>
          </w:p>
        </w:tc>
        <w:tc>
          <w:tcPr>
            <w:tcW w:w="416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Magyarország faalapanyag helyzetét. Ismertesse a faanyaghelyzet javítási lehetőségeit (nyersanyagkészlet gazdaságos felhasználása, fa és faalapú melléktermékek, illetve </w:t>
            </w:r>
            <w:r>
              <w:rPr>
                <w:rFonts w:ascii="Times New Roman" w:hAnsi="Times New Roman" w:cs="Times New Roman"/>
                <w:sz w:val="20"/>
                <w:szCs w:val="20"/>
              </w:rPr>
              <w:lastRenderedPageBreak/>
              <w:t xml:space="preserve">hulladékhasznosítás). </w:t>
            </w: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 xml:space="preserve">2. Az élő fa </w:t>
            </w:r>
          </w:p>
        </w:tc>
        <w:tc>
          <w:tcPr>
            <w:tcW w:w="416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Ismertesse a fát, mint növényt. Ismertesse a növények rendszerezését, a nyitva- és zárvatermők közötti különbségeket.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növényi sejt felépítését, alkotórészeit, szöveteket, szövetrendszereket. (A faanyag különféle sejtjeinek megnevezését: edény, áledény, parenchima, stb.)</w:t>
            </w:r>
          </w:p>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Ismertesse a sejtfal szerepét, jelentőségét a faanyagban.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Ismertesse a fa kémiai összetételét! </w:t>
            </w: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3. A fa makroszkópiája </w:t>
            </w:r>
          </w:p>
        </w:tc>
        <w:tc>
          <w:tcPr>
            <w:tcW w:w="416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iparban használatos fafajok makroszkopikus jellemzőit. (A bél, geszt, álgeszt, szíjács, kambium, háncs, kéreg fogalmát, definiálja, a legfontosabb ipari fafajok egyes metszetein (bütü, húr és sugármetszet), látható rajzolatot, és a látvány magyarázatát adja meg az adott fafajra jellemző szerkezeti felépítés alapján.)</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Értelmezze az anatómiai felépítés és a faanyag tulajdonságai közötti összefüggéseket. </w:t>
            </w: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4. A faanyag nedvességtartalma</w:t>
            </w:r>
          </w:p>
          <w:p w:rsidR="004C2997" w:rsidRDefault="004C2997">
            <w:pPr>
              <w:autoSpaceDE w:val="0"/>
              <w:autoSpaceDN w:val="0"/>
              <w:adjustRightInd w:val="0"/>
              <w:spacing w:after="0" w:line="240" w:lineRule="auto"/>
              <w:rPr>
                <w:rFonts w:ascii="Times New Roman" w:hAnsi="Times New Roman" w:cs="Times New Roman"/>
                <w:b/>
                <w:bCs/>
                <w:sz w:val="20"/>
                <w:szCs w:val="20"/>
              </w:rPr>
            </w:pPr>
          </w:p>
        </w:tc>
        <w:tc>
          <w:tcPr>
            <w:tcW w:w="416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fa nedvességtartalmának előfordulási formáit és megoszlását a fatesten belül. Sorolja fel a nedvességtartalmi fokokat, és a nedvességtartalom mérésének különféle módjait.</w:t>
            </w:r>
          </w:p>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 xml:space="preserve">Ismertesse a faanyag nedvességtartalmának változása következtében a faanyagban fellépő méret- és alakváltozásokat (zsugorodás, dagadás).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kiszámítani a nedvességtartalom változása okán várható méretváltozás mértékét.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Magyarázza meg a különböző anatómiai irányokban bekövetkező alak és méretváltozások eltérő mértékének okait.</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5. Az iparban használt legfontosabb fafajok </w:t>
            </w:r>
          </w:p>
        </w:tc>
        <w:tc>
          <w:tcPr>
            <w:tcW w:w="416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Ismertesse a magyar iparban használt tűlevelű és lombos fák legfontosabb tulajdonságait, a faiparban használt fontosabb egzota (trópusi) fafajokat. </w:t>
            </w: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Mutassa be, indokolja az egyes fafajok legfontosabb, legjellemzőbb felhasználási területeit. </w:t>
            </w: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6. A fa hibái és betegségei </w:t>
            </w:r>
          </w:p>
        </w:tc>
        <w:tc>
          <w:tcPr>
            <w:tcW w:w="416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Sorolja fel a fatörzs alaki, fejlődési rendellenességeit és kezelési (helytelen technológia, helytelen szállítás, tárolás okozta) hibáit.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rovarok, gombák, baktériumok által okozott meghibásodásokat és a lehetséges védekezési módokat.</w:t>
            </w: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Magyarázza el a fa kémiai összetétele és az egyes farontó gombák károsításának módja közti összefüggéseket.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Elemezze a növényi és rovarkárok következményeit </w:t>
            </w: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7. A fából készült fontosabb ipari választékok </w:t>
            </w:r>
          </w:p>
        </w:tc>
        <w:tc>
          <w:tcPr>
            <w:tcW w:w="416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fűrészipari termékek, furnérok (hámozott, hasított) rétegelt lemezek, bútor-, forgácslapok és farostlemezek fogalmát, tulajdonságaikat, felhasználási területeiket.</w:t>
            </w: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8. Bútoripari szerelvények</w:t>
            </w:r>
          </w:p>
        </w:tc>
        <w:tc>
          <w:tcPr>
            <w:tcW w:w="416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bútoripari (mozgatást, zárást biztosító) szerelvények, valamint a kötőelemek fajtáit, tulajdonságait, felhasználási területeit.</w:t>
            </w: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9. Faipari ragasztóanyagok</w:t>
            </w:r>
          </w:p>
        </w:tc>
        <w:tc>
          <w:tcPr>
            <w:tcW w:w="416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ragasztás fogalmát. Ismerje a bútoriparban alkalmazott ragasztóanyagok fajtáit, tulajdonságait, felhasználási területeit.</w:t>
            </w: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ragasztás minőségét befolyásoló tényezőket, a ragasztóanyagok minőségének és a ragasztási szilárdságnak vizsgálati módszereit.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10. Faipari szakrajz alapfogalmai</w:t>
            </w:r>
          </w:p>
          <w:p w:rsidR="004C2997" w:rsidRDefault="004C2997">
            <w:pPr>
              <w:autoSpaceDE w:val="0"/>
              <w:autoSpaceDN w:val="0"/>
              <w:adjustRightInd w:val="0"/>
              <w:spacing w:after="0" w:line="240" w:lineRule="auto"/>
              <w:rPr>
                <w:rFonts w:ascii="Times New Roman" w:hAnsi="Times New Roman" w:cs="Times New Roman"/>
                <w:b/>
                <w:bCs/>
                <w:sz w:val="20"/>
                <w:szCs w:val="20"/>
              </w:rPr>
            </w:pPr>
          </w:p>
        </w:tc>
        <w:tc>
          <w:tcPr>
            <w:tcW w:w="416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Alkalmazza a vetületi ábrázolás szabályait, értelmezze a három nézet (elölnézet, felülnézet, oldalnézet), valamint a vízszintes, függőleges és homlokmetszet fogalmát a faipari szakrajzban.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fa,, és fahelyettesítő anyagok metszeti jelöléseit.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Alkalmazza a faipari szakrajzban használatos </w:t>
            </w:r>
            <w:r>
              <w:rPr>
                <w:rFonts w:ascii="Times New Roman" w:hAnsi="Times New Roman" w:cs="Times New Roman"/>
                <w:sz w:val="20"/>
                <w:szCs w:val="20"/>
              </w:rPr>
              <w:lastRenderedPageBreak/>
              <w:t>vonalfajtákat, vonalvastagságokat.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az alkalmazott méretarányokat, a méretezés szabályait.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 formaterv, jellegrajz, csomóponti rajz, alkatrészrajz, műhelyrajz fogalmát. </w:t>
            </w: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Ismerje a faipari szakrajzban alkalmazott ábrázolási rendszereket, rajzfajtákat.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Tudja lerajzolni és alkalmazni a faipari szakrajz anyagjelöléseit, méretezési szabályait. </w:t>
            </w: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 xml:space="preserve">11. Fakötések </w:t>
            </w:r>
          </w:p>
        </w:tc>
        <w:tc>
          <w:tcPr>
            <w:tcW w:w="416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szélesbítő toldásokat, szélesbítő toldások merevítéseit,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hosszabbító toldásokat,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vastagító toldásokat,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keretkötéseket,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kávakötéseket.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önállóan megrajzolni a faiparban alkalmazott legfontosabb fakötéseket, alkalmazza a faipari szakrajz anyagjelöléseit, méretezési szabályait, a megfelelő vonalfajtákat, vonalvastagságokat.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példát mondani az egyes szerkezeti kötések alkalmazására.</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Szerkessze meg az egyes fakötések léptékhelyes, axonometrikus ábráit is.</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egyszerű bútorok szerkezeti megoldásait (pl. kisasztal, konyhai ülőke, fiókos szekrényke).</w:t>
            </w: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12. Egyszerű bútorok szerkezetei</w:t>
            </w:r>
          </w:p>
          <w:p w:rsidR="004C2997" w:rsidRDefault="004C2997">
            <w:pPr>
              <w:autoSpaceDE w:val="0"/>
              <w:autoSpaceDN w:val="0"/>
              <w:adjustRightInd w:val="0"/>
              <w:spacing w:after="0" w:line="240" w:lineRule="auto"/>
              <w:rPr>
                <w:rFonts w:ascii="Times New Roman" w:hAnsi="Times New Roman" w:cs="Times New Roman"/>
                <w:b/>
                <w:bCs/>
                <w:sz w:val="20"/>
                <w:szCs w:val="20"/>
              </w:rPr>
            </w:pPr>
          </w:p>
        </w:tc>
        <w:tc>
          <w:tcPr>
            <w:tcW w:w="416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alapvető bútorszerkezeteket (egyszerű kávás asztal, konyhai ülőke, kávaszerkezetű szekrényke, keretszerkezetű fronttal konyhai ülőke, fiókos szekrényke, természetes faanyagokból). Ezek jellegrajza, rövid műszaki leírása alapján legyen képes az adott szerkezeti csomópontokat M1:1 léptékben megszerkeszteni.</w:t>
            </w: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bútor fő méretei, rövid műszaki leírása és látványterve alapján legyen képes a megfelelő számú vetületben a jellegrajzot megrajzolni, illetőleg a szükséges, vagy előírt számú szerkezeti csomópontot (M1:1) megszerkeszteni.</w:t>
            </w: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13. A fa és fahelyettesítő anyagok megmunkálása</w:t>
            </w:r>
          </w:p>
          <w:p w:rsidR="004C2997" w:rsidRDefault="004C2997">
            <w:pPr>
              <w:autoSpaceDE w:val="0"/>
              <w:autoSpaceDN w:val="0"/>
              <w:adjustRightInd w:val="0"/>
              <w:spacing w:after="0" w:line="240" w:lineRule="auto"/>
              <w:rPr>
                <w:rFonts w:ascii="Times New Roman" w:hAnsi="Times New Roman" w:cs="Times New Roman"/>
                <w:b/>
                <w:bCs/>
                <w:sz w:val="20"/>
                <w:szCs w:val="20"/>
              </w:rPr>
            </w:pPr>
          </w:p>
        </w:tc>
        <w:tc>
          <w:tcPr>
            <w:tcW w:w="416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definiálni a faanyag megmunkálásának fogalmát, fajtáit, megmagyarázni a forgácsoló és forgácsmentes alakítások közti különbségeket, az egyes megmunkálási módokat rendszerezni.</w:t>
            </w: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14. Forgácsolás elmélete</w:t>
            </w:r>
          </w:p>
        </w:tc>
        <w:tc>
          <w:tcPr>
            <w:tcW w:w="416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Definiálja az egyenes és körpályán mozgó forgácsoló szerszámok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lerajzolni és azonosítani a forgácsolás jellemző szögeit. (Jellemző szögek hatása a felületi finomságra,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forgácsolás során szükséges mozgások: főmozgás, mellékmozgás).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forgácsolás jellemzőit, a forgácsolás folyamán fellépő jelenségeke.!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Sorolja fel a forgácsoló szerszámra ható erőket, forgácsoló erőket.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Definiálja a fajlagos forgácsoló erőt, a fajlagos forgácsolási ellenállás fogalmát!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Definiálja a forgács leválasztásához szükséges mechanikai teljesítmény fogalmát.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forgácsolás kinetikáját és ezek alapvető számításait.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Értse a forgácsolás jellemzői és a forgácsolt felület finomsága közti összefüggéseket.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forgácsolás paramétereiből tudjon következtetni a forgácsolt felület várható finomságára.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faiparban alkalmazott kéziszerszámokat.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faiparban alkalmazott gépeket.</w:t>
            </w: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Határozza meg a faiparban előforduló egyes megmunkálásokhoz szükséges optimális műszaki paramétereket!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Ehhez számítsa ki a fajlagos forgácsoló erőt, a fajlagos forgácsolási ellenállást, a forgács leválasztásához szükséges mechanikai teljesítményt, forgácsolási és előtolási sebességet, egy élre eső előtolást, és a forgácsteljesítményt.</w:t>
            </w: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15. A fűrészáru természetes szárítása</w:t>
            </w:r>
          </w:p>
        </w:tc>
        <w:tc>
          <w:tcPr>
            <w:tcW w:w="416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fűrészáru természetes szárításának fogalmát, jelentőségét, célját.</w:t>
            </w: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16. A fűrészáru máglyázása</w:t>
            </w:r>
          </w:p>
        </w:tc>
        <w:tc>
          <w:tcPr>
            <w:tcW w:w="4163" w:type="dxa"/>
          </w:tcPr>
          <w:p w:rsidR="004C2997" w:rsidRDefault="004C299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Jellemezze a máglyázás módjait, eszközeit, technológiáit.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máglyanyilvántartás fogalmát, célját.</w:t>
            </w: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17. A fűrészáru mesterséges szárítása</w:t>
            </w:r>
          </w:p>
        </w:tc>
        <w:tc>
          <w:tcPr>
            <w:tcW w:w="416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fűrészáru mesterséges szárításának fogalmát, jelentőségét, célját.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18. A fűrészüzemi technológiák</w:t>
            </w:r>
          </w:p>
        </w:tc>
        <w:tc>
          <w:tcPr>
            <w:tcW w:w="416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fűrészelés gépeit, technológiáit.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rönktéri technológiákat, a fűrészáru termelésének módjait.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fűrészcsarnokok elrendezését keretfűrészgépes, rönkhasító, szalagfűrészes, illetve vegyes technológiák esetén.</w:t>
            </w: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2547"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19. Munka-, tűz- és környezetvédelem</w:t>
            </w:r>
          </w:p>
        </w:tc>
        <w:tc>
          <w:tcPr>
            <w:tcW w:w="416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szakmára, a munkahelyre érvényes munkavédelmi előírásokat.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baleseteknél és tűzeseteknél alkalmazandó intézkedéseket, valamint az elsősegélynyújtás szabályait. Ismertesse a tűz megelőzésére vonatkozó intézkedéseket és a tűzoltás szabályait, a tűzoltó készülékek kezelését.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mérgező anyagok, gyúlékony anyagok tárolására, kezelésére vonatkozó előírásokat.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elektromos áram élettani hatásait, az áramütés elleni védekezés szabályait, az elektromos áram által okozott baleseteknél foganatosítandó intézkedéseket.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szakmára, a munkahelyre jellemző környezetkárosító hatásokat és a környezetszennyezést csökkentő eljárásokat.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068"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NYOMDAIPARI ALAPISMERETEK </w:t>
      </w:r>
      <w:r>
        <w:rPr>
          <w:rFonts w:ascii="Times New Roman" w:hAnsi="Times New Roman" w:cs="Times New Roman"/>
          <w:b/>
          <w:bCs/>
          <w:sz w:val="24"/>
          <w:szCs w:val="24"/>
        </w:rPr>
        <w:b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ind w:firstLine="204"/>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b/>
          <w:bCs/>
          <w:sz w:val="20"/>
          <w:szCs w:val="20"/>
        </w:rPr>
        <w:t>A nyomdaipari alapozó ismeretek tantárgy érettségi vizsga célja</w:t>
      </w:r>
    </w:p>
    <w:p w:rsidR="004C2997" w:rsidRDefault="004C2997" w:rsidP="004C2997">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 szakmacsoportos szakmai alapozás lezárása, a vizsgázók szakmaválasztásának elősegítése és felkészítésük a szakmai specializáló képzésbe (szakképzésbe) történő bekapcsolódásba.</w:t>
      </w:r>
    </w:p>
    <w:p w:rsidR="004C2997" w:rsidRDefault="004C2997" w:rsidP="004C2997">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 középszintű vizsga célja annak megállapítása, hogy a vizsgázó</w:t>
      </w:r>
    </w:p>
    <w:p w:rsidR="004C2997" w:rsidRDefault="004C2997" w:rsidP="004C2997">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 rendelkezik-e műszaki szemlélettel és a műszaki műveltség részét képező nyomdaipari alapismeretekkel,</w:t>
      </w:r>
    </w:p>
    <w:p w:rsidR="004C2997" w:rsidRDefault="004C2997" w:rsidP="004C2997">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 tudja-e a műszaki ábrázolás szabályait és eszközrendszerét helyesen alkalmazni,</w:t>
      </w:r>
    </w:p>
    <w:p w:rsidR="004C2997" w:rsidRDefault="004C2997" w:rsidP="004C2997">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 képes-e ismereteit a nyomdaipari technikai eszközök működésével összekapcsolni,</w:t>
      </w:r>
    </w:p>
    <w:p w:rsidR="004C2997" w:rsidRDefault="004C2997" w:rsidP="004C2997">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 elsajátította-e a nyomdaipari szakma alapfogalmaihoz kapcsolódó összefüggések alkalmazását,</w:t>
      </w:r>
    </w:p>
    <w:p w:rsidR="004C2997" w:rsidRDefault="004C2997" w:rsidP="004C2997">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 képes-e megszerzett ismeretei felhasználásával műszaki összefüggéseket megmagyarázni és technológiai folyamatokat összehasonlítani,</w:t>
      </w:r>
    </w:p>
    <w:p w:rsidR="004C2997" w:rsidRDefault="004C2997" w:rsidP="004C2997">
      <w:pPr>
        <w:autoSpaceDE w:val="0"/>
        <w:autoSpaceDN w:val="0"/>
        <w:adjustRightInd w:val="0"/>
        <w:spacing w:after="0" w:line="240" w:lineRule="auto"/>
        <w:ind w:left="204"/>
        <w:rPr>
          <w:rFonts w:ascii="Times New Roman" w:hAnsi="Times New Roman" w:cs="Times New Roman"/>
          <w:sz w:val="20"/>
          <w:szCs w:val="20"/>
        </w:rPr>
      </w:pPr>
      <w:r>
        <w:rPr>
          <w:rFonts w:ascii="Times New Roman" w:hAnsi="Times New Roman" w:cs="Times New Roman"/>
          <w:sz w:val="20"/>
          <w:szCs w:val="20"/>
        </w:rPr>
        <w:t>– képes-e a terjedelemszámítás alapszámításait elvégezni,</w:t>
      </w:r>
    </w:p>
    <w:p w:rsidR="004C2997" w:rsidRDefault="004C2997" w:rsidP="004C2997">
      <w:pPr>
        <w:autoSpaceDE w:val="0"/>
        <w:autoSpaceDN w:val="0"/>
        <w:adjustRightInd w:val="0"/>
        <w:spacing w:after="0" w:line="240" w:lineRule="auto"/>
        <w:ind w:left="204"/>
        <w:rPr>
          <w:rFonts w:ascii="Times New Roman" w:hAnsi="Times New Roman" w:cs="Times New Roman"/>
          <w:sz w:val="20"/>
          <w:szCs w:val="20"/>
        </w:rPr>
      </w:pPr>
      <w:r>
        <w:rPr>
          <w:rFonts w:ascii="Times New Roman" w:hAnsi="Times New Roman" w:cs="Times New Roman"/>
          <w:sz w:val="20"/>
          <w:szCs w:val="20"/>
        </w:rPr>
        <w:t>– képes-e a nyomdaiparban használt anyagok gyártásáról, tulajdonságairól, vizsgálatairól számot adni.</w:t>
      </w:r>
    </w:p>
    <w:p w:rsidR="004C2997" w:rsidRDefault="004C2997" w:rsidP="004C2997">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Az emelt szintű vizsga célja annak megállapítása, hogy a vizsgázó a fentiekben felsoroltakon túlmenően</w:t>
      </w:r>
    </w:p>
    <w:p w:rsidR="004C2997" w:rsidRDefault="004C2997" w:rsidP="004C2997">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 elsajátította-e a speciális szakmai tantárgyak tanulásához szükséges műszaki feladatmegoldó képességet,</w:t>
      </w:r>
    </w:p>
    <w:p w:rsidR="004C2997" w:rsidRDefault="004C2997" w:rsidP="004C2997">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 tudja-e a vonatkozó szabványelőírásokat alkalmazni,</w:t>
      </w:r>
    </w:p>
    <w:p w:rsidR="004C2997" w:rsidRDefault="004C2997" w:rsidP="004C2997">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 rendelkezik-e az alapfogalmak, a folyamatok, a jelenségek és törvényszerűségek integrálási képességével,</w:t>
      </w:r>
    </w:p>
    <w:p w:rsidR="004C2997" w:rsidRDefault="004C2997" w:rsidP="004C2997">
      <w:pPr>
        <w:autoSpaceDE w:val="0"/>
        <w:autoSpaceDN w:val="0"/>
        <w:adjustRightInd w:val="0"/>
        <w:spacing w:after="0" w:line="240" w:lineRule="auto"/>
        <w:ind w:firstLine="204"/>
        <w:rPr>
          <w:rFonts w:ascii="Times New Roman" w:hAnsi="Times New Roman" w:cs="Times New Roman"/>
          <w:sz w:val="20"/>
          <w:szCs w:val="20"/>
        </w:rPr>
      </w:pPr>
      <w:r>
        <w:rPr>
          <w:rFonts w:ascii="Times New Roman" w:hAnsi="Times New Roman" w:cs="Times New Roman"/>
          <w:sz w:val="20"/>
          <w:szCs w:val="20"/>
        </w:rPr>
        <w:t>– ismereteit tudja-e kreatív módon használni.</w:t>
      </w:r>
    </w:p>
    <w:p w:rsidR="004C2997" w:rsidRDefault="004C2997" w:rsidP="004C2997">
      <w:pPr>
        <w:autoSpaceDE w:val="0"/>
        <w:autoSpaceDN w:val="0"/>
        <w:adjustRightInd w:val="0"/>
        <w:spacing w:after="0" w:line="240" w:lineRule="auto"/>
        <w:ind w:firstLine="204"/>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ind w:firstLine="204"/>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ind w:firstLine="204"/>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260"/>
        <w:gridCol w:w="3260"/>
        <w:gridCol w:w="3260"/>
      </w:tblGrid>
      <w:tr w:rsidR="004C2997">
        <w:tblPrEx>
          <w:tblCellMar>
            <w:top w:w="0" w:type="dxa"/>
            <w:bottom w:w="0" w:type="dxa"/>
          </w:tblCellMar>
        </w:tblPrEx>
        <w:tc>
          <w:tcPr>
            <w:tcW w:w="3260" w:type="dxa"/>
          </w:tcPr>
          <w:p w:rsidR="004C2997" w:rsidRDefault="004C2997">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3260" w:type="dxa"/>
          </w:tcPr>
          <w:p w:rsidR="004C2997" w:rsidRDefault="004C2997">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3260" w:type="dxa"/>
          </w:tcPr>
          <w:p w:rsidR="004C2997" w:rsidRDefault="004C2997">
            <w:pPr>
              <w:autoSpaceDE w:val="0"/>
              <w:autoSpaceDN w:val="0"/>
              <w:adjustRightInd w:val="0"/>
              <w:spacing w:after="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rPr>
          <w:trHeight w:val="278"/>
        </w:trPr>
        <w:tc>
          <w:tcPr>
            <w:tcW w:w="9780" w:type="dxa"/>
            <w:gridSpan w:val="3"/>
            <w:vAlign w:val="center"/>
          </w:tcPr>
          <w:p w:rsidR="004C2997" w:rsidRDefault="004C2997">
            <w:pPr>
              <w:autoSpaceDE w:val="0"/>
              <w:autoSpaceDN w:val="0"/>
              <w:adjustRightInd w:val="0"/>
              <w:spacing w:before="20" w:after="20" w:line="240" w:lineRule="auto"/>
              <w:ind w:left="56" w:right="56"/>
              <w:rPr>
                <w:rFonts w:ascii="Times New Roman" w:hAnsi="Times New Roman" w:cs="Times New Roman"/>
                <w:b/>
                <w:bCs/>
                <w:sz w:val="20"/>
                <w:szCs w:val="20"/>
              </w:rPr>
            </w:pPr>
            <w:r>
              <w:rPr>
                <w:rFonts w:ascii="Times New Roman" w:hAnsi="Times New Roman" w:cs="Times New Roman"/>
                <w:b/>
                <w:bCs/>
                <w:sz w:val="20"/>
                <w:szCs w:val="20"/>
              </w:rPr>
              <w:t>1. Nyomdászat történelme</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Művészettörténet</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művészettörténet fogalmát.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egyetemes művészettörténet korszakait.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művészeti ágak felosztását (képzőművészet, iparművészet).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tipográfiát, mint az iparművészet részét.</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emberiség által felhalmozott vizuális kultúra jelentőségét, hatását az emberiség fejlődésére.</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nyomdászat előzményei</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gondolatrögzítés kezdeteit.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írás kialakulását, fejlődését.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könyv formájának kialakulását.</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könyv elődjét, a kódexet.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kódex készítésének folyamatát.</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könyvnyomtatás feltalálása</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Gutenberg találmányait.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ősnyomtatvány fogalmát.</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Gutenberg találmányának hatását az emberiség fejlődésére.</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tipográfia fejlődése</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tipográfia kialakulását, történetét.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barokk és a rokokó nyomdászatát.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klasszicizmus nyomdászatát.</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különböző stílusok hatását a tipográfia fejlődésére.</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magyarországi nyomdászat története</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jelentős nyomdászaink munkásságát (Hess András, Tótfalusi Kis Miklós, Kner Imre, Tevan Andor).</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jelentősebb középkori hazai nyomdáinkat.</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Jellemezze híres nyomdászaink munkásságának hatását az ország életére.</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Korunk nyomdaipara</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korunk nyomdaiparának termékeit, a technológiák jellegzetességeit.</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nyomdaipar fejlődésének főbb tendenciáit.</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nyomdaipari technológiák fejlődése</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nyomtatási eljárások fejlődésének történetét.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nyomógépek fejlődésének történetét.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formakészítési eljárások fejlődésének történetét.</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trHeight w:val="128"/>
        </w:trPr>
        <w:tc>
          <w:tcPr>
            <w:tcW w:w="9780" w:type="dxa"/>
            <w:gridSpan w:val="3"/>
          </w:tcPr>
          <w:p w:rsidR="004C2997" w:rsidRDefault="004C2997">
            <w:pPr>
              <w:autoSpaceDE w:val="0"/>
              <w:autoSpaceDN w:val="0"/>
              <w:adjustRightInd w:val="0"/>
              <w:spacing w:before="20" w:after="20" w:line="240" w:lineRule="auto"/>
              <w:ind w:left="56" w:right="56"/>
              <w:rPr>
                <w:rFonts w:ascii="Times New Roman" w:hAnsi="Times New Roman" w:cs="Times New Roman"/>
                <w:b/>
                <w:bCs/>
                <w:sz w:val="20"/>
                <w:szCs w:val="20"/>
              </w:rPr>
            </w:pPr>
            <w:r>
              <w:rPr>
                <w:rFonts w:ascii="Times New Roman" w:hAnsi="Times New Roman" w:cs="Times New Roman"/>
                <w:b/>
                <w:bCs/>
                <w:sz w:val="20"/>
                <w:szCs w:val="20"/>
              </w:rPr>
              <w:lastRenderedPageBreak/>
              <w:t>2. Mértékrendszerek, számítások</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Tipográfiai mértékrendszerek</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Didot-Berthold-féle mértékrendszert.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angol-amerikai pontrendszert.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elvégezni az átszámításokat.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betűnagyságok elnevezéseit.</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aranymetszet (és egyéb arányok) fogalmát, tudja felosztani az oldal(aka)t ezek alapján.</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Szabványos papírméretek</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szabvány fogalmát, jelentőségét.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„A” és a „B”, „BB” papíralakok szabványos méretsorozatait (0-tól 6-ig).</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nyersméret és a vágott méret közötti különbséget.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 „C” és a „Fr” papíralakok szabványos méretsorozatait </w:t>
            </w:r>
            <w:r>
              <w:rPr>
                <w:rFonts w:ascii="Times New Roman" w:hAnsi="Times New Roman" w:cs="Times New Roman"/>
                <w:sz w:val="20"/>
                <w:szCs w:val="20"/>
              </w:rPr>
              <w:br/>
              <w:t>(0-tól 6-ig).</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Terjedelemszámítás</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Megadott adatok segítségével tudja meghatározni a kiadvány terjedelmét kötészeti ívekben, nyomtatott oldalszámokban.</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Megadott adatok segítségével a kiadvány terjedelmének meghatározása kötészeti ívekben, nyomtatott oldalszámokban (legyen benne 8 oldal színes melléklet is).</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Papírmennyiség- és tömegszámítás</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papírminőség, terjedelem, formátum, példányszám ismeretében tudja meghatározni a kiadványhoz szükséges belívpapír mennyiségét és tömegét.</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papírminőség, terjedelem, formátum, példányszám, hozzálék ismeretében tudja meghatározni a kiadványhoz szükséges belívpapír mennyiségét és tömegét.</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Könyvtábla anyagainak számítása</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táblalemez, borítóanyag, gerincvászon méreteinek kiszámítási lépéseit a példányszám és formátum ismeretében.</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táblalemez, borítóanyag, gerincvászon méreteinek kiszámítási lépéseit a példányszám és formátum ismeretében a könyvnyílás, a peremek és a beütés meghatározásával.</w:t>
            </w:r>
          </w:p>
        </w:tc>
      </w:tr>
      <w:tr w:rsidR="004C2997">
        <w:tblPrEx>
          <w:tblCellMar>
            <w:top w:w="0" w:type="dxa"/>
            <w:bottom w:w="0" w:type="dxa"/>
          </w:tblCellMar>
        </w:tblPrEx>
        <w:trPr>
          <w:trHeight w:val="206"/>
        </w:trPr>
        <w:tc>
          <w:tcPr>
            <w:tcW w:w="9780" w:type="dxa"/>
            <w:gridSpan w:val="3"/>
          </w:tcPr>
          <w:p w:rsidR="004C2997" w:rsidRDefault="004C2997">
            <w:pPr>
              <w:autoSpaceDE w:val="0"/>
              <w:autoSpaceDN w:val="0"/>
              <w:adjustRightInd w:val="0"/>
              <w:spacing w:before="20" w:after="20" w:line="240" w:lineRule="auto"/>
              <w:ind w:left="56" w:right="56"/>
              <w:rPr>
                <w:rFonts w:ascii="Times New Roman" w:hAnsi="Times New Roman" w:cs="Times New Roman"/>
                <w:b/>
                <w:bCs/>
                <w:sz w:val="20"/>
                <w:szCs w:val="20"/>
              </w:rPr>
            </w:pPr>
            <w:r>
              <w:rPr>
                <w:rFonts w:ascii="Times New Roman" w:hAnsi="Times New Roman" w:cs="Times New Roman"/>
                <w:b/>
                <w:bCs/>
                <w:sz w:val="20"/>
                <w:szCs w:val="20"/>
              </w:rPr>
              <w:t>3. Műszaki ábrázolás alapjai</w:t>
            </w:r>
          </w:p>
        </w:tc>
      </w:tr>
      <w:tr w:rsidR="004C2997">
        <w:tblPrEx>
          <w:tblCellMar>
            <w:top w:w="0" w:type="dxa"/>
            <w:bottom w:w="0" w:type="dxa"/>
          </w:tblCellMar>
        </w:tblPrEx>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Alapfogalmak</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műszaki ábrázolás legfontosabb területeit.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műszaki rajzban leggyakrabban alkalmazott szabványos jelöléseket (vonalak, feliratmező, méretmegadás stb.).</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rajzeszközöket és alkalmazásukat.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műszaki ábrázoláshoz szükséges térszemléleti alapokat.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síkmértani szerkesztéseket.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vizuális nyelvi összetevőket.</w:t>
            </w:r>
          </w:p>
        </w:tc>
      </w:tr>
      <w:tr w:rsidR="004C2997">
        <w:tblPrEx>
          <w:tblCellMar>
            <w:top w:w="0" w:type="dxa"/>
            <w:bottom w:w="0" w:type="dxa"/>
          </w:tblCellMar>
        </w:tblPrEx>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Térmértan</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térelemeket (pont, egyenes, sík).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térelemek kölcsönös helyzetét.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egyenes valódi hossza megállapítása módszerét.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egyszerűbb síklapú testek származtatását.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Forgástestek származtatása.</w:t>
            </w:r>
          </w:p>
        </w:tc>
      </w:tr>
      <w:tr w:rsidR="004C2997">
        <w:tblPrEx>
          <w:tblCellMar>
            <w:top w:w="0" w:type="dxa"/>
            <w:bottom w:w="0" w:type="dxa"/>
          </w:tblCellMar>
        </w:tblPrEx>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Ábrázolási módok</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egy képsíkos ábrázolást.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második képsík értelmezését.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vetületi ábrázolást.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perspektivikus és az axonometrikus ábrázolást.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képsíkrendszer, a képsíkok egybeforgatását.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térelemek ábrázolását.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különleges helyzetű egyeneseket.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egyenesek kölcsönös helyzetét, a láthatóságot.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általános helyzetű sík ábrázolását.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metszeti ábrázolást.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vetületi, axonometrikus, metszeti ábrákat szerkeszteni a vetületi ábrázolás szabályainak alkalmazásával.</w:t>
            </w:r>
          </w:p>
        </w:tc>
      </w:tr>
      <w:tr w:rsidR="004C2997">
        <w:tblPrEx>
          <w:tblCellMar>
            <w:top w:w="0" w:type="dxa"/>
            <w:bottom w:w="0" w:type="dxa"/>
          </w:tblCellMar>
        </w:tblPrEx>
        <w:trPr>
          <w:trHeight w:val="182"/>
        </w:trPr>
        <w:tc>
          <w:tcPr>
            <w:tcW w:w="9780" w:type="dxa"/>
            <w:gridSpan w:val="3"/>
          </w:tcPr>
          <w:p w:rsidR="004C2997" w:rsidRDefault="004C2997">
            <w:pPr>
              <w:autoSpaceDE w:val="0"/>
              <w:autoSpaceDN w:val="0"/>
              <w:adjustRightInd w:val="0"/>
              <w:spacing w:before="20" w:after="20" w:line="240" w:lineRule="auto"/>
              <w:ind w:left="56" w:right="56"/>
              <w:rPr>
                <w:rFonts w:ascii="Times New Roman" w:hAnsi="Times New Roman" w:cs="Times New Roman"/>
                <w:b/>
                <w:bCs/>
                <w:sz w:val="20"/>
                <w:szCs w:val="20"/>
              </w:rPr>
            </w:pPr>
            <w:r>
              <w:rPr>
                <w:rFonts w:ascii="Times New Roman" w:hAnsi="Times New Roman" w:cs="Times New Roman"/>
                <w:b/>
                <w:bCs/>
                <w:sz w:val="20"/>
                <w:szCs w:val="20"/>
              </w:rPr>
              <w:t>4. Nyomdaipari gépek, technológiák</w:t>
            </w:r>
          </w:p>
        </w:tc>
      </w:tr>
      <w:tr w:rsidR="004C2997">
        <w:tblPrEx>
          <w:tblCellMar>
            <w:top w:w="0" w:type="dxa"/>
            <w:bottom w:w="0" w:type="dxa"/>
          </w:tblCellMar>
        </w:tblPrEx>
        <w:trPr>
          <w:cantSplit/>
          <w:trHeight w:val="569"/>
        </w:trPr>
        <w:tc>
          <w:tcPr>
            <w:tcW w:w="3260" w:type="dxa"/>
            <w:vMerge w:val="restart"/>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Kiadványszerkesztés</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tipográfia szerepét a nyomdászatban.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könyv és a főbb nyomtatványtípusok tartalmi, tipográfiai szerkezetét.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tipográfia építőelemeit.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nyomtatott oldal(pár) szerkezetét, részeinek megnevezését.</w:t>
            </w:r>
          </w:p>
        </w:tc>
      </w:tr>
      <w:tr w:rsidR="004C2997">
        <w:tblPrEx>
          <w:tblCellMar>
            <w:top w:w="0" w:type="dxa"/>
            <w:bottom w:w="0" w:type="dxa"/>
          </w:tblCellMar>
        </w:tblPrEx>
        <w:trPr>
          <w:cantSplit/>
          <w:trHeight w:val="781"/>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kézirat fogalmát, fajtáit, a kéziratszabványt és a kézirat-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előkészítés lényegét.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szövegfeldolgozás folyamatát.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korrektúra fogalmát, fajtáit, gyakori jeleit.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szövegfeldolgozás fejlődését és mai technológiáit.</w:t>
            </w:r>
          </w:p>
        </w:tc>
      </w:tr>
      <w:tr w:rsidR="004C2997">
        <w:tblPrEx>
          <w:tblCellMar>
            <w:top w:w="0" w:type="dxa"/>
            <w:bottom w:w="0" w:type="dxa"/>
          </w:tblCellMar>
        </w:tblPrEx>
        <w:trPr>
          <w:cantSplit/>
          <w:trHeight w:val="781"/>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nyomdai eredeti fogalmát, fajtáit.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képfeldolgozás folyamatát.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számítógépes képfeldolgozás berendezéseit.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képfeldolgozás fejlődését és mai technológiáit.</w:t>
            </w:r>
          </w:p>
        </w:tc>
      </w:tr>
      <w:tr w:rsidR="004C2997">
        <w:tblPrEx>
          <w:tblCellMar>
            <w:top w:w="0" w:type="dxa"/>
            <w:bottom w:w="0" w:type="dxa"/>
          </w:tblCellMar>
        </w:tblPrEx>
        <w:trPr>
          <w:cantSplit/>
          <w:trHeight w:val="452"/>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szöveg és kép integrálásának mai technológiáit.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szöveg és kép integrálásának fejlődését.</w:t>
            </w:r>
          </w:p>
        </w:tc>
      </w:tr>
      <w:tr w:rsidR="004C2997">
        <w:tblPrEx>
          <w:tblCellMar>
            <w:top w:w="0" w:type="dxa"/>
            <w:bottom w:w="0" w:type="dxa"/>
          </w:tblCellMar>
        </w:tblPrEx>
        <w:trPr>
          <w:cantSplit/>
          <w:trHeight w:val="402"/>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levilágított film kidolgozásának menetét.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látens kép kialakulását.</w:t>
            </w:r>
          </w:p>
        </w:tc>
      </w:tr>
      <w:tr w:rsidR="004C2997">
        <w:tblPrEx>
          <w:tblCellMar>
            <w:top w:w="0" w:type="dxa"/>
            <w:bottom w:w="0" w:type="dxa"/>
          </w:tblCellMar>
        </w:tblPrEx>
        <w:trPr>
          <w:cantSplit/>
          <w:trHeight w:val="493"/>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összeadó és a kivonó színkeverés fogalmát, elsődleges és keverékszíneit.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színek reprodukálásának elvét négyszínnyomtatás esetén.</w:t>
            </w:r>
          </w:p>
        </w:tc>
      </w:tr>
      <w:tr w:rsidR="004C2997">
        <w:tblPrEx>
          <w:tblCellMar>
            <w:top w:w="0" w:type="dxa"/>
            <w:bottom w:w="0" w:type="dxa"/>
          </w:tblCellMar>
        </w:tblPrEx>
        <w:trPr>
          <w:cantSplit/>
          <w:trHeight w:val="434"/>
        </w:trPr>
        <w:tc>
          <w:tcPr>
            <w:tcW w:w="3260" w:type="dxa"/>
            <w:vMerge w:val="restart"/>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Formakészítés</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proofkészítés szükségességét.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proofkészítés technológiáit.</w:t>
            </w:r>
          </w:p>
        </w:tc>
      </w:tr>
      <w:tr w:rsidR="004C2997">
        <w:tblPrEx>
          <w:tblCellMar>
            <w:top w:w="0" w:type="dxa"/>
            <w:bottom w:w="0" w:type="dxa"/>
          </w:tblCellMar>
        </w:tblPrEx>
        <w:trPr>
          <w:cantSplit/>
          <w:trHeight w:val="430"/>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másolóeredetik csoportosítását és tudja jellemezni azokat.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Height w:val="430"/>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ofszetnyomó formák jellemzőit.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ofszetnyomó formák készítési technológiáit.</w:t>
            </w:r>
          </w:p>
        </w:tc>
      </w:tr>
      <w:tr w:rsidR="004C2997">
        <w:tblPrEx>
          <w:tblCellMar>
            <w:top w:w="0" w:type="dxa"/>
            <w:bottom w:w="0" w:type="dxa"/>
          </w:tblCellMar>
        </w:tblPrEx>
        <w:trPr>
          <w:cantSplit/>
          <w:trHeight w:val="430"/>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flexonyomó formák jellemzőit.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flexonyomó formák készítésének folyamatait.</w:t>
            </w:r>
          </w:p>
        </w:tc>
      </w:tr>
      <w:tr w:rsidR="004C2997">
        <w:tblPrEx>
          <w:tblCellMar>
            <w:top w:w="0" w:type="dxa"/>
            <w:bottom w:w="0" w:type="dxa"/>
          </w:tblCellMar>
        </w:tblPrEx>
        <w:trPr>
          <w:cantSplit/>
          <w:trHeight w:val="430"/>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mélynyomó formatípusok jellemzőit.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rácscsészék kialakításának korszerű technológiáit.</w:t>
            </w:r>
          </w:p>
        </w:tc>
      </w:tr>
      <w:tr w:rsidR="004C2997">
        <w:tblPrEx>
          <w:tblCellMar>
            <w:top w:w="0" w:type="dxa"/>
            <w:bottom w:w="0" w:type="dxa"/>
          </w:tblCellMar>
        </w:tblPrEx>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Íves nyomógépek rendszerezése, szerkezeti elemei</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nyomógépek rendszerezését.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nyomógépek fő szerkezeti részeit, feladataikat.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nyomógépek rendszerezését a nyomtatási eljárások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nyomógépek rendszerezését nyomathordozó kiszerelése szerint.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nyomógépek rendszerezését nyomóművük szerint.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íves nyomógépek rendszerezését az alkalmazott technológia szerint.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íves ofszetnyomó gépek típusait, felépítésüket.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szitanyomó gépek típusait, szerkezeti elemeit.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digitális nyomógépek fajtáit, szerkezeti elemeit.</w:t>
            </w:r>
          </w:p>
        </w:tc>
      </w:tr>
      <w:tr w:rsidR="004C2997">
        <w:tblPrEx>
          <w:tblCellMar>
            <w:top w:w="0" w:type="dxa"/>
            <w:bottom w:w="0" w:type="dxa"/>
          </w:tblCellMar>
        </w:tblPrEx>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Tekercsnyomó gépek rendszerezése, speciális szerkezeti elemei</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a tekercsnyomó gépeket csoportosítani az alkalmazott technológia szerint.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ofszet tekercsnyomó gépek szerkezeti elemeit.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flexonyomó gépek speciális szerkezeti elemeit.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tekercs mélynyomó gépek speciális szerkezeti elemeit Ismerje a digitális tekercsnyomó gépeket.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vegyes technológiájú gépeket.</w:t>
            </w:r>
          </w:p>
        </w:tc>
      </w:tr>
      <w:tr w:rsidR="004C2997">
        <w:tblPrEx>
          <w:tblCellMar>
            <w:top w:w="0" w:type="dxa"/>
            <w:bottom w:w="0" w:type="dxa"/>
          </w:tblCellMar>
        </w:tblPrEx>
        <w:trPr>
          <w:cantSplit/>
          <w:trHeight w:val="978"/>
        </w:trPr>
        <w:tc>
          <w:tcPr>
            <w:tcW w:w="3260" w:type="dxa"/>
            <w:vMerge w:val="restart"/>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Nyomtatás technológiái</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flexonyomtatás technológiája műveletcsoportjait: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gépelőkészítés,</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beigazítás és jóváhagyás,</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továbbnyomtatás.</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nyomóformák felragasztását.</w:t>
            </w:r>
          </w:p>
        </w:tc>
      </w:tr>
      <w:tr w:rsidR="004C2997">
        <w:tblPrEx>
          <w:tblCellMar>
            <w:top w:w="0" w:type="dxa"/>
            <w:bottom w:w="0" w:type="dxa"/>
          </w:tblCellMar>
        </w:tblPrEx>
        <w:trPr>
          <w:cantSplit/>
          <w:trHeight w:val="978"/>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ofszetnyomtatás technológiáját: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gépelőkészítés, a forma beemelése,</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festék–nedvesítőfolyadék egyensúly beállítása,</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beigazítás,</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példányszámnyomtatás.</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jóváhagyás szempontjait.</w:t>
            </w:r>
          </w:p>
        </w:tc>
      </w:tr>
      <w:tr w:rsidR="004C2997">
        <w:tblPrEx>
          <w:tblCellMar>
            <w:top w:w="0" w:type="dxa"/>
            <w:bottom w:w="0" w:type="dxa"/>
          </w:tblCellMar>
        </w:tblPrEx>
        <w:trPr>
          <w:cantSplit/>
          <w:trHeight w:val="978"/>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szitanyomtatás technológiáját: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szitanyomó forma elkészítése,</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beigazítást, illeszkedés beállítása,</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nyomatszárítási módok a szitanyomtatásnál.</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nyomtatás sajátosságait a különböző nyomathordozók esetén.</w:t>
            </w:r>
          </w:p>
          <w:p w:rsidR="004C2997" w:rsidRDefault="004C2997">
            <w:pPr>
              <w:autoSpaceDE w:val="0"/>
              <w:autoSpaceDN w:val="0"/>
              <w:adjustRightInd w:val="0"/>
              <w:spacing w:before="20" w:after="20" w:line="240" w:lineRule="auto"/>
              <w:ind w:left="56" w:right="56"/>
              <w:rPr>
                <w:rFonts w:ascii="Times New Roman" w:hAnsi="Times New Roman" w:cs="Times New Roman"/>
                <w:sz w:val="20"/>
                <w:szCs w:val="20"/>
              </w:rPr>
            </w:pPr>
          </w:p>
        </w:tc>
      </w:tr>
      <w:tr w:rsidR="004C2997">
        <w:tblPrEx>
          <w:tblCellMar>
            <w:top w:w="0" w:type="dxa"/>
            <w:bottom w:w="0" w:type="dxa"/>
          </w:tblCellMar>
        </w:tblPrEx>
        <w:trPr>
          <w:cantSplit/>
          <w:trHeight w:val="336"/>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digitális nyomtatás technológiáit.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Height w:val="995"/>
        </w:trPr>
        <w:tc>
          <w:tcPr>
            <w:tcW w:w="3260" w:type="dxa"/>
            <w:vMerge w:val="restart"/>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Könyvkötészet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könyvek felépítéseit.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kötésfajták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ügyviteli nyomtatványok fogalmát, felosztását és készítését.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kasírozások technológiáit.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darabolós nyomtatványok jellemzőit.</w:t>
            </w:r>
          </w:p>
        </w:tc>
      </w:tr>
      <w:tr w:rsidR="004C2997">
        <w:tblPrEx>
          <w:tblCellMar>
            <w:top w:w="0" w:type="dxa"/>
            <w:bottom w:w="0" w:type="dxa"/>
          </w:tblCellMar>
        </w:tblPrEx>
        <w:trPr>
          <w:cantSplit/>
          <w:trHeight w:val="992"/>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hamisbetáblázott kötés készítése folyamatait kézi műveletekkel:</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könyvtest készítését,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könyvtábla készítését,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könyv kikészítését.</w:t>
            </w:r>
          </w:p>
        </w:tc>
      </w:tr>
      <w:tr w:rsidR="004C2997">
        <w:tblPrEx>
          <w:tblCellMar>
            <w:top w:w="0" w:type="dxa"/>
            <w:bottom w:w="0" w:type="dxa"/>
          </w:tblCellMar>
        </w:tblPrEx>
        <w:trPr>
          <w:cantSplit/>
          <w:trHeight w:val="1595"/>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nagyüzemi könyvgyártás folyamatait: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könyvtest-készítés módszerei, műveletei</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könyvtábla-készítés műveletei</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könyvkikészítés műveletei gépekkel, gépsorral.</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késztermék minőségellenőrzését.</w:t>
            </w:r>
          </w:p>
        </w:tc>
      </w:tr>
      <w:tr w:rsidR="004C2997">
        <w:tblPrEx>
          <w:tblCellMar>
            <w:top w:w="0" w:type="dxa"/>
            <w:bottom w:w="0" w:type="dxa"/>
          </w:tblCellMar>
        </w:tblPrEx>
        <w:trPr>
          <w:cantSplit/>
          <w:trHeight w:val="881"/>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brosúragyártás, folyóiratgyártás technológiáit: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ragasztókötés fogalmát, fajtáit,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késztermék minőségellenőrzését,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folyóiratgyártás műveleteit.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brosúragyártás, folyóiratgyártás technológiáit: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brosúragyártás gépsorral,</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folyóiratgyártás gépsorral.</w:t>
            </w:r>
          </w:p>
        </w:tc>
      </w:tr>
      <w:tr w:rsidR="004C2997">
        <w:tblPrEx>
          <w:tblCellMar>
            <w:top w:w="0" w:type="dxa"/>
            <w:bottom w:w="0" w:type="dxa"/>
          </w:tblCellMar>
        </w:tblPrEx>
        <w:trPr>
          <w:cantSplit/>
          <w:trHeight w:val="408"/>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Ismerje a garnitúra-, tömb-, félkemény kötés készítését.</w:t>
            </w:r>
          </w:p>
        </w:tc>
      </w:tr>
      <w:tr w:rsidR="004C2997">
        <w:tblPrEx>
          <w:tblCellMar>
            <w:top w:w="0" w:type="dxa"/>
            <w:bottom w:w="0" w:type="dxa"/>
          </w:tblCellMar>
        </w:tblPrEx>
        <w:trPr>
          <w:cantSplit/>
          <w:trHeight w:val="1763"/>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csomagolóanyag-gyártás területén:</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alkalmazott nyomtatási technológiákat és ezek együttes megjelenését egy termék gyártásához,</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nyomathordozók típusait,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nyomat speciális kidolgozását (stancolás, tekercselés, kasírozás stb.).</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nyomtatás, nyomtatvány-feldolgozás egy menetben való megvalósításának eszközeit.</w:t>
            </w:r>
          </w:p>
        </w:tc>
      </w:tr>
      <w:tr w:rsidR="004C2997">
        <w:tblPrEx>
          <w:tblCellMar>
            <w:top w:w="0" w:type="dxa"/>
            <w:bottom w:w="0" w:type="dxa"/>
          </w:tblCellMar>
        </w:tblPrEx>
        <w:trPr>
          <w:trHeight w:val="226"/>
        </w:trPr>
        <w:tc>
          <w:tcPr>
            <w:tcW w:w="9780" w:type="dxa"/>
            <w:gridSpan w:val="3"/>
          </w:tcPr>
          <w:p w:rsidR="004C2997" w:rsidRDefault="004C2997">
            <w:pPr>
              <w:autoSpaceDE w:val="0"/>
              <w:autoSpaceDN w:val="0"/>
              <w:adjustRightInd w:val="0"/>
              <w:spacing w:before="20" w:after="20" w:line="240" w:lineRule="auto"/>
              <w:ind w:left="56" w:right="56"/>
              <w:rPr>
                <w:rFonts w:ascii="Times New Roman" w:hAnsi="Times New Roman" w:cs="Times New Roman"/>
                <w:b/>
                <w:bCs/>
                <w:sz w:val="20"/>
                <w:szCs w:val="20"/>
              </w:rPr>
            </w:pPr>
            <w:r>
              <w:rPr>
                <w:rFonts w:ascii="Times New Roman" w:hAnsi="Times New Roman" w:cs="Times New Roman"/>
                <w:b/>
                <w:bCs/>
                <w:sz w:val="20"/>
                <w:szCs w:val="20"/>
              </w:rPr>
              <w:t>5. Minőségügyi ismeretek</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Minőségügyi ismeretek</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minőségellenőrzés szerepét a nyomdaiparban.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szabvány alkalmazásának előnyeit a nyomdákban.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minőségellenőrzés szervezeteit és felépítését.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minőségellenőrzés folyamatát az alap- és segédanyagoktól a késztermékig.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 gyártás közbeni ellenőrzés módszereit és eszközeit a </w:t>
            </w:r>
            <w:r>
              <w:rPr>
                <w:rFonts w:ascii="Times New Roman" w:hAnsi="Times New Roman" w:cs="Times New Roman"/>
                <w:sz w:val="20"/>
                <w:szCs w:val="20"/>
              </w:rPr>
              <w:lastRenderedPageBreak/>
              <w:t>nyomdaiparban.</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Ismerje az ISO 9001 minőségirányítási rendszert és a tanúsítás feltételeit.</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Formakészítés minőségi követelményei</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jó nyomóforma minőségi jellemzőit.</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denzitásmérést a formakészítésben.</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Nyomtatás minőségi követelményei</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denzitásmérést és színmérést a nyomtatásban.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jó nyomat minőségi jellemzőit.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ellenőrzőskálák használatát a formakészítéstől a késztermékig.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ellenőrzőskálák fajtáit, felépítésüket és használatukat.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ellenőrzőskálák kiértékelésének módszereit.</w:t>
            </w:r>
          </w:p>
        </w:tc>
      </w:tr>
      <w:tr w:rsidR="004C29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Könyvkötészet minőségi követelményei</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könyvek, folyóiratok, ügyviteli nyomtatványok, csomagolóanyagok minőségének jellemzőit.</w:t>
            </w:r>
          </w:p>
        </w:tc>
        <w:tc>
          <w:tcPr>
            <w:tcW w:w="3260"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Ismerje a könyvek, folyóiratok, ügyviteli nyomtatványok minőségellenőrzésének módszereit: pullteszter, méretellenőrzés.</w:t>
            </w:r>
          </w:p>
        </w:tc>
      </w:tr>
      <w:tr w:rsidR="004C2997">
        <w:tblPrEx>
          <w:tblCellMar>
            <w:top w:w="0" w:type="dxa"/>
            <w:bottom w:w="0" w:type="dxa"/>
          </w:tblCellMar>
        </w:tblPrEx>
        <w:trPr>
          <w:trHeight w:val="200"/>
        </w:trPr>
        <w:tc>
          <w:tcPr>
            <w:tcW w:w="9780" w:type="dxa"/>
            <w:gridSpan w:val="3"/>
          </w:tcPr>
          <w:p w:rsidR="004C2997" w:rsidRDefault="004C2997">
            <w:pPr>
              <w:autoSpaceDE w:val="0"/>
              <w:autoSpaceDN w:val="0"/>
              <w:adjustRightInd w:val="0"/>
              <w:spacing w:before="20" w:after="20" w:line="240" w:lineRule="auto"/>
              <w:ind w:left="56" w:right="56"/>
              <w:rPr>
                <w:rFonts w:ascii="Times New Roman" w:hAnsi="Times New Roman" w:cs="Times New Roman"/>
                <w:b/>
                <w:bCs/>
                <w:sz w:val="20"/>
                <w:szCs w:val="20"/>
              </w:rPr>
            </w:pPr>
            <w:r>
              <w:rPr>
                <w:rFonts w:ascii="Times New Roman" w:hAnsi="Times New Roman" w:cs="Times New Roman"/>
                <w:b/>
                <w:bCs/>
                <w:sz w:val="20"/>
                <w:szCs w:val="20"/>
              </w:rPr>
              <w:t>6. Nyomdaipari anyagismeret</w:t>
            </w:r>
          </w:p>
        </w:tc>
      </w:tr>
      <w:tr w:rsidR="004C2997">
        <w:tblPrEx>
          <w:tblCellMar>
            <w:top w:w="0" w:type="dxa"/>
            <w:bottom w:w="0" w:type="dxa"/>
          </w:tblCellMar>
        </w:tblPrEx>
        <w:trPr>
          <w:cantSplit/>
          <w:trHeight w:val="440"/>
        </w:trPr>
        <w:tc>
          <w:tcPr>
            <w:tcW w:w="3260" w:type="dxa"/>
            <w:vMerge w:val="restart"/>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Papírgyártás</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papíráruk osztályozását: papír, a karton és a papírlemez.</w:t>
            </w:r>
          </w:p>
        </w:tc>
        <w:tc>
          <w:tcPr>
            <w:tcW w:w="3260" w:type="dxa"/>
          </w:tcPr>
          <w:p w:rsidR="004C2997" w:rsidRDefault="004C2997">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Osztályozza a nyomópapírtípusokat.</w:t>
            </w:r>
          </w:p>
        </w:tc>
      </w:tr>
      <w:tr w:rsidR="004C2997">
        <w:tblPrEx>
          <w:tblCellMar>
            <w:top w:w="0" w:type="dxa"/>
            <w:bottom w:w="0" w:type="dxa"/>
          </w:tblCellMar>
        </w:tblPrEx>
        <w:trPr>
          <w:cantSplit/>
          <w:trHeight w:val="708"/>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papírgyártás alapanyagait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rostanyagok gyártását: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facsiszolat,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cellulóz.</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segédanyagok fajtáit, szerepüket: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töltőanyag,</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fehérítők,</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színezőanyag,</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ragasztóanyag.</w:t>
            </w:r>
          </w:p>
        </w:tc>
      </w:tr>
      <w:tr w:rsidR="004C2997">
        <w:tblPrEx>
          <w:tblCellMar>
            <w:top w:w="0" w:type="dxa"/>
            <w:bottom w:w="0" w:type="dxa"/>
          </w:tblCellMar>
        </w:tblPrEx>
        <w:trPr>
          <w:cantSplit/>
          <w:trHeight w:val="820"/>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pépkészítést: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adalékanyagokat és azok szerepét a kész papírban,</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pépkészítés gépeit,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automata gépsorokat.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őrlésfok ellenőrzésének módját, eszközét.</w:t>
            </w:r>
          </w:p>
        </w:tc>
      </w:tr>
      <w:tr w:rsidR="004C2997">
        <w:tblPrEx>
          <w:tblCellMar>
            <w:top w:w="0" w:type="dxa"/>
            <w:bottom w:w="0" w:type="dxa"/>
          </w:tblCellMar>
        </w:tblPrEx>
        <w:trPr>
          <w:cantSplit/>
          <w:trHeight w:val="417"/>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lapképzést: síkszitás és hengerszitás papírgépeken.</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lapképzést: kombinált papírgépeken.</w:t>
            </w:r>
          </w:p>
        </w:tc>
      </w:tr>
      <w:tr w:rsidR="004C2997">
        <w:tblPrEx>
          <w:tblCellMar>
            <w:top w:w="0" w:type="dxa"/>
            <w:bottom w:w="0" w:type="dxa"/>
          </w:tblCellMar>
        </w:tblPrEx>
        <w:trPr>
          <w:cantSplit/>
          <w:trHeight w:val="302"/>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papír utófeldolgozását, a nemesítését.</w:t>
            </w:r>
          </w:p>
        </w:tc>
        <w:tc>
          <w:tcPr>
            <w:tcW w:w="3260" w:type="dxa"/>
          </w:tcPr>
          <w:p w:rsidR="004C2997" w:rsidRDefault="004C2997">
            <w:pPr>
              <w:autoSpaceDE w:val="0"/>
              <w:autoSpaceDN w:val="0"/>
              <w:adjustRightInd w:val="0"/>
              <w:spacing w:before="20" w:after="20" w:line="240" w:lineRule="auto"/>
              <w:ind w:left="56" w:right="56"/>
              <w:rPr>
                <w:rFonts w:ascii="Times New Roman" w:hAnsi="Times New Roman" w:cs="Times New Roman"/>
                <w:sz w:val="20"/>
                <w:szCs w:val="20"/>
              </w:rPr>
            </w:pPr>
          </w:p>
        </w:tc>
      </w:tr>
      <w:tr w:rsidR="004C2997">
        <w:tblPrEx>
          <w:tblCellMar>
            <w:top w:w="0" w:type="dxa"/>
            <w:bottom w:w="0" w:type="dxa"/>
          </w:tblCellMar>
        </w:tblPrEx>
        <w:trPr>
          <w:cantSplit/>
          <w:trHeight w:val="904"/>
        </w:trPr>
        <w:tc>
          <w:tcPr>
            <w:tcW w:w="3260" w:type="dxa"/>
            <w:vMerge w:val="restart"/>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Papírtulajdonságok</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összetételbeli tulajdonságokat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rostanyag,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hamutartalom,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pH érték.</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tulajdonságok vizsgálatához szükséges műszereket.</w:t>
            </w:r>
          </w:p>
        </w:tc>
      </w:tr>
      <w:tr w:rsidR="004C2997">
        <w:tblPrEx>
          <w:tblCellMar>
            <w:top w:w="0" w:type="dxa"/>
            <w:bottom w:w="0" w:type="dxa"/>
          </w:tblCellMar>
        </w:tblPrEx>
        <w:trPr>
          <w:cantSplit/>
          <w:trHeight w:val="306"/>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papír szálirányának vizsgálatának módszerei.</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papír szálirányának szerepét a termékek tervezésénél, tulajdonságainak alakulásánál.</w:t>
            </w:r>
          </w:p>
        </w:tc>
      </w:tr>
      <w:tr w:rsidR="004C2997">
        <w:tblPrEx>
          <w:tblCellMar>
            <w:top w:w="0" w:type="dxa"/>
            <w:bottom w:w="0" w:type="dxa"/>
          </w:tblCellMar>
        </w:tblPrEx>
        <w:trPr>
          <w:cantSplit/>
          <w:trHeight w:val="903"/>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papír vízzel szembeni viselkedését: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kontakt nedvességfelvétel,</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légnedvesség és a papír nedvességtartalma közötti összefüggés.</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papír vízzel szembeni viselkedését: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hiszterézis,</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akklimatizálás jelentősége.</w:t>
            </w:r>
          </w:p>
        </w:tc>
      </w:tr>
      <w:tr w:rsidR="004C2997">
        <w:tblPrEx>
          <w:tblCellMar>
            <w:top w:w="0" w:type="dxa"/>
            <w:bottom w:w="0" w:type="dxa"/>
          </w:tblCellMar>
        </w:tblPrEx>
        <w:trPr>
          <w:cantSplit/>
          <w:trHeight w:val="903"/>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papír mechanikai tulajdonságait: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papír alakváltozásai,</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szakítószilárdság,</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tépési szilárdság,</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kettős hajtogatások száma.</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tulajdonságok vizsgálatához szükséges műszereket.</w:t>
            </w:r>
          </w:p>
        </w:tc>
      </w:tr>
      <w:tr w:rsidR="004C2997">
        <w:tblPrEx>
          <w:tblCellMar>
            <w:top w:w="0" w:type="dxa"/>
            <w:bottom w:w="0" w:type="dxa"/>
          </w:tblCellMar>
        </w:tblPrEx>
        <w:trPr>
          <w:cantSplit/>
          <w:trHeight w:val="903"/>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papír optikai tulajdonságait: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fehérség,</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szín,</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fényesség,</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átnézet (opaciás, felhőzet).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tulajdonságok vizsgálatához szükséges műszereket,</w:t>
            </w:r>
          </w:p>
        </w:tc>
      </w:tr>
      <w:tr w:rsidR="004C2997">
        <w:tblPrEx>
          <w:tblCellMar>
            <w:top w:w="0" w:type="dxa"/>
            <w:bottom w:w="0" w:type="dxa"/>
          </w:tblCellMar>
        </w:tblPrEx>
        <w:trPr>
          <w:cantSplit/>
          <w:trHeight w:val="664"/>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papír felületi tulajdonságait: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simaság,</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felületi szilárdság.</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tulajdonságok vizsgálatához szükséges műszereket.</w:t>
            </w:r>
          </w:p>
        </w:tc>
      </w:tr>
      <w:tr w:rsidR="004C2997">
        <w:tblPrEx>
          <w:tblCellMar>
            <w:top w:w="0" w:type="dxa"/>
            <w:bottom w:w="0" w:type="dxa"/>
          </w:tblCellMar>
        </w:tblPrEx>
        <w:trPr>
          <w:cantSplit/>
          <w:trHeight w:val="903"/>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papírokkal szemben támasztott minőségi követelményeket: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futtathatóság,</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nyomtathatóság.</w:t>
            </w:r>
          </w:p>
        </w:tc>
        <w:tc>
          <w:tcPr>
            <w:tcW w:w="3260" w:type="dxa"/>
          </w:tcPr>
          <w:p w:rsidR="004C2997" w:rsidRDefault="004C2997">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Ismerje a papírokkal szemben támasztott minőségi követelményeket a könyvkötészeti feldolgozás során.</w:t>
            </w:r>
          </w:p>
        </w:tc>
      </w:tr>
      <w:tr w:rsidR="004C2997">
        <w:tblPrEx>
          <w:tblCellMar>
            <w:top w:w="0" w:type="dxa"/>
            <w:bottom w:w="0" w:type="dxa"/>
          </w:tblCellMar>
        </w:tblPrEx>
        <w:trPr>
          <w:cantSplit/>
          <w:trHeight w:val="903"/>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egyéb nyomathordozókat: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kartonok, papírlemezek,</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fémfóliák,</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műanyag fóliák.</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speciális nyomathordozókat.</w:t>
            </w:r>
          </w:p>
        </w:tc>
      </w:tr>
      <w:tr w:rsidR="004C2997">
        <w:tblPrEx>
          <w:tblCellMar>
            <w:top w:w="0" w:type="dxa"/>
            <w:bottom w:w="0" w:type="dxa"/>
          </w:tblCellMar>
        </w:tblPrEx>
        <w:trPr>
          <w:cantSplit/>
          <w:trHeight w:val="785"/>
        </w:trPr>
        <w:tc>
          <w:tcPr>
            <w:tcW w:w="3260" w:type="dxa"/>
            <w:vMerge w:val="restart"/>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Nyomdafesték fogalma, alkotó elemei</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pigmenteket: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fekete pigmentek,</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fehér pigmentek,</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színes pigmentek.</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fémpigmenteket.</w:t>
            </w:r>
          </w:p>
        </w:tc>
      </w:tr>
      <w:tr w:rsidR="004C2997">
        <w:tblPrEx>
          <w:tblCellMar>
            <w:top w:w="0" w:type="dxa"/>
            <w:bottom w:w="0" w:type="dxa"/>
          </w:tblCellMar>
        </w:tblPrEx>
        <w:trPr>
          <w:cantSplit/>
          <w:trHeight w:val="850"/>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kötőanyagokat: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lenolajszármazékok,</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szintetikus kötőanyagok alkotórészei.</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adalékanyagokat: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lágyítókat,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száradási sebességet befolyásoló adalékokat.</w:t>
            </w:r>
          </w:p>
        </w:tc>
      </w:tr>
      <w:tr w:rsidR="004C2997">
        <w:tblPrEx>
          <w:tblCellMar>
            <w:top w:w="0" w:type="dxa"/>
            <w:bottom w:w="0" w:type="dxa"/>
          </w:tblCellMar>
        </w:tblPrEx>
        <w:trPr>
          <w:cantSplit/>
          <w:trHeight w:val="568"/>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nyomdafesték gyártását: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nagy viszkozitású festékek gyártása,</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kis viszkozitású festékek gyártása.</w:t>
            </w:r>
          </w:p>
        </w:tc>
        <w:tc>
          <w:tcPr>
            <w:tcW w:w="3260" w:type="dxa"/>
          </w:tcPr>
          <w:p w:rsidR="004C2997" w:rsidRDefault="004C2997">
            <w:pPr>
              <w:autoSpaceDE w:val="0"/>
              <w:autoSpaceDN w:val="0"/>
              <w:adjustRightInd w:val="0"/>
              <w:spacing w:before="20" w:after="20" w:line="240" w:lineRule="auto"/>
              <w:ind w:left="56" w:right="56"/>
              <w:rPr>
                <w:rFonts w:ascii="Times New Roman" w:hAnsi="Times New Roman" w:cs="Times New Roman"/>
                <w:sz w:val="20"/>
                <w:szCs w:val="20"/>
              </w:rPr>
            </w:pPr>
          </w:p>
        </w:tc>
      </w:tr>
      <w:tr w:rsidR="004C2997">
        <w:tblPrEx>
          <w:tblCellMar>
            <w:top w:w="0" w:type="dxa"/>
            <w:bottom w:w="0" w:type="dxa"/>
          </w:tblCellMar>
        </w:tblPrEx>
        <w:trPr>
          <w:cantSplit/>
          <w:trHeight w:val="861"/>
        </w:trPr>
        <w:tc>
          <w:tcPr>
            <w:tcW w:w="3260" w:type="dxa"/>
            <w:vMerge w:val="restart"/>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Nyomdafesték tulajdonságai</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optikai tulajdonságokat: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szín,</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színerő,</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áttetszőség, fedőképesség.</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optikai tulajdonságokat vizsgáló műszereket.</w:t>
            </w:r>
          </w:p>
        </w:tc>
      </w:tr>
      <w:tr w:rsidR="004C2997">
        <w:tblPrEx>
          <w:tblCellMar>
            <w:top w:w="0" w:type="dxa"/>
            <w:bottom w:w="0" w:type="dxa"/>
          </w:tblCellMar>
        </w:tblPrEx>
        <w:trPr>
          <w:cantSplit/>
          <w:trHeight w:val="1172"/>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szerkezeti, mechanikai tulajdonságokat: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szemcsenagyság,</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viszkozitás,</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szálhúzó képesség, tack.</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tixotrópia fogalmát, 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vizsgáló műszereket.</w:t>
            </w:r>
          </w:p>
        </w:tc>
      </w:tr>
      <w:tr w:rsidR="004C2997">
        <w:tblPrEx>
          <w:tblCellMar>
            <w:top w:w="0" w:type="dxa"/>
            <w:bottom w:w="0" w:type="dxa"/>
          </w:tblCellMar>
        </w:tblPrEx>
        <w:trPr>
          <w:cantSplit/>
          <w:trHeight w:val="1172"/>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száradási tulajdonságokat: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kémiai,</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beivódásos,</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párolgásos,</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fagyásos,</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fizikokémiai,</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UV, IR száradás.</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heat-set, cold-set festék fogalmát, alkalmazását, száradási sajátosságait.</w:t>
            </w:r>
          </w:p>
        </w:tc>
      </w:tr>
      <w:tr w:rsidR="004C2997">
        <w:tblPrEx>
          <w:tblCellMar>
            <w:top w:w="0" w:type="dxa"/>
            <w:bottom w:w="0" w:type="dxa"/>
          </w:tblCellMar>
        </w:tblPrEx>
        <w:trPr>
          <w:trHeight w:val="563"/>
        </w:trPr>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nyomdafesték alkalmazása</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ellenállási tulajdonságokat különféle behatásokkal szemben.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nyomdafestékekkel szemben támasztott minőségi követelményeket.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nyomtatvány minőségét befolyásoló tulajdonságokat.</w:t>
            </w:r>
          </w:p>
        </w:tc>
      </w:tr>
      <w:tr w:rsidR="004C2997">
        <w:tblPrEx>
          <w:tblCellMar>
            <w:top w:w="0" w:type="dxa"/>
            <w:bottom w:w="0" w:type="dxa"/>
          </w:tblCellMar>
        </w:tblPrEx>
        <w:trPr>
          <w:cantSplit/>
          <w:trHeight w:val="1076"/>
        </w:trPr>
        <w:tc>
          <w:tcPr>
            <w:tcW w:w="3260" w:type="dxa"/>
            <w:vMerge w:val="restart"/>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Formakészítési anyagok</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ezüst-halogenid tartalmú fényképészeti rendszereket: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felépítésük,</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gyártásuk.</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kidolgozás anyagai,</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filmek optikai, mérettartóssági tulajdonsága,</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filmek alkalmazási területei.</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fényérzékeny anyagok szenzitometriai tulajdonságait (érzékenység, színérzékenység, gradáció, felbontóképesség).</w:t>
            </w:r>
          </w:p>
        </w:tc>
      </w:tr>
      <w:tr w:rsidR="004C2997">
        <w:tblPrEx>
          <w:tblCellMar>
            <w:top w:w="0" w:type="dxa"/>
            <w:bottom w:w="0" w:type="dxa"/>
          </w:tblCellMar>
        </w:tblPrEx>
        <w:trPr>
          <w:cantSplit/>
          <w:trHeight w:val="759"/>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diazo típusú fénymásoló és fényképező rendszereket: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összetétel, tulajdonság, alkalmazási terület.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Height w:val="520"/>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fotopolimer rendszereket: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összetétel, tulajdonság, alkalmazási terület.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cantSplit/>
          <w:trHeight w:val="1073"/>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nyomóformák anyagait: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flexográfiai nyomóforma anyagai,</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ofszet alaplemezek fajtái, tulajdonságai,</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mélynyomóforma-készítés alapanyagai.</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CTP lemezek fajtáit.</w:t>
            </w:r>
          </w:p>
        </w:tc>
      </w:tr>
      <w:tr w:rsidR="004C2997">
        <w:tblPrEx>
          <w:tblCellMar>
            <w:top w:w="0" w:type="dxa"/>
            <w:bottom w:w="0" w:type="dxa"/>
          </w:tblCellMar>
        </w:tblPrEx>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Nyomtatás segédanyagai</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nyomtatás segédanyagait: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nedvesítőfolyadék-adalékok,</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nyomókendő-kezelő szerek: lemosó- és regenerálószerek.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ofszet nyomókendőket,</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nyomtatás segédanyagait: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festékadalékok (hígítók, oldószerek, szárítók, száradásgátlók, ülepedésgátlók, zselék, stb.).</w:t>
            </w:r>
          </w:p>
          <w:p w:rsidR="004C2997" w:rsidRDefault="004C2997">
            <w:pPr>
              <w:autoSpaceDE w:val="0"/>
              <w:autoSpaceDN w:val="0"/>
              <w:adjustRightInd w:val="0"/>
              <w:spacing w:before="20" w:after="20" w:line="240" w:lineRule="auto"/>
              <w:ind w:left="56" w:right="56"/>
              <w:rPr>
                <w:rFonts w:ascii="Times New Roman" w:hAnsi="Times New Roman" w:cs="Times New Roman"/>
                <w:sz w:val="20"/>
                <w:szCs w:val="20"/>
              </w:rPr>
            </w:pPr>
          </w:p>
        </w:tc>
      </w:tr>
      <w:tr w:rsidR="004C2997">
        <w:tblPrEx>
          <w:tblCellMar>
            <w:top w:w="0" w:type="dxa"/>
            <w:bottom w:w="0" w:type="dxa"/>
          </w:tblCellMar>
        </w:tblPrEx>
        <w:trPr>
          <w:cantSplit/>
          <w:trHeight w:val="946"/>
        </w:trPr>
        <w:tc>
          <w:tcPr>
            <w:tcW w:w="3260" w:type="dxa"/>
            <w:vMerge w:val="restart"/>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Speciális kötészeti anyagok</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papíranyagokat: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papírok (író- és nyomópapírok, borítópapírok, különleges papírok, műszaki papírok),</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kartonok,</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papírlemezek.</w:t>
            </w:r>
          </w:p>
        </w:tc>
        <w:tc>
          <w:tcPr>
            <w:tcW w:w="3260" w:type="dxa"/>
          </w:tcPr>
          <w:p w:rsidR="004C2997" w:rsidRDefault="004C2997">
            <w:pPr>
              <w:autoSpaceDE w:val="0"/>
              <w:autoSpaceDN w:val="0"/>
              <w:adjustRightInd w:val="0"/>
              <w:spacing w:before="20" w:after="20" w:line="240" w:lineRule="auto"/>
              <w:ind w:left="56" w:right="56"/>
              <w:rPr>
                <w:rFonts w:ascii="Times New Roman" w:hAnsi="Times New Roman" w:cs="Times New Roman"/>
                <w:sz w:val="20"/>
                <w:szCs w:val="20"/>
              </w:rPr>
            </w:pPr>
          </w:p>
        </w:tc>
      </w:tr>
      <w:tr w:rsidR="004C2997">
        <w:tblPrEx>
          <w:tblCellMar>
            <w:top w:w="0" w:type="dxa"/>
            <w:bottom w:w="0" w:type="dxa"/>
          </w:tblCellMar>
        </w:tblPrEx>
        <w:trPr>
          <w:cantSplit/>
          <w:trHeight w:val="945"/>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ragasztás fogalmát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ragasztóanyagok felosztását: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növényi eredetűek,</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állati eredetűek,</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műanyag eredetűek: vizes diszperziós, hőre lágyuló, hőre keményedő.</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ragasztás elméleteit.</w:t>
            </w:r>
          </w:p>
          <w:p w:rsidR="004C2997" w:rsidRDefault="004C2997">
            <w:pPr>
              <w:autoSpaceDE w:val="0"/>
              <w:autoSpaceDN w:val="0"/>
              <w:adjustRightInd w:val="0"/>
              <w:spacing w:before="20" w:after="20" w:line="240" w:lineRule="auto"/>
              <w:ind w:left="56" w:right="56"/>
              <w:rPr>
                <w:rFonts w:ascii="Times New Roman" w:hAnsi="Times New Roman" w:cs="Times New Roman"/>
                <w:sz w:val="20"/>
                <w:szCs w:val="20"/>
              </w:rPr>
            </w:pPr>
          </w:p>
        </w:tc>
      </w:tr>
      <w:tr w:rsidR="004C2997">
        <w:tblPrEx>
          <w:tblCellMar>
            <w:top w:w="0" w:type="dxa"/>
            <w:bottom w:w="0" w:type="dxa"/>
          </w:tblCellMar>
        </w:tblPrEx>
        <w:trPr>
          <w:cantSplit/>
          <w:trHeight w:val="945"/>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textilanyagok felosztását és jellemzéseit: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könyvkötő vászon,</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fűzőcérna,</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fűzőszövet,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oromszegő,</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jelzőszalag.</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kötészeti textíliák gyártásának főbb mozzanatait.</w:t>
            </w:r>
          </w:p>
        </w:tc>
      </w:tr>
      <w:tr w:rsidR="004C2997">
        <w:tblPrEx>
          <w:tblCellMar>
            <w:top w:w="0" w:type="dxa"/>
            <w:bottom w:w="0" w:type="dxa"/>
          </w:tblCellMar>
        </w:tblPrEx>
        <w:trPr>
          <w:cantSplit/>
          <w:trHeight w:val="945"/>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nyomóanyagokat:</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nemesfémek,</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bronz és egyéb ötvözettel rétegelt fóliák,</w:t>
            </w:r>
          </w:p>
          <w:p w:rsidR="004C2997" w:rsidRDefault="004C2997">
            <w:pPr>
              <w:tabs>
                <w:tab w:val="left" w:pos="250"/>
              </w:tabs>
              <w:autoSpaceDE w:val="0"/>
              <w:autoSpaceDN w:val="0"/>
              <w:adjustRightInd w:val="0"/>
              <w:spacing w:after="0" w:line="240" w:lineRule="auto"/>
              <w:ind w:left="249" w:hanging="17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színes pigmenttel rétegelt fóliák.</w:t>
            </w: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különleges fóliákat.</w:t>
            </w:r>
          </w:p>
        </w:tc>
      </w:tr>
      <w:tr w:rsidR="004C2997">
        <w:tblPrEx>
          <w:tblCellMar>
            <w:top w:w="0" w:type="dxa"/>
            <w:bottom w:w="0" w:type="dxa"/>
          </w:tblCellMar>
        </w:tblPrEx>
        <w:trPr>
          <w:cantSplit/>
          <w:trHeight w:val="170"/>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bőr fajtáit és tulajdonságait.</w:t>
            </w:r>
          </w:p>
        </w:tc>
      </w:tr>
      <w:tr w:rsidR="004C2997">
        <w:tblPrEx>
          <w:tblCellMar>
            <w:top w:w="0" w:type="dxa"/>
            <w:bottom w:w="0" w:type="dxa"/>
          </w:tblCellMar>
        </w:tblPrEx>
        <w:trPr>
          <w:cantSplit/>
          <w:trHeight w:val="627"/>
        </w:trPr>
        <w:tc>
          <w:tcPr>
            <w:tcW w:w="3260" w:type="dxa"/>
            <w:vMerge/>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6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fűzőanyagok (fűzőcérna, fűződrót, fűzőspirál) tulajdonságait és felhasználási területüket.</w:t>
            </w:r>
          </w:p>
        </w:tc>
        <w:tc>
          <w:tcPr>
            <w:tcW w:w="3260" w:type="dxa"/>
          </w:tcPr>
          <w:p w:rsidR="004C2997" w:rsidRDefault="004C2997">
            <w:pPr>
              <w:autoSpaceDE w:val="0"/>
              <w:autoSpaceDN w:val="0"/>
              <w:adjustRightInd w:val="0"/>
              <w:spacing w:before="20" w:after="20" w:line="240" w:lineRule="auto"/>
              <w:ind w:left="56" w:right="56"/>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KÖZLEKEDÉSI ALAPISMERETEK</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(KÖZLEKEDÉS – ÜZEMVITEL, KÖZLEKEDÉSTECHNIKA)</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ind w:left="454"/>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left="454"/>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ind w:left="454"/>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A közlekedési alapismeretek érettségi vizsgatárgy célja:</w:t>
      </w:r>
    </w:p>
    <w:p w:rsidR="004C2997" w:rsidRDefault="004C2997" w:rsidP="004C2997">
      <w:pPr>
        <w:autoSpaceDE w:val="0"/>
        <w:autoSpaceDN w:val="0"/>
        <w:adjustRightInd w:val="0"/>
        <w:spacing w:after="0" w:line="240" w:lineRule="auto"/>
        <w:rPr>
          <w:rFonts w:ascii="Times New Roman" w:hAnsi="Times New Roman" w:cs="Times New Roman"/>
          <w:b/>
          <w:bCs/>
          <w:color w:val="000000"/>
          <w:sz w:val="20"/>
          <w:szCs w:val="20"/>
        </w:rPr>
      </w:pPr>
    </w:p>
    <w:p w:rsidR="004C2997" w:rsidRDefault="004C2997" w:rsidP="004C2997">
      <w:pPr>
        <w:autoSpaceDE w:val="0"/>
        <w:autoSpaceDN w:val="0"/>
        <w:adjustRightInd w:val="0"/>
        <w:spacing w:after="0" w:line="240" w:lineRule="auto"/>
        <w:ind w:firstLine="567"/>
        <w:rPr>
          <w:rFonts w:ascii="Times New Roman" w:hAnsi="Times New Roman" w:cs="Times New Roman"/>
          <w:color w:val="000000"/>
          <w:sz w:val="20"/>
          <w:szCs w:val="20"/>
        </w:rPr>
      </w:pPr>
      <w:r>
        <w:rPr>
          <w:rFonts w:ascii="Times New Roman" w:hAnsi="Times New Roman" w:cs="Times New Roman"/>
          <w:color w:val="000000"/>
          <w:sz w:val="20"/>
          <w:szCs w:val="20"/>
        </w:rPr>
        <w:t>A közlekedési alapismeretek szakmai előkészítő tantárgy követelményei a közlekedési szakképesítések közül az érettségire épülő szakképesítések szakmai követelménymoduljaihoz illeszkednek és nem tartalmazzák az egyes intézmények helyi tanterveiben megfogalmazott kiegészítő témakörök követelményeit.</w:t>
      </w:r>
    </w:p>
    <w:p w:rsidR="004C2997" w:rsidRDefault="004C2997" w:rsidP="004C2997">
      <w:pPr>
        <w:autoSpaceDE w:val="0"/>
        <w:autoSpaceDN w:val="0"/>
        <w:adjustRightInd w:val="0"/>
        <w:spacing w:after="0" w:line="240" w:lineRule="auto"/>
        <w:ind w:firstLine="505"/>
        <w:rPr>
          <w:rFonts w:ascii="Times New Roman" w:hAnsi="Times New Roman" w:cs="Times New Roman"/>
          <w:sz w:val="20"/>
          <w:szCs w:val="20"/>
        </w:rPr>
      </w:pPr>
      <w:r>
        <w:rPr>
          <w:rFonts w:ascii="Times New Roman" w:hAnsi="Times New Roman" w:cs="Times New Roman"/>
          <w:sz w:val="20"/>
          <w:szCs w:val="20"/>
        </w:rPr>
        <w:t>A közlekedési alapismeretek tantárgy érettségi vizsga célja a szakmacsoportos szakmai alapozás lezárása, a vizsgázók szakmaválasztásának elősegítése és annak ellenőrzése, hogy a vizsgázó felkészültsége megfelel-e a szakmai specializáló képzésbe (szakképzésbe) történő bekapcsolódás feltételeinek.</w:t>
      </w:r>
    </w:p>
    <w:p w:rsidR="004C2997" w:rsidRDefault="004C2997" w:rsidP="004C2997">
      <w:pPr>
        <w:autoSpaceDE w:val="0"/>
        <w:autoSpaceDN w:val="0"/>
        <w:adjustRightInd w:val="0"/>
        <w:spacing w:after="120" w:line="240" w:lineRule="auto"/>
        <w:ind w:firstLine="431"/>
        <w:rPr>
          <w:rFonts w:ascii="Times New Roman" w:hAnsi="Times New Roman" w:cs="Times New Roman"/>
          <w:color w:val="000000"/>
          <w:sz w:val="20"/>
          <w:szCs w:val="20"/>
        </w:rPr>
      </w:pPr>
      <w:r>
        <w:rPr>
          <w:rFonts w:ascii="Times New Roman" w:hAnsi="Times New Roman" w:cs="Times New Roman"/>
          <w:color w:val="000000"/>
          <w:sz w:val="20"/>
          <w:szCs w:val="20"/>
        </w:rPr>
        <w:t>A szakmacsoport szakképesítéseit megalapozó ismeretek és készségek döntő része közép- és emelt szinten egyaránt megjelenik. A középszintű vizsga elsősorban az egyszerűbb feladatok megoldását, a szóbeli kifejező készséget, a rendszerezés és az alkalmazás legalapvetőbb formáit várja el, míg emelt szinten az igényesebb felépítés, az alkalmazás és integrálás összetettsége, az ismeretek és készségek gyakorlati alkalmazásának magasabb szintje jelenik meg.</w:t>
      </w:r>
    </w:p>
    <w:p w:rsidR="004C2997" w:rsidRDefault="004C2997" w:rsidP="004C2997">
      <w:pPr>
        <w:autoSpaceDE w:val="0"/>
        <w:autoSpaceDN w:val="0"/>
        <w:adjustRightInd w:val="0"/>
        <w:spacing w:after="0" w:line="240" w:lineRule="auto"/>
        <w:ind w:firstLine="454"/>
        <w:rPr>
          <w:rFonts w:ascii="Times New Roman" w:hAnsi="Times New Roman" w:cs="Times New Roman"/>
          <w:sz w:val="20"/>
          <w:szCs w:val="20"/>
        </w:rPr>
      </w:pPr>
      <w:r>
        <w:rPr>
          <w:rFonts w:ascii="Times New Roman" w:hAnsi="Times New Roman" w:cs="Times New Roman"/>
          <w:sz w:val="20"/>
          <w:szCs w:val="20"/>
        </w:rPr>
        <w:t>Az érettségi előtti tanulmányok szakképzésbe, illetve felsőfokú tanulmányokba történő beszámításához a vizsgázónak lehetősége van a közlekedési alapismeretek vizsgatárgy</w:t>
      </w:r>
    </w:p>
    <w:p w:rsidR="004C2997" w:rsidRDefault="004C2997" w:rsidP="004C2997">
      <w:pPr>
        <w:autoSpaceDE w:val="0"/>
        <w:autoSpaceDN w:val="0"/>
        <w:adjustRightInd w:val="0"/>
        <w:spacing w:after="0" w:line="240" w:lineRule="auto"/>
        <w:ind w:firstLine="454"/>
        <w:rPr>
          <w:rFonts w:ascii="Times New Roman" w:hAnsi="Times New Roman" w:cs="Times New Roman"/>
          <w:sz w:val="20"/>
          <w:szCs w:val="20"/>
        </w:rPr>
      </w:pPr>
      <w:r>
        <w:rPr>
          <w:rFonts w:ascii="Times New Roman" w:hAnsi="Times New Roman" w:cs="Times New Roman"/>
          <w:sz w:val="20"/>
          <w:szCs w:val="20"/>
        </w:rPr>
        <w:t>a) közlekedés-üzemvitel vagy</w:t>
      </w:r>
    </w:p>
    <w:p w:rsidR="004C2997" w:rsidRDefault="004C2997" w:rsidP="004C2997">
      <w:pPr>
        <w:autoSpaceDE w:val="0"/>
        <w:autoSpaceDN w:val="0"/>
        <w:adjustRightInd w:val="0"/>
        <w:spacing w:after="0" w:line="240" w:lineRule="auto"/>
        <w:ind w:firstLine="454"/>
        <w:rPr>
          <w:rFonts w:ascii="Times New Roman" w:hAnsi="Times New Roman" w:cs="Times New Roman"/>
          <w:sz w:val="20"/>
          <w:szCs w:val="20"/>
        </w:rPr>
      </w:pPr>
      <w:r>
        <w:rPr>
          <w:rFonts w:ascii="Times New Roman" w:hAnsi="Times New Roman" w:cs="Times New Roman"/>
          <w:sz w:val="20"/>
          <w:szCs w:val="20"/>
        </w:rPr>
        <w:t>b) közlekedéstechnika részei közül választani, a tanulása során elsajátított (a követelményekben részletesen meghatározott szintű) ismeretek és készségek meglétét közép-, illetve emelt szintű érettségi vizsgán bizonyítani.</w:t>
      </w:r>
    </w:p>
    <w:p w:rsidR="004C2997" w:rsidRDefault="004C2997" w:rsidP="004C2997">
      <w:pPr>
        <w:autoSpaceDE w:val="0"/>
        <w:autoSpaceDN w:val="0"/>
        <w:adjustRightInd w:val="0"/>
        <w:spacing w:after="0" w:line="240" w:lineRule="auto"/>
        <w:ind w:firstLine="454"/>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b/>
          <w:bCs/>
          <w:sz w:val="20"/>
          <w:szCs w:val="20"/>
        </w:rPr>
        <w:t>KÖZLEKEDÉS-ÜZEMVITEL</w:t>
      </w:r>
    </w:p>
    <w:p w:rsidR="004C2997" w:rsidRDefault="004C2997" w:rsidP="004C2997">
      <w:pPr>
        <w:autoSpaceDE w:val="0"/>
        <w:autoSpaceDN w:val="0"/>
        <w:adjustRightInd w:val="0"/>
        <w:spacing w:before="120" w:after="1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középszintű közlekedési alapismeretek érettségi vizsga célja annak megállapítása, hogy a vizsgázó</w:t>
      </w:r>
    </w:p>
    <w:p w:rsidR="004C2997" w:rsidRDefault="004C2997" w:rsidP="004C2997">
      <w:pPr>
        <w:autoSpaceDE w:val="0"/>
        <w:autoSpaceDN w:val="0"/>
        <w:adjustRightInd w:val="0"/>
        <w:spacing w:after="0" w:line="240" w:lineRule="auto"/>
        <w:ind w:left="397"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ismeri-e a közlekedés felépítését, annak szerkezetét,</w:t>
      </w:r>
    </w:p>
    <w:p w:rsidR="004C2997" w:rsidRDefault="004C2997" w:rsidP="004C2997">
      <w:pPr>
        <w:autoSpaceDE w:val="0"/>
        <w:autoSpaceDN w:val="0"/>
        <w:adjustRightInd w:val="0"/>
        <w:spacing w:after="0" w:line="240" w:lineRule="auto"/>
        <w:ind w:left="397"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tájékozott-e a szakképesítések sajátosságait illetően,</w:t>
      </w:r>
    </w:p>
    <w:p w:rsidR="004C2997" w:rsidRDefault="004C2997" w:rsidP="004C2997">
      <w:pPr>
        <w:autoSpaceDE w:val="0"/>
        <w:autoSpaceDN w:val="0"/>
        <w:adjustRightInd w:val="0"/>
        <w:spacing w:after="0" w:line="240" w:lineRule="auto"/>
        <w:ind w:left="397"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ismeretei alkalmasak-e az átgondolt szakképesítés választáshoz és a szakképzésbe történő bekapcsolódáshoz,</w:t>
      </w:r>
    </w:p>
    <w:p w:rsidR="004C2997" w:rsidRDefault="004C2997" w:rsidP="004C2997">
      <w:pPr>
        <w:tabs>
          <w:tab w:val="left" w:pos="139"/>
        </w:tabs>
        <w:autoSpaceDE w:val="0"/>
        <w:autoSpaceDN w:val="0"/>
        <w:adjustRightInd w:val="0"/>
        <w:spacing w:after="0" w:line="240" w:lineRule="auto"/>
        <w:ind w:left="397"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képes-e helyesen alkalmazni a díjképzés alapelveit,</w:t>
      </w:r>
    </w:p>
    <w:p w:rsidR="004C2997" w:rsidRDefault="004C2997" w:rsidP="004C2997">
      <w:pPr>
        <w:autoSpaceDE w:val="0"/>
        <w:autoSpaceDN w:val="0"/>
        <w:adjustRightInd w:val="0"/>
        <w:spacing w:after="0" w:line="240" w:lineRule="auto"/>
        <w:ind w:left="397"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képes-e alkalmazni a díjképzésre vonatkozó alapelveket, eljárásokat és módszereket,</w:t>
      </w:r>
    </w:p>
    <w:p w:rsidR="004C2997" w:rsidRDefault="004C2997" w:rsidP="004C2997">
      <w:pPr>
        <w:tabs>
          <w:tab w:val="left" w:pos="139"/>
        </w:tabs>
        <w:autoSpaceDE w:val="0"/>
        <w:autoSpaceDN w:val="0"/>
        <w:adjustRightInd w:val="0"/>
        <w:spacing w:after="0" w:line="240" w:lineRule="auto"/>
        <w:ind w:left="397"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ismeri-e a személyszállító közlekedési eszközök fajtáit és azok jellemzőit,</w:t>
      </w:r>
    </w:p>
    <w:p w:rsidR="004C2997" w:rsidRDefault="004C2997" w:rsidP="004C2997">
      <w:pPr>
        <w:tabs>
          <w:tab w:val="left" w:pos="139"/>
        </w:tabs>
        <w:autoSpaceDE w:val="0"/>
        <w:autoSpaceDN w:val="0"/>
        <w:adjustRightInd w:val="0"/>
        <w:spacing w:after="0" w:line="240" w:lineRule="auto"/>
        <w:ind w:left="397"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ismeri-e az áruszállító közlekedési eszközök fajtáit és azok jellemzőit,</w:t>
      </w:r>
    </w:p>
    <w:p w:rsidR="004C2997" w:rsidRDefault="004C2997" w:rsidP="004C2997">
      <w:pPr>
        <w:tabs>
          <w:tab w:val="left" w:pos="139"/>
        </w:tabs>
        <w:autoSpaceDE w:val="0"/>
        <w:autoSpaceDN w:val="0"/>
        <w:adjustRightInd w:val="0"/>
        <w:spacing w:after="0" w:line="240" w:lineRule="auto"/>
        <w:ind w:left="397"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ismeri-e az egyes, közlekedésben alkalmazott rakodó és anyagmozgató eszközök fajtáit és azok jellemzőit,</w:t>
      </w:r>
    </w:p>
    <w:p w:rsidR="004C2997" w:rsidRDefault="004C2997" w:rsidP="004C2997">
      <w:pPr>
        <w:tabs>
          <w:tab w:val="left" w:pos="0"/>
        </w:tabs>
        <w:autoSpaceDE w:val="0"/>
        <w:autoSpaceDN w:val="0"/>
        <w:adjustRightInd w:val="0"/>
        <w:spacing w:after="0" w:line="240" w:lineRule="auto"/>
        <w:ind w:left="397"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tud-e áruszállítási és személyszállítási fuvardíj-alapszámításokat végezni,</w:t>
      </w:r>
    </w:p>
    <w:p w:rsidR="004C2997" w:rsidRDefault="004C2997" w:rsidP="004C2997">
      <w:pPr>
        <w:tabs>
          <w:tab w:val="left" w:pos="0"/>
        </w:tabs>
        <w:autoSpaceDE w:val="0"/>
        <w:autoSpaceDN w:val="0"/>
        <w:adjustRightInd w:val="0"/>
        <w:spacing w:after="0" w:line="240" w:lineRule="auto"/>
        <w:ind w:left="397"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ismeri-e Magyarország és Európa közlekedési hálózatát és azok jellemzőit közlekedési ágazatonként,</w:t>
      </w:r>
    </w:p>
    <w:p w:rsidR="004C2997" w:rsidRDefault="004C2997" w:rsidP="004C2997">
      <w:pPr>
        <w:tabs>
          <w:tab w:val="left" w:pos="139"/>
        </w:tabs>
        <w:autoSpaceDE w:val="0"/>
        <w:autoSpaceDN w:val="0"/>
        <w:adjustRightInd w:val="0"/>
        <w:spacing w:after="0" w:line="240" w:lineRule="auto"/>
        <w:ind w:left="397"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képes-e közlekedési útvonalat tervezni.</w:t>
      </w:r>
    </w:p>
    <w:p w:rsidR="004C2997" w:rsidRDefault="004C2997" w:rsidP="004C2997">
      <w:pPr>
        <w:autoSpaceDE w:val="0"/>
        <w:autoSpaceDN w:val="0"/>
        <w:adjustRightInd w:val="0"/>
        <w:spacing w:after="0" w:line="240" w:lineRule="auto"/>
        <w:rPr>
          <w:rFonts w:ascii="Times New Roman" w:hAnsi="Times New Roman" w:cs="Times New Roman"/>
          <w:color w:val="000000"/>
          <w:sz w:val="20"/>
          <w:szCs w:val="20"/>
        </w:rPr>
      </w:pPr>
    </w:p>
    <w:p w:rsidR="004C2997" w:rsidRDefault="004C2997" w:rsidP="004C2997">
      <w:pPr>
        <w:autoSpaceDE w:val="0"/>
        <w:autoSpaceDN w:val="0"/>
        <w:adjustRightInd w:val="0"/>
        <w:spacing w:before="120" w:after="1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emelt szintű közlekedési alapismeretek érettségi vizsga célja annak megállapítása, hogy a vizsgázó</w:t>
      </w:r>
    </w:p>
    <w:p w:rsidR="004C2997" w:rsidRDefault="004C2997" w:rsidP="004C2997">
      <w:pPr>
        <w:tabs>
          <w:tab w:val="left" w:pos="360"/>
          <w:tab w:val="left" w:pos="397"/>
        </w:tabs>
        <w:autoSpaceDE w:val="0"/>
        <w:autoSpaceDN w:val="0"/>
        <w:adjustRightInd w:val="0"/>
        <w:spacing w:after="0" w:line="240" w:lineRule="auto"/>
        <w:ind w:left="397" w:right="150" w:hanging="284"/>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rendelkezik-e olyan közlekedés-üzemvitel alapozó ismeretekkel, amelyek alkalmassá teszik a szakképzésbe történő bekapcsolódásra és a szakmai képzés sikeres befejezésére,</w:t>
      </w:r>
    </w:p>
    <w:p w:rsidR="004C2997" w:rsidRDefault="004C2997" w:rsidP="004C2997">
      <w:pPr>
        <w:tabs>
          <w:tab w:val="left" w:pos="360"/>
          <w:tab w:val="left" w:pos="397"/>
        </w:tabs>
        <w:autoSpaceDE w:val="0"/>
        <w:autoSpaceDN w:val="0"/>
        <w:adjustRightInd w:val="0"/>
        <w:spacing w:after="0" w:line="240" w:lineRule="auto"/>
        <w:ind w:left="397"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tud-e véleményt alkotni a közlekedés gazdasági jelentőségéről és a gazdaságra gyakorolt hatásairól,</w:t>
      </w:r>
    </w:p>
    <w:p w:rsidR="004C2997" w:rsidRDefault="004C2997" w:rsidP="004C2997">
      <w:pPr>
        <w:tabs>
          <w:tab w:val="left" w:pos="139"/>
          <w:tab w:val="left" w:pos="360"/>
          <w:tab w:val="left" w:pos="397"/>
        </w:tabs>
        <w:autoSpaceDE w:val="0"/>
        <w:autoSpaceDN w:val="0"/>
        <w:adjustRightInd w:val="0"/>
        <w:spacing w:after="0" w:line="240" w:lineRule="auto"/>
        <w:ind w:left="397"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tudja-e alkalmazni járműismereti tudását a személyt és áruszállítási feladatok ellátásában,</w:t>
      </w:r>
    </w:p>
    <w:p w:rsidR="004C2997" w:rsidRDefault="004C2997" w:rsidP="004C2997">
      <w:pPr>
        <w:tabs>
          <w:tab w:val="left" w:pos="139"/>
          <w:tab w:val="left" w:pos="360"/>
          <w:tab w:val="left" w:pos="397"/>
        </w:tabs>
        <w:autoSpaceDE w:val="0"/>
        <w:autoSpaceDN w:val="0"/>
        <w:adjustRightInd w:val="0"/>
        <w:spacing w:after="0" w:line="240" w:lineRule="auto"/>
        <w:ind w:left="397"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képes-e fuvarjogi ismereteit alkalmazni a fuvarozási feladatok ellátásában,</w:t>
      </w:r>
    </w:p>
    <w:p w:rsidR="004C2997" w:rsidRDefault="004C2997" w:rsidP="004C2997">
      <w:pPr>
        <w:tabs>
          <w:tab w:val="left" w:pos="139"/>
          <w:tab w:val="left" w:pos="360"/>
          <w:tab w:val="left" w:pos="397"/>
        </w:tabs>
        <w:autoSpaceDE w:val="0"/>
        <w:autoSpaceDN w:val="0"/>
        <w:adjustRightInd w:val="0"/>
        <w:spacing w:after="0" w:line="240" w:lineRule="auto"/>
        <w:ind w:left="397"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tud-e gazdasági szempontok szerint fuvarozási feladatokat elemezni, értékelni,</w:t>
      </w:r>
    </w:p>
    <w:p w:rsidR="004C2997" w:rsidRDefault="004C2997" w:rsidP="004C2997">
      <w:pPr>
        <w:tabs>
          <w:tab w:val="left" w:pos="139"/>
          <w:tab w:val="left" w:pos="360"/>
          <w:tab w:val="left" w:pos="397"/>
        </w:tabs>
        <w:autoSpaceDE w:val="0"/>
        <w:autoSpaceDN w:val="0"/>
        <w:adjustRightInd w:val="0"/>
        <w:spacing w:after="0" w:line="240" w:lineRule="auto"/>
        <w:ind w:left="397"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tud-e katalógusokat, menetdíjtáblázatokat használni a fuvarozás megtervezéséhez,</w:t>
      </w:r>
    </w:p>
    <w:p w:rsidR="004C2997" w:rsidRDefault="004C2997" w:rsidP="004C2997">
      <w:pPr>
        <w:tabs>
          <w:tab w:val="left" w:pos="139"/>
          <w:tab w:val="left" w:pos="360"/>
          <w:tab w:val="left" w:pos="397"/>
        </w:tabs>
        <w:autoSpaceDE w:val="0"/>
        <w:autoSpaceDN w:val="0"/>
        <w:adjustRightInd w:val="0"/>
        <w:spacing w:after="0" w:line="240" w:lineRule="auto"/>
        <w:ind w:left="397" w:hanging="284"/>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color w:val="000000"/>
          <w:sz w:val="20"/>
          <w:szCs w:val="20"/>
        </w:rPr>
        <w:t>tud-e megfogalmazni a biztonságos fuvarozási feltételek megteremtésére vonatkozó igényeket, ismérveket.</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sectPr w:rsidR="004C2997">
          <w:pgSz w:w="11906" w:h="16838"/>
          <w:pgMar w:top="1134" w:right="1134" w:bottom="1134" w:left="1134" w:header="708" w:footer="708" w:gutter="0"/>
          <w:cols w:space="708"/>
          <w:noEndnote/>
        </w:sect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304"/>
        <w:gridCol w:w="6743"/>
        <w:gridCol w:w="8"/>
        <w:gridCol w:w="3635"/>
      </w:tblGrid>
      <w:tr w:rsidR="004C2997">
        <w:tblPrEx>
          <w:tblCellMar>
            <w:top w:w="0" w:type="dxa"/>
            <w:bottom w:w="0" w:type="dxa"/>
          </w:tblCellMar>
        </w:tblPrEx>
        <w:trPr>
          <w:jc w:val="center"/>
        </w:trPr>
        <w:tc>
          <w:tcPr>
            <w:tcW w:w="4304" w:type="dxa"/>
            <w:shd w:val="clear"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6751" w:type="dxa"/>
            <w:gridSpan w:val="2"/>
            <w:shd w:val="clear"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3635" w:type="dxa"/>
            <w:shd w:val="clear"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w:t>
            </w:r>
            <w:r>
              <w:rPr>
                <w:rFonts w:ascii="Times New Roman" w:hAnsi="Times New Roman" w:cs="Times New Roman"/>
                <w:b/>
                <w:bCs/>
                <w:sz w:val="20"/>
                <w:szCs w:val="20"/>
              </w:rPr>
              <w:br/>
              <w:t>emelt szinten</w:t>
            </w:r>
          </w:p>
        </w:tc>
      </w:tr>
      <w:tr w:rsidR="004C2997">
        <w:tblPrEx>
          <w:tblCellMar>
            <w:top w:w="0" w:type="dxa"/>
            <w:bottom w:w="0" w:type="dxa"/>
          </w:tblCellMar>
        </w:tblPrEx>
        <w:trPr>
          <w:cantSplit/>
          <w:jc w:val="center"/>
        </w:trPr>
        <w:tc>
          <w:tcPr>
            <w:tcW w:w="14690" w:type="dxa"/>
            <w:gridSpan w:val="4"/>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Közlekedési alapismeretek</w:t>
            </w:r>
          </w:p>
        </w:tc>
      </w:tr>
      <w:tr w:rsidR="004C2997">
        <w:tblPrEx>
          <w:tblCellMar>
            <w:top w:w="0" w:type="dxa"/>
            <w:bottom w:w="0" w:type="dxa"/>
          </w:tblCellMar>
        </w:tblPrEx>
        <w:trPr>
          <w:jc w:val="center"/>
        </w:trPr>
        <w:tc>
          <w:tcPr>
            <w:tcW w:w="43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Közlekedési alapismeretek</w:t>
            </w:r>
          </w:p>
        </w:tc>
        <w:tc>
          <w:tcPr>
            <w:tcW w:w="67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közlekedési alapfogalmakat és ismérveit: (közlekedés, szállítás, fuvarozás, szállítmányozás, bérlet).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sz w:val="20"/>
                <w:szCs w:val="20"/>
              </w:rPr>
              <w:t>Ismertesse a közlekedés történeti áttekintését, közlekedési ágazatonként.</w:t>
            </w:r>
            <w:r>
              <w:rPr>
                <w:rFonts w:ascii="Times New Roman" w:hAnsi="Times New Roman" w:cs="Times New Roman"/>
                <w:sz w:val="20"/>
                <w:szCs w:val="20"/>
              </w:rPr>
              <w:br/>
              <w:t xml:space="preserve">Ismertesse a közlekedés és a környezet kapcsolatát (helyzetértékelés, prognózisok, feladatok). </w:t>
            </w:r>
            <w:r>
              <w:rPr>
                <w:rFonts w:ascii="Times New Roman" w:hAnsi="Times New Roman" w:cs="Times New Roman"/>
                <w:sz w:val="20"/>
                <w:szCs w:val="20"/>
              </w:rPr>
              <w:br/>
            </w:r>
            <w:r>
              <w:rPr>
                <w:rFonts w:ascii="Times New Roman" w:hAnsi="Times New Roman" w:cs="Times New Roman"/>
                <w:color w:val="000000"/>
                <w:sz w:val="20"/>
                <w:szCs w:val="20"/>
              </w:rPr>
              <w:t>Ismertesse a természet- és a környezetvédelem célját, fő feladatait.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Sorolja fel környezetünk szennyező forrásait és ismertesse a szennyezés megelőzésének, illetve megszüntetésének lehetőségeit.</w:t>
            </w:r>
            <w:r>
              <w:rPr>
                <w:rFonts w:ascii="Times New Roman" w:hAnsi="Times New Roman" w:cs="Times New Roman"/>
                <w:sz w:val="20"/>
                <w:szCs w:val="20"/>
              </w:rPr>
              <w:t xml:space="preserve"> </w:t>
            </w:r>
          </w:p>
        </w:tc>
        <w:tc>
          <w:tcPr>
            <w:tcW w:w="364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elemezni a közlekedés jelentőségét, sajátosságait, felbontását, rendszerezését (szárazföldi, vízi, légi, csővezetékes szállítás, hírközlés).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érvekkel bizonyítani a közlekedési szükségletek és igények keletkezését, az áruáramlatok kialakulásának okait.</w:t>
            </w:r>
          </w:p>
        </w:tc>
      </w:tr>
      <w:tr w:rsidR="004C2997">
        <w:tblPrEx>
          <w:tblCellMar>
            <w:top w:w="0" w:type="dxa"/>
            <w:bottom w:w="0" w:type="dxa"/>
          </w:tblCellMar>
        </w:tblPrEx>
        <w:trPr>
          <w:jc w:val="center"/>
        </w:trPr>
        <w:tc>
          <w:tcPr>
            <w:tcW w:w="43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közlekedés technikai elemei</w:t>
            </w:r>
          </w:p>
        </w:tc>
        <w:tc>
          <w:tcPr>
            <w:tcW w:w="67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pálya és a jármű kapcsolatát, a vonóerőigényt, a teljesítmény-szükségletet.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64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fékezéssel kapcsolatos fogalmakat és azok meghatározását, a fékezéssel kapcsolatos nemzetközi és hazai előírásokat.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jármű stabilitását befolyásoló tényezőket ívmenetben és fékezéskor.</w:t>
            </w:r>
          </w:p>
        </w:tc>
      </w:tr>
      <w:tr w:rsidR="004C2997">
        <w:tblPrEx>
          <w:tblCellMar>
            <w:top w:w="0" w:type="dxa"/>
            <w:bottom w:w="0" w:type="dxa"/>
          </w:tblCellMar>
        </w:tblPrEx>
        <w:trPr>
          <w:jc w:val="center"/>
        </w:trPr>
        <w:tc>
          <w:tcPr>
            <w:tcW w:w="4304" w:type="dxa"/>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Vasúti közlekedés</w:t>
            </w:r>
          </w:p>
        </w:tc>
        <w:tc>
          <w:tcPr>
            <w:tcW w:w="6743" w:type="dxa"/>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Ismerje a magyar vasúti hálózat felépítését és tudja jellemezni a fővonalakat.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Ismerje a vasúti vontató, személy és teherszállító járműveket felépítés és alkalmazhatóság szerint.</w:t>
            </w:r>
          </w:p>
        </w:tc>
        <w:tc>
          <w:tcPr>
            <w:tcW w:w="364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vasúti vontató és vontatott járművek alaptípusait: dízel-mozdonyok, motorkocsik, villamos mozdonyok, személyszállító kocsik, teherkocsik.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egyes típusok alkalmazási területét.</w:t>
            </w:r>
          </w:p>
        </w:tc>
      </w:tr>
      <w:tr w:rsidR="004C2997">
        <w:tblPrEx>
          <w:tblCellMar>
            <w:top w:w="0" w:type="dxa"/>
            <w:bottom w:w="0" w:type="dxa"/>
          </w:tblCellMar>
        </w:tblPrEx>
        <w:trPr>
          <w:jc w:val="center"/>
        </w:trPr>
        <w:tc>
          <w:tcPr>
            <w:tcW w:w="43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Közúti közlekedés</w:t>
            </w:r>
          </w:p>
        </w:tc>
        <w:tc>
          <w:tcPr>
            <w:tcW w:w="67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közúti járművek fajtáit, csoportosításukat, környezeti hatásukat.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ismertetni a közúti közlekedés járműveit.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felsorolni a gépjárművek főbb részeit és tudja ismertetni azok működését.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64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kiszámítani a motor főbb méreteit, a motor teljesítményét, a szükséges vonóerőt, a teljesítményt, a szükséges tüzelőanyag mennyiségét, a fajlagos tüzelőanyag- fogyasztást, a féktávolságot, a fékutat.</w:t>
            </w:r>
          </w:p>
        </w:tc>
      </w:tr>
      <w:tr w:rsidR="004C2997">
        <w:tblPrEx>
          <w:tblCellMar>
            <w:top w:w="0" w:type="dxa"/>
            <w:bottom w:w="0" w:type="dxa"/>
          </w:tblCellMar>
        </w:tblPrEx>
        <w:trPr>
          <w:jc w:val="center"/>
        </w:trPr>
        <w:tc>
          <w:tcPr>
            <w:tcW w:w="43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Vízi közlekedés</w:t>
            </w:r>
          </w:p>
        </w:tc>
        <w:tc>
          <w:tcPr>
            <w:tcW w:w="67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magyar hajózás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vízi közlekedés járműveit felépítés és alkalmazhatóság szerint.</w:t>
            </w:r>
          </w:p>
        </w:tc>
        <w:tc>
          <w:tcPr>
            <w:tcW w:w="364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vízi közlekedés járműveit: belvízi hajók (önjáró hajók és gépnélküli uszályok), tengeri és folyam-tengeri hajók, halászhajók, üzemi hajók, különleges hajók.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Rendszerezze a hajókat méreteik és szerkezeti felépítésük szerint.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jc w:val="center"/>
        </w:trPr>
        <w:tc>
          <w:tcPr>
            <w:tcW w:w="4304" w:type="dxa"/>
          </w:tcPr>
          <w:p w:rsidR="004C2997" w:rsidRDefault="004C2997">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Légi közlekedés</w:t>
            </w:r>
          </w:p>
        </w:tc>
        <w:tc>
          <w:tcPr>
            <w:tcW w:w="6743" w:type="dxa"/>
          </w:tcPr>
          <w:p w:rsidR="004C2997" w:rsidRDefault="004C2997">
            <w:pPr>
              <w:autoSpaceDE w:val="0"/>
              <w:autoSpaceDN w:val="0"/>
              <w:adjustRightInd w:val="0"/>
              <w:spacing w:after="0" w:line="240" w:lineRule="auto"/>
              <w:ind w:left="56" w:right="56"/>
              <w:rPr>
                <w:rFonts w:ascii="Times New Roman" w:hAnsi="Times New Roman" w:cs="Times New Roman"/>
                <w:color w:val="000000"/>
                <w:sz w:val="20"/>
                <w:szCs w:val="20"/>
              </w:rPr>
            </w:pPr>
            <w:r>
              <w:rPr>
                <w:rFonts w:ascii="Times New Roman" w:hAnsi="Times New Roman" w:cs="Times New Roman"/>
                <w:color w:val="000000"/>
                <w:sz w:val="20"/>
                <w:szCs w:val="20"/>
              </w:rPr>
              <w:t>Ismerje a magyar légi közlekedés jellemzőit.</w:t>
            </w:r>
          </w:p>
          <w:p w:rsidR="004C2997" w:rsidRDefault="004C2997">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color w:val="000000"/>
                <w:sz w:val="20"/>
                <w:szCs w:val="20"/>
              </w:rPr>
              <w:lastRenderedPageBreak/>
              <w:t>Ismerje a légi szállítóeszközök fajtáit és alkalmazhatósági területüket.</w:t>
            </w:r>
          </w:p>
        </w:tc>
        <w:tc>
          <w:tcPr>
            <w:tcW w:w="364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Ismerje a merevszárnyú és a forgószárnyú </w:t>
            </w:r>
            <w:r>
              <w:rPr>
                <w:rFonts w:ascii="Times New Roman" w:hAnsi="Times New Roman" w:cs="Times New Roman"/>
                <w:sz w:val="20"/>
                <w:szCs w:val="20"/>
              </w:rPr>
              <w:lastRenderedPageBreak/>
              <w:t>repülőgép szerkezeteinek feladatát.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sebesség és a légellenállás között az összefüggést.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Rendszerezze a repülőgép-hajtóműveket működési elvük szerint.</w:t>
            </w:r>
          </w:p>
        </w:tc>
      </w:tr>
      <w:tr w:rsidR="004C2997">
        <w:tblPrEx>
          <w:tblCellMar>
            <w:top w:w="0" w:type="dxa"/>
            <w:bottom w:w="0" w:type="dxa"/>
          </w:tblCellMar>
        </w:tblPrEx>
        <w:trPr>
          <w:jc w:val="center"/>
        </w:trPr>
        <w:tc>
          <w:tcPr>
            <w:tcW w:w="4304" w:type="dxa"/>
          </w:tcPr>
          <w:p w:rsidR="004C2997" w:rsidRDefault="004C2997">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lastRenderedPageBreak/>
              <w:t>Csővezetékes szállítás</w:t>
            </w:r>
          </w:p>
        </w:tc>
        <w:tc>
          <w:tcPr>
            <w:tcW w:w="6743" w:type="dxa"/>
          </w:tcPr>
          <w:p w:rsidR="004C2997" w:rsidRDefault="004C2997">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Ismerje a csővezetékes szállítás technikai berendezéseit és technológiáját.</w:t>
            </w:r>
          </w:p>
        </w:tc>
        <w:tc>
          <w:tcPr>
            <w:tcW w:w="364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csővezetékes szállítás sajátos területeit (kőolaj és származékai, földgázszállítás, egyéb anyagok szállítása).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cantSplit/>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Környezetvédelmi és egészségvédelmi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alapfogalmak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Munkakörnyezet, ergonómia</w:t>
            </w:r>
          </w:p>
        </w:tc>
        <w:tc>
          <w:tcPr>
            <w:tcW w:w="6751"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Sorolja fel a munkahelyi környezeti tényezőket, ezek egészségkárosító hatásait, ismertesse a védekezés lehetőségeit.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635"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Definiálja az ergonómiát és ismertesse legfontosabb fogalmait.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munkahellyel szemben megfogalmazható legfontosabb ergonómiai követelményeket.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cantSplit/>
          <w:trHeight w:val="428"/>
          <w:jc w:val="center"/>
        </w:trPr>
        <w:tc>
          <w:tcPr>
            <w:tcW w:w="14690" w:type="dxa"/>
            <w:gridSpan w:val="4"/>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 Közlekedés-üzemviteli ismeretek</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A közlekedés forgalmi folyamatai</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w:t>
            </w:r>
          </w:p>
          <w:p w:rsidR="004C2997" w:rsidRDefault="004C2997">
            <w:pPr>
              <w:widowControl w:val="0"/>
              <w:tabs>
                <w:tab w:val="left" w:pos="437"/>
              </w:tabs>
              <w:autoSpaceDE w:val="0"/>
              <w:autoSpaceDN w:val="0"/>
              <w:adjustRightInd w:val="0"/>
              <w:spacing w:after="0" w:line="240" w:lineRule="auto"/>
              <w:ind w:left="437" w:right="40"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a vasúti közlekedés forgalmi folyamatait,</w:t>
            </w:r>
          </w:p>
          <w:p w:rsidR="004C2997" w:rsidRDefault="004C2997">
            <w:pPr>
              <w:widowControl w:val="0"/>
              <w:tabs>
                <w:tab w:val="left" w:pos="437"/>
              </w:tabs>
              <w:autoSpaceDE w:val="0"/>
              <w:autoSpaceDN w:val="0"/>
              <w:adjustRightInd w:val="0"/>
              <w:spacing w:after="0" w:line="240" w:lineRule="auto"/>
              <w:ind w:left="437" w:right="40"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a közúti és a városi közlekedés forgalmi folyamatait,</w:t>
            </w:r>
          </w:p>
          <w:p w:rsidR="004C2997" w:rsidRDefault="004C2997">
            <w:pPr>
              <w:widowControl w:val="0"/>
              <w:tabs>
                <w:tab w:val="left" w:pos="437"/>
              </w:tabs>
              <w:autoSpaceDE w:val="0"/>
              <w:autoSpaceDN w:val="0"/>
              <w:adjustRightInd w:val="0"/>
              <w:spacing w:after="0" w:line="240" w:lineRule="auto"/>
              <w:ind w:left="437" w:right="40"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a vízi közlekedés forgalmi folyamatait,</w:t>
            </w:r>
          </w:p>
          <w:p w:rsidR="004C2997" w:rsidRDefault="004C2997">
            <w:pPr>
              <w:widowControl w:val="0"/>
              <w:tabs>
                <w:tab w:val="left" w:pos="437"/>
              </w:tabs>
              <w:autoSpaceDE w:val="0"/>
              <w:autoSpaceDN w:val="0"/>
              <w:adjustRightInd w:val="0"/>
              <w:spacing w:after="0" w:line="240" w:lineRule="auto"/>
              <w:ind w:left="437" w:right="40"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a légi közlekedés forgalmi folyamatait,</w:t>
            </w:r>
          </w:p>
          <w:p w:rsidR="004C2997" w:rsidRDefault="004C2997">
            <w:pPr>
              <w:widowControl w:val="0"/>
              <w:tabs>
                <w:tab w:val="left" w:pos="437"/>
              </w:tabs>
              <w:autoSpaceDE w:val="0"/>
              <w:autoSpaceDN w:val="0"/>
              <w:adjustRightInd w:val="0"/>
              <w:spacing w:after="0" w:line="240" w:lineRule="auto"/>
              <w:ind w:left="437" w:right="40"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a csővezetékes szállítás jellemzőit.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left="30" w:hanging="14"/>
              <w:rPr>
                <w:rFonts w:ascii="Times New Roman" w:hAnsi="Times New Roman" w:cs="Times New Roman"/>
                <w:color w:val="000000"/>
                <w:sz w:val="20"/>
                <w:szCs w:val="20"/>
              </w:rPr>
            </w:pPr>
            <w:r>
              <w:rPr>
                <w:rFonts w:ascii="Times New Roman" w:hAnsi="Times New Roman" w:cs="Times New Roman"/>
                <w:color w:val="000000"/>
                <w:sz w:val="20"/>
                <w:szCs w:val="20"/>
              </w:rPr>
              <w:t>Tudja elemezni az egyes alágazatok forgalmi folyamatainak sajátosságait.</w:t>
            </w:r>
          </w:p>
          <w:p w:rsidR="004C2997" w:rsidRDefault="004C2997">
            <w:pPr>
              <w:autoSpaceDE w:val="0"/>
              <w:autoSpaceDN w:val="0"/>
              <w:adjustRightInd w:val="0"/>
              <w:spacing w:after="0" w:line="240" w:lineRule="auto"/>
              <w:ind w:left="30" w:hanging="14"/>
              <w:rPr>
                <w:rFonts w:ascii="Times New Roman" w:hAnsi="Times New Roman" w:cs="Times New Roman"/>
                <w:color w:val="000000"/>
                <w:sz w:val="20"/>
                <w:szCs w:val="20"/>
              </w:rPr>
            </w:pPr>
            <w:r>
              <w:rPr>
                <w:rFonts w:ascii="Times New Roman" w:hAnsi="Times New Roman" w:cs="Times New Roman"/>
                <w:color w:val="000000"/>
                <w:sz w:val="20"/>
                <w:szCs w:val="20"/>
              </w:rPr>
              <w:t>Tudjon összehasonlító elemzést készíteni az egyes forgalmi folyamatokra vonatkozóan.</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trHeight w:val="1216"/>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A fuvarozási folyamat</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fuvarozási folyamat elemeit.,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Tudja jellemezni</w:t>
            </w:r>
          </w:p>
          <w:p w:rsidR="004C2997" w:rsidRDefault="004C2997">
            <w:pPr>
              <w:widowControl w:val="0"/>
              <w:tabs>
                <w:tab w:val="left" w:pos="437"/>
              </w:tabs>
              <w:autoSpaceDE w:val="0"/>
              <w:autoSpaceDN w:val="0"/>
              <w:adjustRightInd w:val="0"/>
              <w:spacing w:after="0" w:line="240" w:lineRule="auto"/>
              <w:ind w:left="437" w:right="40"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a fuvarozás előkészítésével kapcsolatos feladatokat,</w:t>
            </w:r>
          </w:p>
          <w:p w:rsidR="004C2997" w:rsidRDefault="004C2997">
            <w:pPr>
              <w:widowControl w:val="0"/>
              <w:tabs>
                <w:tab w:val="left" w:pos="437"/>
              </w:tabs>
              <w:autoSpaceDE w:val="0"/>
              <w:autoSpaceDN w:val="0"/>
              <w:adjustRightInd w:val="0"/>
              <w:spacing w:after="0" w:line="240" w:lineRule="auto"/>
              <w:ind w:left="437" w:right="40"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a fuvarozás végrehajtásával kapcsolatos feladatokat,</w:t>
            </w:r>
          </w:p>
          <w:p w:rsidR="004C2997" w:rsidRDefault="004C2997">
            <w:pPr>
              <w:widowControl w:val="0"/>
              <w:tabs>
                <w:tab w:val="left" w:pos="437"/>
              </w:tabs>
              <w:autoSpaceDE w:val="0"/>
              <w:autoSpaceDN w:val="0"/>
              <w:adjustRightInd w:val="0"/>
              <w:spacing w:after="0" w:line="240" w:lineRule="auto"/>
              <w:ind w:left="437" w:right="40" w:hanging="284"/>
              <w:rPr>
                <w:rFonts w:ascii="Times New Roman" w:hAnsi="Times New Roman" w:cs="Times New Roman"/>
                <w:color w:val="000000"/>
                <w:sz w:val="20"/>
                <w:szCs w:val="20"/>
              </w:rPr>
            </w:pPr>
            <w:r>
              <w:rPr>
                <w:rFonts w:ascii="Symbol" w:hAnsi="Symbol" w:cs="Symbol"/>
                <w:color w:val="000000"/>
                <w:sz w:val="20"/>
                <w:szCs w:val="20"/>
              </w:rPr>
              <w:t></w:t>
            </w:r>
            <w:r>
              <w:rPr>
                <w:rFonts w:ascii="Symbol" w:hAnsi="Symbol" w:cs="Symbol"/>
                <w:color w:val="000000"/>
                <w:sz w:val="20"/>
                <w:szCs w:val="20"/>
              </w:rPr>
              <w:tab/>
            </w:r>
            <w:r>
              <w:rPr>
                <w:rFonts w:ascii="Times New Roman" w:hAnsi="Times New Roman" w:cs="Times New Roman"/>
                <w:color w:val="000000"/>
                <w:sz w:val="20"/>
                <w:szCs w:val="20"/>
              </w:rPr>
              <w:t>a fuvarozás befejezésével kapcsolatos feladatokat.</w:t>
            </w: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Tudjon párhuzamot vonni a jogi szabályozás és a forgalmi folyamatok elemei között.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trHeight w:val="1216"/>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 xml:space="preserve">Árutovábbítási technológia </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az árutovábbítás technológiai folyamatait.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közlekedési alágazatonként az árufuvarozás technológiai sajátosságait, a belföldi és a nemzetközi fuvarozás szervezésének feltételeit.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az árufuvarozás okmányait.</w:t>
            </w: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Tudja alkalmazni az árufuvarozási technológia sajátosságait az árufuvarozás szervezésében.</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Képes legyen a fuvarozás lényeges adatainak kitöltésére a fuvarokmányokban.</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trHeight w:val="80"/>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Személyszállítási technológia</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személyszállítási technológia jellemzőit és eszközeit.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az üzemi és utasforgalmi létesítményrendszereket.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Tudja jellemezni a menetrendszerinti-, különjárati-, szerződéses- és bérautóbusz-közlekedést, a személygépkocsival történő személyszállítást.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nemzetközi személyfuvarozás fontosabb feltételeit.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személyszállítás okmányait.</w:t>
            </w: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Tudja elemezni és összehasonlítani az egyes személyszállítási technológiákat.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trHeight w:val="757"/>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A személyszállítás szervezése</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személyszállítási rendszereket.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személyszállítási szerződések lényegesebb feltételeit közlekedési alágazatonként.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Tudja a személyszállítás tervezésének, vezénylésének folyamatait.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forgalmi szolgálat tevékenységeit.</w:t>
            </w: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Tudjon egyszerűbb személyszállítási feladatot tervezni a menetrend szerinti, a szerződéses, a bérelt és a különjárati feltételek szerint.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trHeight w:val="1216"/>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Díjszámítási ismeretek</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díjszabási alapfogalmakat.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Tudja a fuvarköltségeket meghatározó tényezőket.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díjszabások szerkezetét.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Tudja jellemezni az ágazatonkénti díjszabásokat.</w:t>
            </w: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Díjszabási táblázatok segítségével tudjon fuvardíjat számítani.</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cantSplit/>
          <w:trHeight w:val="550"/>
          <w:jc w:val="center"/>
        </w:trPr>
        <w:tc>
          <w:tcPr>
            <w:tcW w:w="14690" w:type="dxa"/>
            <w:gridSpan w:val="4"/>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color w:val="000000"/>
                <w:sz w:val="20"/>
                <w:szCs w:val="20"/>
              </w:rPr>
            </w:pPr>
          </w:p>
          <w:p w:rsidR="004C2997" w:rsidRDefault="004C299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3. Jogi és gazdálkodási ismeretek</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Közlekedés-gazdaságtani alapismeretek</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közlekedés társadalmi-gazdasági szerepét, a piac fogalmát a közlekedésben.</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Tudja meghatározni a közlekedés teljesítőképességét.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közlekedés infrastruktúráját.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közlekedés gazdasági elemzésének módszereit.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közlekedési vállalkozás létrehozásának feltételeit.</w:t>
            </w: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Tudják érvekkel bizonyítani a közlekedési szükségletek és igények keletkezését, az áruáramlatok kialakulásának okait.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trHeight w:val="731"/>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Jogi ismeretek</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magyar jogrendszer felépítését.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kötelmi jog alapjait.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szállítmányozás belföldi és nemzetközi szabályozását.</w:t>
            </w: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Tudja elemezni a kötelmi jog és a fuvarozás belföldi és nemzetközi szabályozása közötti összefüggéseket.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A fuvarozási szerződések</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fuvarozás belföldi és nemzetközi szabályozását közlekedési alágazatonként.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fuvarozási szerződés megkötésére, a fuvarozási szerződés tartalmára és a fuvarozási szerződés megszűnésére vonatkozó szabályozásokat.</w:t>
            </w: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Elképzelt esettanulmányok elemzésével tudja bemutatni a fuvarozás szabályozását.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cantSplit/>
          <w:jc w:val="center"/>
        </w:trPr>
        <w:tc>
          <w:tcPr>
            <w:tcW w:w="14690" w:type="dxa"/>
            <w:gridSpan w:val="4"/>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br/>
              <w:t>4. Közlekedési földrajz</w:t>
            </w:r>
          </w:p>
          <w:p w:rsidR="004C2997" w:rsidRDefault="004C2997">
            <w:pPr>
              <w:autoSpaceDE w:val="0"/>
              <w:autoSpaceDN w:val="0"/>
              <w:adjustRightInd w:val="0"/>
              <w:spacing w:after="0" w:line="240" w:lineRule="auto"/>
              <w:rPr>
                <w:rFonts w:ascii="Times New Roman" w:hAnsi="Times New Roman" w:cs="Times New Roman"/>
                <w:b/>
                <w:bCs/>
                <w:color w:val="000000"/>
                <w:sz w:val="20"/>
                <w:szCs w:val="20"/>
              </w:rPr>
            </w:pP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Közlekedés-földrajzi alapismeretek</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sz w:val="20"/>
                <w:szCs w:val="20"/>
              </w:rPr>
            </w:pPr>
            <w:r>
              <w:rPr>
                <w:rFonts w:ascii="Times New Roman" w:hAnsi="Times New Roman" w:cs="Times New Roman"/>
                <w:color w:val="000000"/>
                <w:sz w:val="20"/>
                <w:szCs w:val="20"/>
              </w:rPr>
              <w:t>Ismerje a</w:t>
            </w:r>
            <w:r>
              <w:rPr>
                <w:rFonts w:ascii="Times New Roman" w:hAnsi="Times New Roman" w:cs="Times New Roman"/>
                <w:sz w:val="20"/>
                <w:szCs w:val="20"/>
              </w:rPr>
              <w:t xml:space="preserve"> térkép jelrendszerét, a térképek fajtáit</w:t>
            </w:r>
          </w:p>
          <w:p w:rsidR="004C2997" w:rsidRDefault="004C2997">
            <w:pPr>
              <w:widowControl w:val="0"/>
              <w:autoSpaceDE w:val="0"/>
              <w:autoSpaceDN w:val="0"/>
              <w:adjustRightInd w:val="0"/>
              <w:spacing w:after="0" w:line="240" w:lineRule="auto"/>
              <w:ind w:left="40" w:right="40"/>
              <w:rPr>
                <w:rFonts w:ascii="Times New Roman" w:hAnsi="Times New Roman" w:cs="Times New Roman"/>
                <w:sz w:val="20"/>
                <w:szCs w:val="20"/>
              </w:rPr>
            </w:pPr>
            <w:r>
              <w:rPr>
                <w:rFonts w:ascii="Times New Roman" w:hAnsi="Times New Roman" w:cs="Times New Roman"/>
                <w:sz w:val="20"/>
                <w:szCs w:val="20"/>
              </w:rPr>
              <w:t>Tudjon méréseket végezni a térképen.</w:t>
            </w:r>
          </w:p>
          <w:p w:rsidR="004C2997" w:rsidRDefault="004C2997">
            <w:pPr>
              <w:widowControl w:val="0"/>
              <w:autoSpaceDE w:val="0"/>
              <w:autoSpaceDN w:val="0"/>
              <w:adjustRightInd w:val="0"/>
              <w:spacing w:after="0" w:line="240" w:lineRule="auto"/>
              <w:ind w:left="40" w:right="40"/>
              <w:rPr>
                <w:rFonts w:ascii="Times New Roman" w:hAnsi="Times New Roman" w:cs="Times New Roman"/>
                <w:sz w:val="20"/>
                <w:szCs w:val="20"/>
              </w:rPr>
            </w:pPr>
            <w:r>
              <w:rPr>
                <w:rFonts w:ascii="Times New Roman" w:hAnsi="Times New Roman" w:cs="Times New Roman"/>
                <w:sz w:val="20"/>
                <w:szCs w:val="20"/>
              </w:rPr>
              <w:t>Ismerje a közlekedés kialakulását, fejlődését befolyásoló természet- és gazdaságföldrajzi tényezőket.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az útvonaltervezés szempontjait.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Tudjon távolságokat és útvonalakat meghatározni a közlekedési hálózaton térképeken.</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Tudja az összefüggéseket a gazdasági tényezők és a közlekedési hálózatok kialakulás között.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 xml:space="preserve">Magyarország közlekedési földrajza </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Magyarország ágazatonkénti közlekedési hálózatának kialakulását, a hálózatok felépítését.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Tudjon útvonalat tervezni a belföldi fővonali közlekedési hálózaton.</w:t>
            </w: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Képes legyen a fő- és a mellékvonalak igénybevételével útvonalat tervezni és távolságokat meghatározni.</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Európa közlekedési földrajza</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Európa közlekedési ágazatonkénti földrajzi hálózatát.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az Európai Unió közlekedési irányelveit.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Tudjon útvonalat tervezni a belföldi fővonali közlekedési hálózaton.</w:t>
            </w: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Képes legyen összefüggéseket keresni a közlekedési hálózat felépítése és a gazdasági tényezők között az Európai </w:t>
            </w:r>
            <w:r>
              <w:rPr>
                <w:rFonts w:ascii="Times New Roman" w:hAnsi="Times New Roman" w:cs="Times New Roman"/>
                <w:color w:val="000000"/>
                <w:sz w:val="20"/>
                <w:szCs w:val="20"/>
              </w:rPr>
              <w:lastRenderedPageBreak/>
              <w:t>Unión belül.</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A világ közlekedési földrajza</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Tudja jellemezni az egyes földrészek közlekedési hálózatát.</w:t>
            </w:r>
          </w:p>
          <w:p w:rsidR="004C2997" w:rsidRDefault="004C2997">
            <w:pPr>
              <w:widowControl w:val="0"/>
              <w:autoSpaceDE w:val="0"/>
              <w:autoSpaceDN w:val="0"/>
              <w:adjustRightInd w:val="0"/>
              <w:spacing w:after="0" w:line="240" w:lineRule="auto"/>
              <w:ind w:left="40" w:right="40"/>
              <w:rPr>
                <w:rFonts w:ascii="Times New Roman" w:hAnsi="Times New Roman" w:cs="Times New Roman"/>
                <w:color w:val="000000"/>
                <w:sz w:val="20"/>
                <w:szCs w:val="20"/>
              </w:rPr>
            </w:pPr>
            <w:r>
              <w:rPr>
                <w:rFonts w:ascii="Times New Roman" w:hAnsi="Times New Roman" w:cs="Times New Roman"/>
                <w:color w:val="000000"/>
                <w:sz w:val="20"/>
                <w:szCs w:val="20"/>
              </w:rPr>
              <w:t>Ismerje a jelentősebb, földrészek közötti szállítási útvonalakat közlekedési ágazatok szerint.</w:t>
            </w: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Tudja a jelentősebb szállítási útvonalak és a gazdasági tényezők közötti kapcsolatokat elemezni.</w:t>
            </w: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sectPr w:rsidR="004C2997">
          <w:pgSz w:w="16840" w:h="11907" w:orient="landscape"/>
          <w:pgMar w:top="1134" w:right="1134" w:bottom="1134" w:left="1134" w:header="708" w:footer="708" w:gutter="0"/>
          <w:cols w:space="708"/>
          <w:noEndnote/>
        </w:sect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KÖZLEKEDÉSTECHNIKA</w:t>
      </w:r>
    </w:p>
    <w:p w:rsidR="004C2997" w:rsidRDefault="004C2997" w:rsidP="004C2997">
      <w:pPr>
        <w:autoSpaceDE w:val="0"/>
        <w:autoSpaceDN w:val="0"/>
        <w:adjustRightInd w:val="0"/>
        <w:spacing w:after="0" w:line="240" w:lineRule="auto"/>
        <w:ind w:left="540"/>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középszintű közlekedési alapismeretek érettségi vizsga célja annak megállapítása, hogy a vizsgázó</w:t>
      </w:r>
    </w:p>
    <w:p w:rsidR="004C2997" w:rsidRDefault="004C2997" w:rsidP="004C2997">
      <w:pPr>
        <w:tabs>
          <w:tab w:val="left" w:pos="709"/>
        </w:tabs>
        <w:autoSpaceDE w:val="0"/>
        <w:autoSpaceDN w:val="0"/>
        <w:adjustRightInd w:val="0"/>
        <w:spacing w:after="0" w:line="240" w:lineRule="auto"/>
        <w:ind w:left="54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közlekedés felépítését, annak szerkezetét,</w:t>
      </w:r>
    </w:p>
    <w:p w:rsidR="004C2997" w:rsidRDefault="004C2997" w:rsidP="004C2997">
      <w:pPr>
        <w:tabs>
          <w:tab w:val="left" w:pos="709"/>
        </w:tabs>
        <w:autoSpaceDE w:val="0"/>
        <w:autoSpaceDN w:val="0"/>
        <w:adjustRightInd w:val="0"/>
        <w:spacing w:after="0" w:line="240" w:lineRule="auto"/>
        <w:ind w:left="54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tájékozott-e a szakképesítések sajátosságait illetően,</w:t>
      </w:r>
    </w:p>
    <w:p w:rsidR="004C2997" w:rsidRDefault="004C2997" w:rsidP="004C2997">
      <w:pPr>
        <w:tabs>
          <w:tab w:val="left" w:pos="709"/>
        </w:tabs>
        <w:autoSpaceDE w:val="0"/>
        <w:autoSpaceDN w:val="0"/>
        <w:adjustRightInd w:val="0"/>
        <w:spacing w:after="0" w:line="240" w:lineRule="auto"/>
        <w:ind w:left="54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ismeretei alkalmasak-e az átgondolt szakképesítés választáshoz és a szakképzésbe történő bekapcsolódáshoz,</w:t>
      </w:r>
    </w:p>
    <w:p w:rsidR="004C2997" w:rsidRDefault="004C2997" w:rsidP="004C2997">
      <w:pPr>
        <w:tabs>
          <w:tab w:val="left" w:pos="139"/>
          <w:tab w:val="left" w:pos="357"/>
        </w:tabs>
        <w:autoSpaceDE w:val="0"/>
        <w:autoSpaceDN w:val="0"/>
        <w:adjustRightInd w:val="0"/>
        <w:spacing w:after="0" w:line="240" w:lineRule="auto"/>
        <w:ind w:left="54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képes-e helyesen alkalmazni a műszaki ábrázolás szabályait és a rajzi szabványokat,</w:t>
      </w:r>
    </w:p>
    <w:p w:rsidR="004C2997" w:rsidRDefault="004C2997" w:rsidP="004C2997">
      <w:pPr>
        <w:tabs>
          <w:tab w:val="left" w:pos="139"/>
          <w:tab w:val="left" w:pos="357"/>
        </w:tabs>
        <w:autoSpaceDE w:val="0"/>
        <w:autoSpaceDN w:val="0"/>
        <w:adjustRightInd w:val="0"/>
        <w:spacing w:after="0" w:line="240" w:lineRule="auto"/>
        <w:ind w:left="54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képes-e a statikai és szilárdságtani alapfeladatok megoldásában alkalmazni a tanult törvényeket, eljárásokat, módszereket,</w:t>
      </w:r>
    </w:p>
    <w:p w:rsidR="004C2997" w:rsidRDefault="004C2997" w:rsidP="004C2997">
      <w:pPr>
        <w:tabs>
          <w:tab w:val="left" w:pos="139"/>
          <w:tab w:val="left" w:pos="357"/>
        </w:tabs>
        <w:autoSpaceDE w:val="0"/>
        <w:autoSpaceDN w:val="0"/>
        <w:adjustRightInd w:val="0"/>
        <w:spacing w:after="0" w:line="240" w:lineRule="auto"/>
        <w:ind w:left="54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ismeri-e a közlekedésben leggyakrabban előforduló gépelemek, szerkezeti elemek feladatát, működését, felépítését, alkalmazási területeit,</w:t>
      </w:r>
    </w:p>
    <w:p w:rsidR="004C2997" w:rsidRDefault="004C2997" w:rsidP="004C2997">
      <w:pPr>
        <w:tabs>
          <w:tab w:val="left" w:pos="139"/>
          <w:tab w:val="left" w:pos="357"/>
        </w:tabs>
        <w:autoSpaceDE w:val="0"/>
        <w:autoSpaceDN w:val="0"/>
        <w:adjustRightInd w:val="0"/>
        <w:spacing w:after="0" w:line="240" w:lineRule="auto"/>
        <w:ind w:left="54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ismeri-e a közlekedésben alkalmazott legfontosabb anyagokat és a leggyakrabban alkalmazott megmunkálási eljárásokat,</w:t>
      </w:r>
    </w:p>
    <w:p w:rsidR="004C2997" w:rsidRDefault="004C2997" w:rsidP="004C2997">
      <w:pPr>
        <w:tabs>
          <w:tab w:val="left" w:pos="139"/>
          <w:tab w:val="left" w:pos="357"/>
        </w:tabs>
        <w:autoSpaceDE w:val="0"/>
        <w:autoSpaceDN w:val="0"/>
        <w:adjustRightInd w:val="0"/>
        <w:spacing w:after="0" w:line="240" w:lineRule="auto"/>
        <w:ind w:left="54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tud-e elektrotechnikai alapszámításokat végezni,</w:t>
      </w:r>
    </w:p>
    <w:p w:rsidR="004C2997" w:rsidRDefault="004C2997" w:rsidP="004C2997">
      <w:pPr>
        <w:tabs>
          <w:tab w:val="left" w:pos="139"/>
          <w:tab w:val="left" w:pos="357"/>
        </w:tabs>
        <w:autoSpaceDE w:val="0"/>
        <w:autoSpaceDN w:val="0"/>
        <w:adjustRightInd w:val="0"/>
        <w:spacing w:after="0" w:line="240" w:lineRule="auto"/>
        <w:ind w:left="54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képes-e ismertetni a közlekedés elektrotechnikai és elektronikai elemeinek feladatát, működési elvét, alkalmazási területét, kapcsolási rajzait</w:t>
      </w:r>
    </w:p>
    <w:p w:rsidR="004C2997" w:rsidRDefault="004C2997" w:rsidP="004C2997">
      <w:pPr>
        <w:tabs>
          <w:tab w:val="left" w:pos="139"/>
          <w:tab w:val="left" w:pos="357"/>
        </w:tabs>
        <w:autoSpaceDE w:val="0"/>
        <w:autoSpaceDN w:val="0"/>
        <w:adjustRightInd w:val="0"/>
        <w:spacing w:after="0" w:line="240" w:lineRule="auto"/>
        <w:ind w:left="54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képes-e technológiai jellegű rajzokat, folyamatábrákat, szabadkézi vázlatokat, munkadarabrajzokat elkészíteni,</w:t>
      </w:r>
    </w:p>
    <w:p w:rsidR="004C2997" w:rsidRDefault="004C2997" w:rsidP="004C2997">
      <w:pPr>
        <w:tabs>
          <w:tab w:val="left" w:pos="139"/>
          <w:tab w:val="left" w:pos="357"/>
        </w:tabs>
        <w:autoSpaceDE w:val="0"/>
        <w:autoSpaceDN w:val="0"/>
        <w:adjustRightInd w:val="0"/>
        <w:spacing w:after="0" w:line="240" w:lineRule="auto"/>
        <w:ind w:left="54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ismeri-e az alapvető természetvédelmi, környezetvédelmi és munkavédelmi fogalmakat.</w:t>
      </w:r>
    </w:p>
    <w:p w:rsidR="004C2997" w:rsidRDefault="004C2997" w:rsidP="004C2997">
      <w:pPr>
        <w:autoSpaceDE w:val="0"/>
        <w:autoSpaceDN w:val="0"/>
        <w:adjustRightInd w:val="0"/>
        <w:spacing w:after="0" w:line="240" w:lineRule="auto"/>
        <w:ind w:left="540"/>
        <w:rPr>
          <w:rFonts w:ascii="Times New Roman" w:hAnsi="Times New Roman" w:cs="Times New Roman"/>
          <w:color w:val="000000"/>
          <w:sz w:val="20"/>
          <w:szCs w:val="20"/>
        </w:rPr>
      </w:pPr>
    </w:p>
    <w:p w:rsidR="004C2997" w:rsidRDefault="004C2997" w:rsidP="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emelt szintű közlekedési alapismeretek érettségi vizsga célja annak megállapítása, hogy a vizsgázó</w:t>
      </w:r>
    </w:p>
    <w:p w:rsidR="004C2997" w:rsidRDefault="004C2997" w:rsidP="004C2997">
      <w:pPr>
        <w:tabs>
          <w:tab w:val="left" w:pos="139"/>
          <w:tab w:val="left" w:pos="357"/>
        </w:tabs>
        <w:autoSpaceDE w:val="0"/>
        <w:autoSpaceDN w:val="0"/>
        <w:adjustRightInd w:val="0"/>
        <w:spacing w:after="0" w:line="240" w:lineRule="auto"/>
        <w:ind w:left="54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tud-e véleményt alkotni anyagismereti és mechanikai tudása alapján a közlekedésben alkalmazott szerkezeti elemekről, műszaki megoldásokról, azok környezeti hatásairól,</w:t>
      </w:r>
    </w:p>
    <w:p w:rsidR="004C2997" w:rsidRDefault="004C2997" w:rsidP="004C2997">
      <w:pPr>
        <w:tabs>
          <w:tab w:val="left" w:pos="139"/>
          <w:tab w:val="left" w:pos="357"/>
        </w:tabs>
        <w:autoSpaceDE w:val="0"/>
        <w:autoSpaceDN w:val="0"/>
        <w:adjustRightInd w:val="0"/>
        <w:spacing w:after="0" w:line="240" w:lineRule="auto"/>
        <w:ind w:left="54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tudja-e alkalmazni tudását egyszerű szerkezeti elemekkel, gépelemekkel kapcsolatos számítási, méretezési feladatokban, helyesen alkalmazza-e a vonatkozó szabványokat,</w:t>
      </w:r>
    </w:p>
    <w:p w:rsidR="004C2997" w:rsidRDefault="004C2997" w:rsidP="004C2997">
      <w:pPr>
        <w:tabs>
          <w:tab w:val="left" w:pos="139"/>
          <w:tab w:val="left" w:pos="357"/>
        </w:tabs>
        <w:autoSpaceDE w:val="0"/>
        <w:autoSpaceDN w:val="0"/>
        <w:adjustRightInd w:val="0"/>
        <w:spacing w:after="0" w:line="240" w:lineRule="auto"/>
        <w:ind w:left="54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képes-e rajzok, leírások, valóságos tárgyak, modellek alapján megérteni műszaki megoldások, gépek, gépelemek szerkezeti kialakításának okait,</w:t>
      </w:r>
    </w:p>
    <w:p w:rsidR="004C2997" w:rsidRDefault="004C2997" w:rsidP="004C2997">
      <w:pPr>
        <w:tabs>
          <w:tab w:val="left" w:pos="139"/>
          <w:tab w:val="left" w:pos="357"/>
        </w:tabs>
        <w:autoSpaceDE w:val="0"/>
        <w:autoSpaceDN w:val="0"/>
        <w:adjustRightInd w:val="0"/>
        <w:spacing w:after="0" w:line="240" w:lineRule="auto"/>
        <w:ind w:left="54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tud-e technológiai szempontok szerint elemezni, számolni, értékelni,</w:t>
      </w:r>
    </w:p>
    <w:p w:rsidR="004C2997" w:rsidRDefault="004C2997" w:rsidP="004C2997">
      <w:pPr>
        <w:tabs>
          <w:tab w:val="left" w:pos="139"/>
          <w:tab w:val="left" w:pos="357"/>
        </w:tabs>
        <w:autoSpaceDE w:val="0"/>
        <w:autoSpaceDN w:val="0"/>
        <w:adjustRightInd w:val="0"/>
        <w:spacing w:after="0" w:line="240" w:lineRule="auto"/>
        <w:ind w:left="54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tud-e katalógusokat, szabványokat használni,</w:t>
      </w:r>
    </w:p>
    <w:p w:rsidR="004C2997" w:rsidRDefault="004C2997" w:rsidP="004C2997">
      <w:pPr>
        <w:tabs>
          <w:tab w:val="left" w:pos="139"/>
          <w:tab w:val="left" w:pos="357"/>
        </w:tabs>
        <w:autoSpaceDE w:val="0"/>
        <w:autoSpaceDN w:val="0"/>
        <w:adjustRightInd w:val="0"/>
        <w:spacing w:after="0" w:line="240" w:lineRule="auto"/>
        <w:ind w:left="540"/>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képes-e elektrotechnikai fogalmak, törvények, eljárások, módszerek és a tanult elektromos eszközökre, rendszerekre, szerkezetekre, gépekre vonatkozó ismereteinek alkalmazására, számítások végzésére,</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w:t>
      </w:r>
      <w:r>
        <w:rPr>
          <w:rFonts w:ascii="Times New Roman" w:hAnsi="Times New Roman" w:cs="Times New Roman"/>
          <w:color w:val="000000"/>
          <w:sz w:val="20"/>
          <w:szCs w:val="20"/>
        </w:rPr>
        <w:tab/>
        <w:t>tud-e megfogalmazni az egészséges és biztonságos munkafeltételek megteremtésére vonatkozó igényeket, ismérveket.</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sectPr w:rsidR="004C2997">
          <w:type w:val="oddPage"/>
          <w:pgSz w:w="11907" w:h="16840"/>
          <w:pgMar w:top="1134" w:right="1134" w:bottom="1134" w:left="1134" w:header="708" w:footer="708" w:gutter="0"/>
          <w:cols w:space="708"/>
          <w:noEndnote/>
        </w:sect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Tartalmi követelmények</w:t>
      </w: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304"/>
        <w:gridCol w:w="6743"/>
        <w:gridCol w:w="8"/>
        <w:gridCol w:w="3635"/>
      </w:tblGrid>
      <w:tr w:rsidR="004C2997">
        <w:tblPrEx>
          <w:tblCellMar>
            <w:top w:w="0" w:type="dxa"/>
            <w:bottom w:w="0" w:type="dxa"/>
          </w:tblCellMar>
        </w:tblPrEx>
        <w:trPr>
          <w:jc w:val="center"/>
        </w:trPr>
        <w:tc>
          <w:tcPr>
            <w:tcW w:w="4304" w:type="dxa"/>
            <w:shd w:val="clear"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6751" w:type="dxa"/>
            <w:gridSpan w:val="2"/>
            <w:shd w:val="clear"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3635" w:type="dxa"/>
            <w:shd w:val="clear"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w:t>
            </w:r>
            <w:r>
              <w:rPr>
                <w:rFonts w:ascii="Times New Roman" w:hAnsi="Times New Roman" w:cs="Times New Roman"/>
                <w:b/>
                <w:bCs/>
                <w:sz w:val="20"/>
                <w:szCs w:val="20"/>
              </w:rPr>
              <w:br/>
              <w:t>emelt szinten</w:t>
            </w:r>
          </w:p>
        </w:tc>
      </w:tr>
      <w:tr w:rsidR="004C2997">
        <w:tblPrEx>
          <w:tblCellMar>
            <w:top w:w="0" w:type="dxa"/>
            <w:bottom w:w="0" w:type="dxa"/>
          </w:tblCellMar>
        </w:tblPrEx>
        <w:trPr>
          <w:cantSplit/>
          <w:jc w:val="center"/>
        </w:trPr>
        <w:tc>
          <w:tcPr>
            <w:tcW w:w="14690" w:type="dxa"/>
            <w:gridSpan w:val="4"/>
          </w:tcPr>
          <w:p w:rsidR="004C2997" w:rsidRDefault="004C2997">
            <w:pPr>
              <w:autoSpaceDE w:val="0"/>
              <w:autoSpaceDN w:val="0"/>
              <w:adjustRightInd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1. Közlekedési ismeretek</w:t>
            </w:r>
          </w:p>
        </w:tc>
      </w:tr>
      <w:tr w:rsidR="004C2997">
        <w:tblPrEx>
          <w:tblCellMar>
            <w:top w:w="0" w:type="dxa"/>
            <w:bottom w:w="0" w:type="dxa"/>
          </w:tblCellMar>
        </w:tblPrEx>
        <w:trPr>
          <w:jc w:val="center"/>
        </w:trPr>
        <w:tc>
          <w:tcPr>
            <w:tcW w:w="43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Közlekedési alapismeretek</w:t>
            </w:r>
          </w:p>
        </w:tc>
        <w:tc>
          <w:tcPr>
            <w:tcW w:w="67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közlekedési alapfogalmakat és ismérveit: (közlekedés, szállítás, fuvarozás, szállítmányozás, bérlet).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sz w:val="20"/>
                <w:szCs w:val="20"/>
              </w:rPr>
              <w:t>Ismertesse a közlekedés történeti áttekintését, közlekedési ágazatonként.</w:t>
            </w:r>
            <w:r>
              <w:rPr>
                <w:rFonts w:ascii="Times New Roman" w:hAnsi="Times New Roman" w:cs="Times New Roman"/>
                <w:sz w:val="20"/>
                <w:szCs w:val="20"/>
              </w:rPr>
              <w:br/>
              <w:t xml:space="preserve">Ismertesse a közlekedés és a környezet kapcsolatát (helyzetértékelés, prognózisok, feladatok). </w:t>
            </w:r>
            <w:r>
              <w:rPr>
                <w:rFonts w:ascii="Times New Roman" w:hAnsi="Times New Roman" w:cs="Times New Roman"/>
                <w:sz w:val="20"/>
                <w:szCs w:val="20"/>
              </w:rPr>
              <w:br/>
            </w:r>
            <w:r>
              <w:rPr>
                <w:rFonts w:ascii="Times New Roman" w:hAnsi="Times New Roman" w:cs="Times New Roman"/>
                <w:color w:val="000000"/>
                <w:sz w:val="20"/>
                <w:szCs w:val="20"/>
              </w:rPr>
              <w:t>Ismertesse a természet- és a környezetvédelem célját, fő feladatait.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Sorolja fel a környezetünk szennyező forrásait és ismertesse a szennyezés megelőzésének, illetve megszüntetésének lehetőségeit.</w:t>
            </w:r>
            <w:r>
              <w:rPr>
                <w:rFonts w:ascii="Times New Roman" w:hAnsi="Times New Roman" w:cs="Times New Roman"/>
                <w:sz w:val="20"/>
                <w:szCs w:val="20"/>
              </w:rPr>
              <w:t xml:space="preserve"> </w:t>
            </w:r>
          </w:p>
        </w:tc>
        <w:tc>
          <w:tcPr>
            <w:tcW w:w="364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elemezni a közlekedés jelentőségét, sajátosságait, felbontását, rendszerezését (szárazföldi, vízi, légi, csővezetékes szállítás, hírközlés).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érvekkel bizonyítani a közlekedési szükségletek és igények keletkezését, az áruáramlatok kialakulásának okait.</w:t>
            </w:r>
          </w:p>
        </w:tc>
      </w:tr>
      <w:tr w:rsidR="004C2997">
        <w:tblPrEx>
          <w:tblCellMar>
            <w:top w:w="0" w:type="dxa"/>
            <w:bottom w:w="0" w:type="dxa"/>
          </w:tblCellMar>
        </w:tblPrEx>
        <w:trPr>
          <w:jc w:val="center"/>
        </w:trPr>
        <w:tc>
          <w:tcPr>
            <w:tcW w:w="43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közlekedés technikai elemei</w:t>
            </w:r>
          </w:p>
        </w:tc>
        <w:tc>
          <w:tcPr>
            <w:tcW w:w="67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pálya és a jármű kapcsolatát, a vonóerőigényt, a teljesítmény szükségletet.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64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fékezéssel kapcsolatos fogalmakat és azok meghatározását, a fékezéssel kapcsolatos nemzetközi és hazai előírásokat.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jármű stabilitását befolyásoló tényezőket ívmenetben és fékezéskor.</w:t>
            </w:r>
          </w:p>
        </w:tc>
      </w:tr>
      <w:tr w:rsidR="004C2997">
        <w:tblPrEx>
          <w:tblCellMar>
            <w:top w:w="0" w:type="dxa"/>
            <w:bottom w:w="0" w:type="dxa"/>
          </w:tblCellMar>
        </w:tblPrEx>
        <w:trPr>
          <w:jc w:val="center"/>
        </w:trPr>
        <w:tc>
          <w:tcPr>
            <w:tcW w:w="43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Vasúti közlekedés</w:t>
            </w:r>
          </w:p>
        </w:tc>
        <w:tc>
          <w:tcPr>
            <w:tcW w:w="67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magyar vasúti hálózatot és a vasúti járműveket.</w:t>
            </w:r>
          </w:p>
        </w:tc>
        <w:tc>
          <w:tcPr>
            <w:tcW w:w="364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vasúti vontató és vontatott járművek alaptípusait: dízel-mozdonyok, motorkocsik, villamos mozdonyok, személyszállító kocsik, teherkocsik.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egyes típusok alkalmazási területét.</w:t>
            </w:r>
          </w:p>
        </w:tc>
      </w:tr>
      <w:tr w:rsidR="004C2997">
        <w:tblPrEx>
          <w:tblCellMar>
            <w:top w:w="0" w:type="dxa"/>
            <w:bottom w:w="0" w:type="dxa"/>
          </w:tblCellMar>
        </w:tblPrEx>
        <w:trPr>
          <w:jc w:val="center"/>
        </w:trPr>
        <w:tc>
          <w:tcPr>
            <w:tcW w:w="43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Közúti közlekedés</w:t>
            </w:r>
          </w:p>
        </w:tc>
        <w:tc>
          <w:tcPr>
            <w:tcW w:w="67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közúti járművek fajtáit, csoportosításukat, környezeti hatásukat.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ismertetni a közúti közlekedés járműveit. Tudja felsorolni a gépjárművek főbb részeit és tudják ismertetni azok működését.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ismertetni a belső égésű két- és négyütemű benzin- és dízel-motorok működési elvét, működését és a tüzelő- és kenőanyagaik tulajdonságait, a főbb méreteinek kiszámítását, a teljesítmény, a fajlagos tüzelőanyag fogyasztás kiszámításának módját.</w:t>
            </w:r>
          </w:p>
        </w:tc>
        <w:tc>
          <w:tcPr>
            <w:tcW w:w="364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kiszámítani a motor főbb méreteit, a motor teljesítményét, a szükséges vonóerőt, a teljesítményt, a szükséges tüzelőanyag mennyiségét, a fajlagos tüzelőanyag-fogyasztást, a féktávolságot, a fékutat.</w:t>
            </w:r>
          </w:p>
        </w:tc>
      </w:tr>
      <w:tr w:rsidR="004C2997">
        <w:tblPrEx>
          <w:tblCellMar>
            <w:top w:w="0" w:type="dxa"/>
            <w:bottom w:w="0" w:type="dxa"/>
          </w:tblCellMar>
        </w:tblPrEx>
        <w:trPr>
          <w:jc w:val="center"/>
        </w:trPr>
        <w:tc>
          <w:tcPr>
            <w:tcW w:w="4304" w:type="dxa"/>
          </w:tcPr>
          <w:p w:rsidR="004C2997" w:rsidRDefault="004C2997">
            <w:pPr>
              <w:pageBreakBefore/>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Vízi közlekedés</w:t>
            </w:r>
          </w:p>
        </w:tc>
        <w:tc>
          <w:tcPr>
            <w:tcW w:w="6743"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magyar hajózás jellemzőit.</w:t>
            </w:r>
          </w:p>
        </w:tc>
        <w:tc>
          <w:tcPr>
            <w:tcW w:w="364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vízi közlekedés járműveit: belvízi hajók (önjáró hajók és gépnélküli uszályok), tengeri és folyam-tengeri hajók, halászhajók, üzemi hajók, különleges hajók.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Rendszerezze a hajókat méreteik és szerkezeti felépítésük szerint.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rPr>
          <w:jc w:val="center"/>
        </w:trPr>
        <w:tc>
          <w:tcPr>
            <w:tcW w:w="4304" w:type="dxa"/>
          </w:tcPr>
          <w:p w:rsidR="004C2997" w:rsidRDefault="004C2997">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Légi közlekedés</w:t>
            </w:r>
          </w:p>
        </w:tc>
        <w:tc>
          <w:tcPr>
            <w:tcW w:w="6743" w:type="dxa"/>
          </w:tcPr>
          <w:p w:rsidR="004C2997" w:rsidRDefault="004C2997">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Ismerje a magyar légi közlekedés jellemzőit.</w:t>
            </w:r>
          </w:p>
        </w:tc>
        <w:tc>
          <w:tcPr>
            <w:tcW w:w="364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merevszárnyú és a forgószárnyú repülőgép szerkezeteinek feladatát.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sebesség és a légellenállás között az összefüggést.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Rendszerezze a repülőgép hajtóműveket működési elvük szerint.</w:t>
            </w:r>
          </w:p>
        </w:tc>
      </w:tr>
      <w:tr w:rsidR="004C2997">
        <w:tblPrEx>
          <w:tblCellMar>
            <w:top w:w="0" w:type="dxa"/>
            <w:bottom w:w="0" w:type="dxa"/>
          </w:tblCellMar>
        </w:tblPrEx>
        <w:trPr>
          <w:jc w:val="center"/>
        </w:trPr>
        <w:tc>
          <w:tcPr>
            <w:tcW w:w="4304" w:type="dxa"/>
          </w:tcPr>
          <w:p w:rsidR="004C2997" w:rsidRDefault="004C2997">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Csővezetékes szállítás</w:t>
            </w:r>
          </w:p>
        </w:tc>
        <w:tc>
          <w:tcPr>
            <w:tcW w:w="6743" w:type="dxa"/>
          </w:tcPr>
          <w:p w:rsidR="004C2997" w:rsidRDefault="004C2997">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Ismerje a csővezetékes szállítás technikai berendezéseit és technológiáját.</w:t>
            </w:r>
          </w:p>
        </w:tc>
        <w:tc>
          <w:tcPr>
            <w:tcW w:w="3643"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csővezetékes szállítás sajátos területeit (kőolaj és származékai, földgázszállítás, egyéb anyagok szállítása).</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cantSplit/>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Környezetvédelmi és egészségvédelmi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alapfogalmak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Munkakörnyezet, ergonómia</w:t>
            </w:r>
          </w:p>
        </w:tc>
        <w:tc>
          <w:tcPr>
            <w:tcW w:w="6751"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Sorolja fel a munkahelyi környezeti tényezőket, ezek egészségkárosító hatásait, ismertesse a védekezés lehetőségeit.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3635"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Definiálja az ergonómiát és ismertesse legfontosabb fogalmait.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munkahellyel szemben megfogalmazható legfontosabb ergonómiai követelményeket.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cantSplit/>
          <w:trHeight w:val="428"/>
          <w:jc w:val="center"/>
        </w:trPr>
        <w:tc>
          <w:tcPr>
            <w:tcW w:w="14690" w:type="dxa"/>
            <w:gridSpan w:val="4"/>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 Műszaki rajz</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Ábrázoló geometriai alapismeretek</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left="30" w:hanging="14"/>
              <w:rPr>
                <w:rFonts w:ascii="Times New Roman" w:hAnsi="Times New Roman" w:cs="Times New Roman"/>
                <w:color w:val="000000"/>
                <w:sz w:val="20"/>
                <w:szCs w:val="20"/>
              </w:rPr>
            </w:pPr>
            <w:r>
              <w:rPr>
                <w:rFonts w:ascii="Times New Roman" w:hAnsi="Times New Roman" w:cs="Times New Roman"/>
                <w:color w:val="000000"/>
                <w:sz w:val="20"/>
                <w:szCs w:val="20"/>
              </w:rPr>
              <w:t>Rajzvázlatok készítése során alkalmazza helyesen a síkmértani és térmértani alapfogalmakat, az axonometrikus, a perspektivikus és a vetületi ábrázolás szabályait. Mértani test vetületi ábráiról készítsen axonometrikus szabadkézi vázlatot, illetve axonometrikus ábráról vázolja fel a vetületeket.</w:t>
            </w: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left="30" w:hanging="14"/>
              <w:rPr>
                <w:rFonts w:ascii="Times New Roman" w:hAnsi="Times New Roman" w:cs="Times New Roman"/>
                <w:color w:val="000000"/>
                <w:sz w:val="20"/>
                <w:szCs w:val="20"/>
              </w:rPr>
            </w:pPr>
            <w:r>
              <w:rPr>
                <w:rFonts w:ascii="Times New Roman" w:hAnsi="Times New Roman" w:cs="Times New Roman"/>
                <w:color w:val="000000"/>
                <w:sz w:val="20"/>
                <w:szCs w:val="20"/>
              </w:rPr>
              <w:t>Összetett test vetületi ábráiról szerkesszen axonometrikus ábrát, axonometrikus ábráról szerkessze meg a vetületeket.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trHeight w:val="1216"/>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Géprajzi alapismeretek alkalmazása</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left="30" w:hanging="14"/>
              <w:rPr>
                <w:rFonts w:ascii="Times New Roman" w:hAnsi="Times New Roman" w:cs="Times New Roman"/>
                <w:color w:val="000000"/>
                <w:sz w:val="20"/>
                <w:szCs w:val="20"/>
              </w:rPr>
            </w:pPr>
            <w:r>
              <w:rPr>
                <w:rFonts w:ascii="Times New Roman" w:hAnsi="Times New Roman" w:cs="Times New Roman"/>
                <w:color w:val="000000"/>
                <w:sz w:val="20"/>
                <w:szCs w:val="20"/>
              </w:rPr>
              <w:t>Készítsen alkatrész axonometrikus ábrájáról szabadkézi vázlat formájában munkadarabrajzot.</w:t>
            </w:r>
          </w:p>
          <w:p w:rsidR="004C2997" w:rsidRDefault="004C2997">
            <w:pPr>
              <w:autoSpaceDE w:val="0"/>
              <w:autoSpaceDN w:val="0"/>
              <w:adjustRightInd w:val="0"/>
              <w:spacing w:after="0" w:line="240" w:lineRule="auto"/>
              <w:ind w:left="30" w:hanging="14"/>
              <w:rPr>
                <w:rFonts w:ascii="Times New Roman" w:hAnsi="Times New Roman" w:cs="Times New Roman"/>
                <w:color w:val="000000"/>
                <w:sz w:val="20"/>
                <w:szCs w:val="20"/>
              </w:rPr>
            </w:pPr>
            <w:r>
              <w:rPr>
                <w:rFonts w:ascii="Times New Roman" w:hAnsi="Times New Roman" w:cs="Times New Roman"/>
                <w:color w:val="000000"/>
                <w:sz w:val="20"/>
                <w:szCs w:val="20"/>
              </w:rPr>
              <w:t>Alkalmazza az egyszerűsített, a különleges és a jelképes ábrázolási szabályokat. Lássa el a rajzot olyan szükséges kiegészítő információkkal, mint a felületi érdesség, tűrések, hőkezelés stb.</w:t>
            </w:r>
          </w:p>
          <w:p w:rsidR="004C2997" w:rsidRDefault="004C2997">
            <w:pPr>
              <w:autoSpaceDE w:val="0"/>
              <w:autoSpaceDN w:val="0"/>
              <w:adjustRightInd w:val="0"/>
              <w:spacing w:after="0" w:line="240" w:lineRule="auto"/>
              <w:ind w:left="30" w:hanging="14"/>
              <w:rPr>
                <w:rFonts w:ascii="Times New Roman" w:hAnsi="Times New Roman" w:cs="Times New Roman"/>
                <w:color w:val="000000"/>
                <w:sz w:val="20"/>
                <w:szCs w:val="20"/>
              </w:rPr>
            </w:pPr>
            <w:r>
              <w:rPr>
                <w:rFonts w:ascii="Times New Roman" w:hAnsi="Times New Roman" w:cs="Times New Roman"/>
                <w:color w:val="000000"/>
                <w:sz w:val="20"/>
                <w:szCs w:val="20"/>
              </w:rPr>
              <w:t>Készítsen szerkesztett ábrákat.</w:t>
            </w:r>
          </w:p>
          <w:p w:rsidR="004C2997" w:rsidRDefault="004C2997">
            <w:pPr>
              <w:autoSpaceDE w:val="0"/>
              <w:autoSpaceDN w:val="0"/>
              <w:adjustRightInd w:val="0"/>
              <w:spacing w:after="0" w:line="240" w:lineRule="auto"/>
              <w:ind w:left="30" w:hanging="14"/>
              <w:rPr>
                <w:rFonts w:ascii="Times New Roman" w:hAnsi="Times New Roman" w:cs="Times New Roman"/>
                <w:color w:val="000000"/>
                <w:sz w:val="20"/>
                <w:szCs w:val="20"/>
              </w:rPr>
            </w:pP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Készítsen közepes nehézségű munkadarabrajzot kézi szerkesztő eljárással. Határozzon meg a csatlakozó felületeken illesztéseket, használja a tűrés és illesztés szabványait.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cantSplit/>
          <w:trHeight w:val="550"/>
          <w:jc w:val="center"/>
        </w:trPr>
        <w:tc>
          <w:tcPr>
            <w:tcW w:w="14690" w:type="dxa"/>
            <w:gridSpan w:val="4"/>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color w:val="000000"/>
                <w:sz w:val="20"/>
                <w:szCs w:val="20"/>
              </w:rPr>
            </w:pPr>
          </w:p>
          <w:p w:rsidR="004C2997" w:rsidRDefault="004C299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3. Mechanika</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Merev testek statikája</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keepNext/>
              <w:autoSpaceDE w:val="0"/>
              <w:autoSpaceDN w:val="0"/>
              <w:adjustRightInd w:val="0"/>
              <w:spacing w:after="0" w:line="240" w:lineRule="auto"/>
              <w:ind w:left="16"/>
              <w:rPr>
                <w:rFonts w:ascii="Times New Roman" w:hAnsi="Times New Roman" w:cs="Times New Roman"/>
                <w:color w:val="000000"/>
                <w:sz w:val="20"/>
                <w:szCs w:val="20"/>
              </w:rPr>
            </w:pPr>
            <w:r>
              <w:rPr>
                <w:rFonts w:ascii="Times New Roman" w:hAnsi="Times New Roman" w:cs="Times New Roman"/>
                <w:color w:val="000000"/>
                <w:sz w:val="20"/>
                <w:szCs w:val="20"/>
              </w:rPr>
              <w:t>Ismertesse a statika alaptételeit, a kényszereket, a nyomatéki tételt.</w:t>
            </w:r>
          </w:p>
          <w:p w:rsidR="004C2997" w:rsidRDefault="004C2997">
            <w:pPr>
              <w:keepNext/>
              <w:autoSpaceDE w:val="0"/>
              <w:autoSpaceDN w:val="0"/>
              <w:adjustRightInd w:val="0"/>
              <w:spacing w:after="0" w:line="240" w:lineRule="auto"/>
              <w:ind w:left="16"/>
              <w:rPr>
                <w:rFonts w:ascii="Times New Roman" w:hAnsi="Times New Roman" w:cs="Times New Roman"/>
                <w:color w:val="000000"/>
                <w:sz w:val="20"/>
                <w:szCs w:val="20"/>
              </w:rPr>
            </w:pPr>
            <w:r>
              <w:rPr>
                <w:rFonts w:ascii="Times New Roman" w:hAnsi="Times New Roman" w:cs="Times New Roman"/>
                <w:color w:val="000000"/>
                <w:sz w:val="20"/>
                <w:szCs w:val="20"/>
              </w:rPr>
              <w:t>Mutassa be az erőrendszerek eredőjének és egyensúlyának meghatározási módszereit.</w:t>
            </w:r>
          </w:p>
          <w:p w:rsidR="004C2997" w:rsidRDefault="004C2997">
            <w:pPr>
              <w:keepNext/>
              <w:autoSpaceDE w:val="0"/>
              <w:autoSpaceDN w:val="0"/>
              <w:adjustRightInd w:val="0"/>
              <w:spacing w:after="0" w:line="240" w:lineRule="auto"/>
              <w:ind w:left="16"/>
              <w:rPr>
                <w:rFonts w:ascii="Times New Roman" w:hAnsi="Times New Roman" w:cs="Times New Roman"/>
                <w:color w:val="000000"/>
                <w:sz w:val="20"/>
                <w:szCs w:val="20"/>
              </w:rPr>
            </w:pPr>
            <w:r>
              <w:rPr>
                <w:rFonts w:ascii="Times New Roman" w:hAnsi="Times New Roman" w:cs="Times New Roman"/>
                <w:color w:val="000000"/>
                <w:sz w:val="20"/>
                <w:szCs w:val="20"/>
              </w:rPr>
              <w:t>Ismertesse az összetett síkidomok súlypontjának kiszámítási módszerét.</w:t>
            </w:r>
          </w:p>
          <w:p w:rsidR="004C2997" w:rsidRDefault="004C2997">
            <w:pPr>
              <w:keepNext/>
              <w:autoSpaceDE w:val="0"/>
              <w:autoSpaceDN w:val="0"/>
              <w:adjustRightInd w:val="0"/>
              <w:spacing w:after="0" w:line="240" w:lineRule="auto"/>
              <w:ind w:left="16"/>
              <w:rPr>
                <w:rFonts w:ascii="Times New Roman" w:hAnsi="Times New Roman" w:cs="Times New Roman"/>
                <w:color w:val="000000"/>
                <w:sz w:val="20"/>
                <w:szCs w:val="20"/>
              </w:rPr>
            </w:pPr>
            <w:r>
              <w:rPr>
                <w:rFonts w:ascii="Times New Roman" w:hAnsi="Times New Roman" w:cs="Times New Roman"/>
                <w:color w:val="000000"/>
                <w:sz w:val="20"/>
                <w:szCs w:val="20"/>
              </w:rPr>
              <w:t>Ismertesse a kéttámaszú és a befogott tartók fogalmát, mutassa be a kötélábra, a nyomatéki ábra és a nyíróerő ábra szerkesztésének módszerét.</w:t>
            </w:r>
          </w:p>
          <w:p w:rsidR="004C2997" w:rsidRDefault="004C2997">
            <w:pPr>
              <w:keepNext/>
              <w:autoSpaceDE w:val="0"/>
              <w:autoSpaceDN w:val="0"/>
              <w:adjustRightInd w:val="0"/>
              <w:spacing w:after="0" w:line="240" w:lineRule="auto"/>
              <w:ind w:left="16"/>
              <w:rPr>
                <w:rFonts w:ascii="Times New Roman" w:hAnsi="Times New Roman" w:cs="Times New Roman"/>
                <w:color w:val="000000"/>
                <w:sz w:val="20"/>
                <w:szCs w:val="20"/>
              </w:rPr>
            </w:pPr>
            <w:r>
              <w:rPr>
                <w:rFonts w:ascii="Times New Roman" w:hAnsi="Times New Roman" w:cs="Times New Roman"/>
                <w:color w:val="000000"/>
                <w:sz w:val="20"/>
                <w:szCs w:val="20"/>
              </w:rPr>
              <w:t>Számítással és szerkesztéssel végezze el a kéttámaszú és a befogott tartók statikai vizsgálatát koncentrált erőkkel történő terhelés esetében.</w:t>
            </w: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keepNext/>
              <w:autoSpaceDE w:val="0"/>
              <w:autoSpaceDN w:val="0"/>
              <w:adjustRightInd w:val="0"/>
              <w:spacing w:after="0" w:line="240" w:lineRule="auto"/>
              <w:ind w:left="16"/>
              <w:rPr>
                <w:rFonts w:ascii="Times New Roman" w:hAnsi="Times New Roman" w:cs="Times New Roman"/>
                <w:color w:val="000000"/>
                <w:sz w:val="20"/>
                <w:szCs w:val="20"/>
              </w:rPr>
            </w:pPr>
            <w:r>
              <w:rPr>
                <w:rFonts w:ascii="Times New Roman" w:hAnsi="Times New Roman" w:cs="Times New Roman"/>
                <w:color w:val="000000"/>
                <w:sz w:val="20"/>
                <w:szCs w:val="20"/>
              </w:rPr>
              <w:t>Határozza meg számítással az erőrendszerek eredőjét és egyensúlyát.</w:t>
            </w:r>
          </w:p>
          <w:p w:rsidR="004C2997" w:rsidRDefault="004C2997">
            <w:pPr>
              <w:keepNext/>
              <w:autoSpaceDE w:val="0"/>
              <w:autoSpaceDN w:val="0"/>
              <w:adjustRightInd w:val="0"/>
              <w:spacing w:after="0" w:line="240" w:lineRule="auto"/>
              <w:ind w:left="16"/>
              <w:rPr>
                <w:rFonts w:ascii="Times New Roman" w:hAnsi="Times New Roman" w:cs="Times New Roman"/>
                <w:color w:val="000000"/>
                <w:sz w:val="20"/>
                <w:szCs w:val="20"/>
              </w:rPr>
            </w:pPr>
            <w:r>
              <w:rPr>
                <w:rFonts w:ascii="Times New Roman" w:hAnsi="Times New Roman" w:cs="Times New Roman"/>
                <w:color w:val="000000"/>
                <w:sz w:val="20"/>
                <w:szCs w:val="20"/>
              </w:rPr>
              <w:t>Számítsa ki az összetett síkidomok súlypontját.</w:t>
            </w:r>
          </w:p>
          <w:p w:rsidR="004C2997" w:rsidRDefault="004C2997">
            <w:pPr>
              <w:keepNext/>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Készítsen szerkesztett rajzokat és végezzen számításokat összetett terhelésű tartóknál, megoszló és vegyes terhelés esetében.</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Szilárdságtan</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left="2"/>
              <w:rPr>
                <w:rFonts w:ascii="Times New Roman" w:hAnsi="Times New Roman" w:cs="Times New Roman"/>
                <w:color w:val="000000"/>
                <w:sz w:val="20"/>
                <w:szCs w:val="20"/>
              </w:rPr>
            </w:pPr>
            <w:r>
              <w:rPr>
                <w:rFonts w:ascii="Times New Roman" w:hAnsi="Times New Roman" w:cs="Times New Roman"/>
                <w:color w:val="000000"/>
                <w:sz w:val="20"/>
                <w:szCs w:val="20"/>
              </w:rPr>
              <w:t>Ismertesse az igénybevételek fajtáit és alakváltoztató hatását.</w:t>
            </w:r>
          </w:p>
          <w:p w:rsidR="004C2997" w:rsidRDefault="004C2997">
            <w:pPr>
              <w:autoSpaceDE w:val="0"/>
              <w:autoSpaceDN w:val="0"/>
              <w:adjustRightInd w:val="0"/>
              <w:spacing w:after="0" w:line="240" w:lineRule="auto"/>
              <w:ind w:left="2"/>
              <w:rPr>
                <w:rFonts w:ascii="Times New Roman" w:hAnsi="Times New Roman" w:cs="Times New Roman"/>
                <w:color w:val="000000"/>
                <w:sz w:val="20"/>
                <w:szCs w:val="20"/>
              </w:rPr>
            </w:pPr>
            <w:r>
              <w:rPr>
                <w:rFonts w:ascii="Times New Roman" w:hAnsi="Times New Roman" w:cs="Times New Roman"/>
                <w:color w:val="000000"/>
                <w:sz w:val="20"/>
                <w:szCs w:val="20"/>
              </w:rPr>
              <w:t>Mutassa be összefüggések segítségével az egyszerű igénybevételű alkatrészek méretezési módszereit.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Méretezzen egyszerű igénybevételekre adott szerkezeti elemet vagy végezze el annak szilárdsági ellenőrzését.</w:t>
            </w: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Számítsa ki az egyszerű igénybevételek esetén ébredő feszültségeket és alakváltozásokat.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Méretezzen összetett igénybevétellel terhelt egyszerűbb szerkezeti elemet vagy végezze el annak szilárdsági ellenőrzését.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cantSplit/>
          <w:jc w:val="center"/>
        </w:trPr>
        <w:tc>
          <w:tcPr>
            <w:tcW w:w="14690" w:type="dxa"/>
            <w:gridSpan w:val="4"/>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before="120"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4. Gépelemek-géptan</w:t>
            </w:r>
          </w:p>
          <w:p w:rsidR="004C2997" w:rsidRDefault="004C2997">
            <w:pPr>
              <w:autoSpaceDE w:val="0"/>
              <w:autoSpaceDN w:val="0"/>
              <w:adjustRightInd w:val="0"/>
              <w:spacing w:before="120" w:after="0" w:line="240" w:lineRule="auto"/>
              <w:rPr>
                <w:rFonts w:ascii="Times New Roman" w:hAnsi="Times New Roman" w:cs="Times New Roman"/>
                <w:b/>
                <w:bCs/>
                <w:color w:val="000000"/>
                <w:sz w:val="20"/>
                <w:szCs w:val="20"/>
              </w:rPr>
            </w:pP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Kötőgépelemek, kötések</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Rugók és lengéscsillapítók</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Csövek, csőszerelvények, tartályok</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Tengelyek, csapágyazások</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Tengelykapcsolók és fékek</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Nyomatékátszármaztató hajtások</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Súrlódó- és kényszerhajtások</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Hajtóművek</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left="2"/>
              <w:rPr>
                <w:rFonts w:ascii="Times New Roman" w:hAnsi="Times New Roman" w:cs="Times New Roman"/>
                <w:color w:val="000000"/>
                <w:sz w:val="20"/>
                <w:szCs w:val="20"/>
              </w:rPr>
            </w:pPr>
            <w:r>
              <w:rPr>
                <w:rFonts w:ascii="Times New Roman" w:hAnsi="Times New Roman" w:cs="Times New Roman"/>
                <w:color w:val="000000"/>
                <w:sz w:val="20"/>
                <w:szCs w:val="20"/>
              </w:rPr>
              <w:t>Ismertesse a közlekedésben leggyakrabban előforduló gépelemek funkcióját, működését, szerkezeti felépítését, alkalmazási területeit.</w:t>
            </w:r>
          </w:p>
          <w:p w:rsidR="004C2997" w:rsidRDefault="004C2997">
            <w:pPr>
              <w:autoSpaceDE w:val="0"/>
              <w:autoSpaceDN w:val="0"/>
              <w:adjustRightInd w:val="0"/>
              <w:spacing w:after="0" w:line="240" w:lineRule="auto"/>
              <w:ind w:left="2"/>
              <w:rPr>
                <w:rFonts w:ascii="Times New Roman" w:hAnsi="Times New Roman" w:cs="Times New Roman"/>
                <w:color w:val="000000"/>
                <w:sz w:val="20"/>
                <w:szCs w:val="20"/>
              </w:rPr>
            </w:pPr>
            <w:r>
              <w:rPr>
                <w:rFonts w:ascii="Times New Roman" w:hAnsi="Times New Roman" w:cs="Times New Roman"/>
                <w:color w:val="000000"/>
                <w:sz w:val="20"/>
                <w:szCs w:val="20"/>
              </w:rPr>
              <w:t>Ábrázolja vázlattal a legfontosabb gépelemeket és szerkezeti megoldásaikat.</w:t>
            </w:r>
          </w:p>
          <w:p w:rsidR="004C2997" w:rsidRDefault="004C2997">
            <w:pPr>
              <w:autoSpaceDE w:val="0"/>
              <w:autoSpaceDN w:val="0"/>
              <w:adjustRightInd w:val="0"/>
              <w:spacing w:after="0" w:line="240" w:lineRule="auto"/>
              <w:ind w:left="2"/>
              <w:rPr>
                <w:rFonts w:ascii="Times New Roman" w:hAnsi="Times New Roman" w:cs="Times New Roman"/>
                <w:color w:val="000000"/>
                <w:sz w:val="20"/>
                <w:szCs w:val="20"/>
              </w:rPr>
            </w:pPr>
            <w:r>
              <w:rPr>
                <w:rFonts w:ascii="Times New Roman" w:hAnsi="Times New Roman" w:cs="Times New Roman"/>
                <w:color w:val="000000"/>
                <w:sz w:val="20"/>
                <w:szCs w:val="20"/>
              </w:rPr>
              <w:t>Ismertesse a szerkezetre ható terhelések következtében létrejövő igénybevételeket.</w:t>
            </w:r>
          </w:p>
          <w:p w:rsidR="004C2997" w:rsidRDefault="004C2997">
            <w:pPr>
              <w:autoSpaceDE w:val="0"/>
              <w:autoSpaceDN w:val="0"/>
              <w:adjustRightInd w:val="0"/>
              <w:spacing w:after="0" w:line="240" w:lineRule="auto"/>
              <w:ind w:left="2"/>
              <w:rPr>
                <w:rFonts w:ascii="Times New Roman" w:hAnsi="Times New Roman" w:cs="Times New Roman"/>
                <w:color w:val="000000"/>
                <w:sz w:val="20"/>
                <w:szCs w:val="20"/>
              </w:rPr>
            </w:pPr>
            <w:r>
              <w:rPr>
                <w:rFonts w:ascii="Times New Roman" w:hAnsi="Times New Roman" w:cs="Times New Roman"/>
                <w:color w:val="000000"/>
                <w:sz w:val="20"/>
                <w:szCs w:val="20"/>
              </w:rPr>
              <w:t>Mutassa be az egyszerű igénybevételek alapján a gépelem geometriai méreteinek kiszámítási módjait.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Határozza meg a legfontosabb működési jellemzőket.</w:t>
            </w:r>
          </w:p>
          <w:p w:rsidR="004C2997" w:rsidRDefault="004C2997">
            <w:pPr>
              <w:autoSpaceDE w:val="0"/>
              <w:autoSpaceDN w:val="0"/>
              <w:adjustRightInd w:val="0"/>
              <w:spacing w:after="0" w:line="240" w:lineRule="auto"/>
              <w:ind w:left="2"/>
              <w:rPr>
                <w:rFonts w:ascii="Times New Roman" w:hAnsi="Times New Roman" w:cs="Times New Roman"/>
                <w:color w:val="000000"/>
                <w:sz w:val="20"/>
                <w:szCs w:val="20"/>
              </w:rPr>
            </w:pPr>
            <w:r>
              <w:rPr>
                <w:rFonts w:ascii="Times New Roman" w:hAnsi="Times New Roman" w:cs="Times New Roman"/>
                <w:color w:val="000000"/>
                <w:sz w:val="20"/>
                <w:szCs w:val="20"/>
              </w:rPr>
              <w:t>Határozza meg az igénybevételek hatására ébredő feszültségek jellegének, valamint az alkalmazni kívánt anyagok szilárdsági és keresztmetszeti jellemzőinek ismeretében a gépelem, gépszerkezet geometriai méreteit.</w:t>
            </w:r>
          </w:p>
          <w:p w:rsidR="004C2997" w:rsidRDefault="004C2997">
            <w:pPr>
              <w:autoSpaceDE w:val="0"/>
              <w:autoSpaceDN w:val="0"/>
              <w:adjustRightInd w:val="0"/>
              <w:spacing w:after="0" w:line="240" w:lineRule="auto"/>
              <w:ind w:left="2"/>
              <w:rPr>
                <w:rFonts w:ascii="Times New Roman" w:hAnsi="Times New Roman" w:cs="Times New Roman"/>
                <w:color w:val="000000"/>
                <w:sz w:val="20"/>
                <w:szCs w:val="20"/>
              </w:rPr>
            </w:pPr>
            <w:r>
              <w:rPr>
                <w:rFonts w:ascii="Times New Roman" w:hAnsi="Times New Roman" w:cs="Times New Roman"/>
                <w:color w:val="000000"/>
                <w:sz w:val="20"/>
                <w:szCs w:val="20"/>
              </w:rPr>
              <w:t>Végezzen egyszerűbb méretellenőrzést.</w:t>
            </w:r>
          </w:p>
          <w:p w:rsidR="004C2997" w:rsidRDefault="004C2997">
            <w:pPr>
              <w:autoSpaceDE w:val="0"/>
              <w:autoSpaceDN w:val="0"/>
              <w:adjustRightInd w:val="0"/>
              <w:spacing w:after="0" w:line="240" w:lineRule="auto"/>
              <w:ind w:left="2"/>
              <w:rPr>
                <w:rFonts w:ascii="Times New Roman" w:hAnsi="Times New Roman" w:cs="Times New Roman"/>
                <w:color w:val="000000"/>
                <w:sz w:val="20"/>
                <w:szCs w:val="20"/>
              </w:rPr>
            </w:pPr>
            <w:r>
              <w:rPr>
                <w:rFonts w:ascii="Times New Roman" w:hAnsi="Times New Roman" w:cs="Times New Roman"/>
                <w:color w:val="000000"/>
                <w:sz w:val="20"/>
                <w:szCs w:val="20"/>
              </w:rPr>
              <w:t>Alkalmazza a szabványokat.</w:t>
            </w: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Sorolja a gépelemeket funkcionális csoportokba és mutassa be az adott csoportra jellemző, legfontosabb gépelemeket.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Válassza ki a célnak leginkább megfelelő szabványos elemeket és szerkezeti megoldásokat.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cantSplit/>
          <w:jc w:val="center"/>
        </w:trPr>
        <w:tc>
          <w:tcPr>
            <w:tcW w:w="14690" w:type="dxa"/>
            <w:gridSpan w:val="4"/>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5. Technológiai alapismeretek</w:t>
            </w:r>
          </w:p>
          <w:p w:rsidR="004C2997" w:rsidRDefault="004C2997">
            <w:pPr>
              <w:autoSpaceDE w:val="0"/>
              <w:autoSpaceDN w:val="0"/>
              <w:adjustRightInd w:val="0"/>
              <w:spacing w:after="0" w:line="240" w:lineRule="auto"/>
              <w:rPr>
                <w:rFonts w:ascii="Times New Roman" w:hAnsi="Times New Roman" w:cs="Times New Roman"/>
                <w:b/>
                <w:bCs/>
                <w:color w:val="000000"/>
                <w:sz w:val="20"/>
                <w:szCs w:val="20"/>
              </w:rPr>
            </w:pP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Fémtani alapismeretek</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keepNext/>
              <w:autoSpaceDE w:val="0"/>
              <w:autoSpaceDN w:val="0"/>
              <w:adjustRightInd w:val="0"/>
              <w:spacing w:after="0" w:line="240" w:lineRule="auto"/>
              <w:ind w:left="16" w:firstLine="14"/>
              <w:rPr>
                <w:rFonts w:ascii="Times New Roman" w:hAnsi="Times New Roman" w:cs="Times New Roman"/>
                <w:color w:val="000000"/>
                <w:sz w:val="20"/>
                <w:szCs w:val="20"/>
              </w:rPr>
            </w:pPr>
            <w:r>
              <w:rPr>
                <w:rFonts w:ascii="Times New Roman" w:hAnsi="Times New Roman" w:cs="Times New Roman"/>
                <w:color w:val="000000"/>
                <w:sz w:val="20"/>
                <w:szCs w:val="20"/>
              </w:rPr>
              <w:t>Ismertesse a legfontosabb kristálytani alapfogalmakat, a színfém és az ötvözet fogalmát.</w:t>
            </w:r>
          </w:p>
          <w:p w:rsidR="004C2997" w:rsidRDefault="004C2997">
            <w:pPr>
              <w:keepNext/>
              <w:autoSpaceDE w:val="0"/>
              <w:autoSpaceDN w:val="0"/>
              <w:adjustRightInd w:val="0"/>
              <w:spacing w:after="0" w:line="240" w:lineRule="auto"/>
              <w:ind w:left="16" w:firstLine="14"/>
              <w:rPr>
                <w:rFonts w:ascii="Times New Roman" w:hAnsi="Times New Roman" w:cs="Times New Roman"/>
                <w:color w:val="000000"/>
                <w:sz w:val="20"/>
                <w:szCs w:val="20"/>
              </w:rPr>
            </w:pPr>
            <w:r>
              <w:rPr>
                <w:rFonts w:ascii="Times New Roman" w:hAnsi="Times New Roman" w:cs="Times New Roman"/>
                <w:color w:val="000000"/>
                <w:sz w:val="20"/>
                <w:szCs w:val="20"/>
              </w:rPr>
              <w:t>Rajzolja le a fontos kétalkotós alap állapotábrákat és mutassa be egy esetben, egy adott koncentrációjú ötvözet lehűlési folyamatát.</w:t>
            </w:r>
          </w:p>
          <w:p w:rsidR="004C2997" w:rsidRDefault="004C2997">
            <w:pPr>
              <w:keepNext/>
              <w:autoSpaceDE w:val="0"/>
              <w:autoSpaceDN w:val="0"/>
              <w:adjustRightInd w:val="0"/>
              <w:spacing w:after="0" w:line="240" w:lineRule="auto"/>
              <w:ind w:left="16" w:firstLine="14"/>
              <w:rPr>
                <w:rFonts w:ascii="Times New Roman" w:hAnsi="Times New Roman" w:cs="Times New Roman"/>
                <w:color w:val="000000"/>
                <w:sz w:val="20"/>
                <w:szCs w:val="20"/>
              </w:rPr>
            </w:pPr>
            <w:r>
              <w:rPr>
                <w:rFonts w:ascii="Times New Roman" w:hAnsi="Times New Roman" w:cs="Times New Roman"/>
                <w:color w:val="000000"/>
                <w:sz w:val="20"/>
                <w:szCs w:val="20"/>
              </w:rPr>
              <w:t>Kiadott állapotábra segítségével ismertesse a vas-karbon ötvözetrendszer metastabilis lehűlési meneteit jellegzetes acél koncentrációkban.</w:t>
            </w:r>
          </w:p>
          <w:p w:rsidR="004C2997" w:rsidRDefault="004C2997">
            <w:pPr>
              <w:keepNext/>
              <w:autoSpaceDE w:val="0"/>
              <w:autoSpaceDN w:val="0"/>
              <w:adjustRightInd w:val="0"/>
              <w:spacing w:after="0" w:line="240" w:lineRule="auto"/>
              <w:ind w:left="16" w:firstLine="14"/>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Mutassa be az acél gyors hűtésekor bekövetkező változásokat, ismertesse a C-görbét.</w:t>
            </w: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b/>
                <w:bCs/>
                <w:i/>
                <w:iCs/>
                <w:color w:val="000000"/>
                <w:sz w:val="20"/>
                <w:szCs w:val="20"/>
              </w:rPr>
            </w:pPr>
            <w:r>
              <w:rPr>
                <w:rFonts w:ascii="Times New Roman" w:hAnsi="Times New Roman" w:cs="Times New Roman"/>
                <w:color w:val="000000"/>
                <w:sz w:val="20"/>
                <w:szCs w:val="20"/>
              </w:rPr>
              <w:lastRenderedPageBreak/>
              <w:t>Rajzolja le a vas-karbon ikerdiagramot, értelmezze az átalakulásokat és ismertesse a jellegzetes szövetszerkezeteket.</w:t>
            </w:r>
          </w:p>
          <w:p w:rsidR="004C2997" w:rsidRDefault="004C2997">
            <w:pPr>
              <w:keepNext/>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Rajzolja meg az adott koncentrációjú ötvözet lehűlési görbéjét.</w:t>
            </w:r>
          </w:p>
          <w:p w:rsidR="004C2997" w:rsidRDefault="004C2997">
            <w:pPr>
              <w:keepNext/>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diffúziós átalakulás lényegét.</w:t>
            </w:r>
          </w:p>
          <w:p w:rsidR="004C2997" w:rsidRDefault="004C2997">
            <w:pPr>
              <w:keepNext/>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Ismertesse a gyors- és az izotermikus hűtés során létrejövő állapotváltozásokat és szövetszerkezeteket.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Fémes szerkezeti anyagok</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Nemfémes szerkezeti anyagok</w:t>
            </w:r>
          </w:p>
        </w:tc>
        <w:tc>
          <w:tcPr>
            <w:tcW w:w="6743"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left="2"/>
              <w:rPr>
                <w:rFonts w:ascii="Times New Roman" w:hAnsi="Times New Roman" w:cs="Times New Roman"/>
                <w:color w:val="000000"/>
                <w:sz w:val="20"/>
                <w:szCs w:val="20"/>
              </w:rPr>
            </w:pPr>
            <w:r>
              <w:rPr>
                <w:rFonts w:ascii="Times New Roman" w:hAnsi="Times New Roman" w:cs="Times New Roman"/>
                <w:color w:val="000000"/>
                <w:sz w:val="20"/>
                <w:szCs w:val="20"/>
              </w:rPr>
              <w:t>Ismertesse a közlekedés területén a leggyakrabban alkalmazott fémes és nemfémes szerkezeti anyagok, előgyártmányok, nyersanyagok, alapanyagok, segédanyagok tulajdonságait és felhasználási területeit.</w:t>
            </w:r>
          </w:p>
          <w:p w:rsidR="004C2997" w:rsidRDefault="004C2997">
            <w:pPr>
              <w:autoSpaceDE w:val="0"/>
              <w:autoSpaceDN w:val="0"/>
              <w:adjustRightInd w:val="0"/>
              <w:spacing w:after="0" w:line="240" w:lineRule="auto"/>
              <w:ind w:left="2"/>
              <w:rPr>
                <w:rFonts w:ascii="Times New Roman" w:hAnsi="Times New Roman" w:cs="Times New Roman"/>
                <w:color w:val="000000"/>
                <w:sz w:val="20"/>
                <w:szCs w:val="20"/>
              </w:rPr>
            </w:pPr>
            <w:r>
              <w:rPr>
                <w:rFonts w:ascii="Times New Roman" w:hAnsi="Times New Roman" w:cs="Times New Roman"/>
                <w:color w:val="000000"/>
                <w:sz w:val="20"/>
                <w:szCs w:val="20"/>
              </w:rPr>
              <w:t>Csoportosítsa a műanyag késztermékek fontosabb előállítási eljárásait.</w:t>
            </w:r>
          </w:p>
        </w:tc>
        <w:tc>
          <w:tcPr>
            <w:tcW w:w="3643"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Mutassa be a használatos acél- és öntöttvas anyagok főbb fizikai, mechanikai és technológiai jellemzőit, az acél és öntöttvas szabványok rendszerét.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Jellemezze a könnyű- és színesfémfém ötvözetek tulajdonságait, az alakítható és az önthető ötvözeteket, ismertesse felhasználási területüket.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fontosabb nemesfém tulajdonságait és sorolja fel jellemző alkalmazási területeiket.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forgács nélküli műanyag megmunkálások berendezéseinek elvi felépítését.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right="-70"/>
              <w:rPr>
                <w:rFonts w:ascii="Times New Roman" w:hAnsi="Times New Roman" w:cs="Times New Roman"/>
                <w:color w:val="000000"/>
                <w:sz w:val="20"/>
                <w:szCs w:val="20"/>
              </w:rPr>
            </w:pPr>
            <w:r>
              <w:rPr>
                <w:rFonts w:ascii="Times New Roman" w:hAnsi="Times New Roman" w:cs="Times New Roman"/>
                <w:color w:val="000000"/>
                <w:sz w:val="20"/>
                <w:szCs w:val="20"/>
              </w:rPr>
              <w:t>Forgácsnélküli megmunkálások</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Hőkezelések</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Hegesztés</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Forrasztás</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Műanyagok megmunkálása</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p>
        </w:tc>
        <w:tc>
          <w:tcPr>
            <w:tcW w:w="6751"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fontosabb forgács nélküli melegalakító technológiákat (öntés, kovácsolás, hengerlés, sajtolás).</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Mutassa be az acélok gyakorlati hőkezelő eljárásait.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Csoportosítsa a hegesztés és a forrasztás fajtáit, ismertesse technológiáit és ezek anyagait, berendezéseit.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műanyag megmunkálásra alkalmazott sajtoló és fröccsöntő eljárást.</w:t>
            </w:r>
          </w:p>
        </w:tc>
        <w:tc>
          <w:tcPr>
            <w:tcW w:w="3635"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1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Mutassa be az acélok felületkezelő eljárásait.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Mutassa be az öntészeti vasötvözetek, illetve a réz- és alumíniumötvözetek hőkezelésének sajátosságait.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műanyag megmunkálásra alkalmazott extrudáló eljárást.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cantSplit/>
          <w:jc w:val="center"/>
        </w:trPr>
        <w:tc>
          <w:tcPr>
            <w:tcW w:w="14690" w:type="dxa"/>
            <w:gridSpan w:val="4"/>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6. Elektrotechnikai-elektronikai ismeretek</w:t>
            </w:r>
          </w:p>
          <w:p w:rsidR="004C2997" w:rsidRDefault="004C2997">
            <w:pPr>
              <w:autoSpaceDE w:val="0"/>
              <w:autoSpaceDN w:val="0"/>
              <w:adjustRightInd w:val="0"/>
              <w:spacing w:after="0" w:line="240" w:lineRule="auto"/>
              <w:rPr>
                <w:rFonts w:ascii="Times New Roman" w:hAnsi="Times New Roman" w:cs="Times New Roman"/>
                <w:b/>
                <w:bCs/>
                <w:color w:val="000000"/>
                <w:sz w:val="20"/>
                <w:szCs w:val="20"/>
              </w:rPr>
            </w:pP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Elektrotechnikai, elektronikai alapfogalmak</w:t>
            </w:r>
          </w:p>
        </w:tc>
        <w:tc>
          <w:tcPr>
            <w:tcW w:w="6751" w:type="dxa"/>
            <w:gridSpan w:val="2"/>
            <w:tcBorders>
              <w:top w:val="single" w:sz="4" w:space="0" w:color="auto"/>
              <w:left w:val="single" w:sz="4" w:space="0" w:color="auto"/>
              <w:bottom w:val="single" w:sz="4" w:space="0" w:color="auto"/>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az elektrotechnikai, elektronikai alapfogalmakat és az elektronika alapvető építőelemeinek működési elvét.</w:t>
            </w:r>
          </w:p>
          <w:p w:rsidR="004C2997" w:rsidRDefault="004C2997">
            <w:pPr>
              <w:keepNext/>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Végezzen elektrotechnikai</w:t>
            </w:r>
            <w:r>
              <w:rPr>
                <w:rFonts w:ascii="Times New Roman" w:hAnsi="Times New Roman" w:cs="Times New Roman"/>
                <w:b/>
                <w:bCs/>
                <w:color w:val="000000"/>
                <w:sz w:val="20"/>
                <w:szCs w:val="20"/>
              </w:rPr>
              <w:t xml:space="preserve"> </w:t>
            </w:r>
            <w:r>
              <w:rPr>
                <w:rFonts w:ascii="Times New Roman" w:hAnsi="Times New Roman" w:cs="Times New Roman"/>
                <w:color w:val="000000"/>
                <w:sz w:val="20"/>
                <w:szCs w:val="20"/>
              </w:rPr>
              <w:t>alapszámításokat.</w:t>
            </w:r>
          </w:p>
        </w:tc>
        <w:tc>
          <w:tcPr>
            <w:tcW w:w="3635" w:type="dxa"/>
            <w:tcBorders>
              <w:top w:val="single" w:sz="4" w:space="0" w:color="auto"/>
              <w:left w:val="single" w:sz="4" w:space="0" w:color="auto"/>
              <w:bottom w:val="single" w:sz="4" w:space="0" w:color="auto"/>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Mutassa be az elektronika elemeinek alkalmazási területeit, rajzolja le és elemezze az elektronikai elemek jelleggörbéit. Végezzen számításokat R-L-C körökben.</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Transzformátorok</w:t>
            </w:r>
          </w:p>
        </w:tc>
        <w:tc>
          <w:tcPr>
            <w:tcW w:w="6751"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Ismertesse a legfontosabb transzformátortípusokat és működésük módját.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Sorolja fel az egyes transzformátortípusok alkalmazási területeit.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Végezzen a transzformátorokkal kapcsolatos alapszámításokat.</w:t>
            </w:r>
          </w:p>
        </w:tc>
        <w:tc>
          <w:tcPr>
            <w:tcW w:w="3635"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Rajzolja le a transzformátorok jelleggörbéit.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Helyettesítő kapcsolás alapján ismertesse az egyes üzemmódokat: üresjárás, normál üzem, rövidrezárás.</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Egyenáramú villamos forgógépek</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Váltakozó áramú villamos forgógépek</w:t>
            </w:r>
          </w:p>
        </w:tc>
        <w:tc>
          <w:tcPr>
            <w:tcW w:w="6751"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ind w:firstLine="1"/>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xml:space="preserve">Ismertesse a fontosabb egyenáramú és váltakozó áramú villamos forgógépek </w:t>
            </w:r>
            <w:r>
              <w:rPr>
                <w:rFonts w:ascii="Times New Roman" w:hAnsi="Times New Roman" w:cs="Times New Roman"/>
                <w:color w:val="000000"/>
                <w:sz w:val="20"/>
                <w:szCs w:val="20"/>
              </w:rPr>
              <w:lastRenderedPageBreak/>
              <w:t>felépítését, működését.</w:t>
            </w:r>
          </w:p>
          <w:p w:rsidR="004C2997" w:rsidRDefault="004C2997">
            <w:pPr>
              <w:autoSpaceDE w:val="0"/>
              <w:autoSpaceDN w:val="0"/>
              <w:adjustRightInd w:val="0"/>
              <w:spacing w:after="0" w:line="240" w:lineRule="auto"/>
              <w:ind w:firstLine="1"/>
              <w:rPr>
                <w:rFonts w:ascii="Times New Roman" w:hAnsi="Times New Roman" w:cs="Times New Roman"/>
                <w:color w:val="000000"/>
                <w:sz w:val="20"/>
                <w:szCs w:val="20"/>
              </w:rPr>
            </w:pPr>
            <w:r>
              <w:rPr>
                <w:rFonts w:ascii="Times New Roman" w:hAnsi="Times New Roman" w:cs="Times New Roman"/>
                <w:color w:val="000000"/>
                <w:sz w:val="20"/>
                <w:szCs w:val="20"/>
              </w:rPr>
              <w:t>Rajzolja le az elterjedtebb villamos forgógépek mechanikai jelleggörbéit.</w:t>
            </w:r>
          </w:p>
          <w:p w:rsidR="004C2997" w:rsidRDefault="004C2997">
            <w:pPr>
              <w:autoSpaceDE w:val="0"/>
              <w:autoSpaceDN w:val="0"/>
              <w:adjustRightInd w:val="0"/>
              <w:spacing w:after="0" w:line="240" w:lineRule="auto"/>
              <w:ind w:firstLine="1"/>
              <w:rPr>
                <w:rFonts w:ascii="Times New Roman" w:hAnsi="Times New Roman" w:cs="Times New Roman"/>
                <w:color w:val="000000"/>
                <w:sz w:val="20"/>
                <w:szCs w:val="20"/>
              </w:rPr>
            </w:pPr>
            <w:r>
              <w:rPr>
                <w:rFonts w:ascii="Times New Roman" w:hAnsi="Times New Roman" w:cs="Times New Roman"/>
                <w:color w:val="000000"/>
                <w:sz w:val="20"/>
                <w:szCs w:val="20"/>
              </w:rPr>
              <w:t>Ismertesse kapcsolási rajzok alapján az egyes üzemmódokat (indítás, irányváltás, fékezés).</w:t>
            </w:r>
          </w:p>
          <w:p w:rsidR="004C2997" w:rsidRDefault="004C2997">
            <w:pPr>
              <w:autoSpaceDE w:val="0"/>
              <w:autoSpaceDN w:val="0"/>
              <w:adjustRightInd w:val="0"/>
              <w:spacing w:after="0" w:line="240" w:lineRule="auto"/>
              <w:ind w:firstLine="1"/>
              <w:rPr>
                <w:rFonts w:ascii="Times New Roman" w:hAnsi="Times New Roman" w:cs="Times New Roman"/>
                <w:color w:val="000000"/>
                <w:sz w:val="20"/>
                <w:szCs w:val="20"/>
              </w:rPr>
            </w:pPr>
            <w:r>
              <w:rPr>
                <w:rFonts w:ascii="Times New Roman" w:hAnsi="Times New Roman" w:cs="Times New Roman"/>
                <w:color w:val="000000"/>
                <w:sz w:val="20"/>
                <w:szCs w:val="20"/>
              </w:rPr>
              <w:t>Végezzen alapszámításokat.</w:t>
            </w:r>
          </w:p>
        </w:tc>
        <w:tc>
          <w:tcPr>
            <w:tcW w:w="3635"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xml:space="preserve">Rajzolja le a villamos forgógépek </w:t>
            </w:r>
            <w:r>
              <w:rPr>
                <w:rFonts w:ascii="Times New Roman" w:hAnsi="Times New Roman" w:cs="Times New Roman"/>
                <w:color w:val="000000"/>
                <w:sz w:val="20"/>
                <w:szCs w:val="20"/>
              </w:rPr>
              <w:lastRenderedPageBreak/>
              <w:t>jelleggörbéit.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Mutassa be kapcsolási rajzok és jelleggörbék segítségével a fontosabb villamos forgógépek motor és generátor üzemmódjait.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sz w:val="20"/>
                <w:szCs w:val="20"/>
              </w:rPr>
              <w:t>Félvezető diódák</w:t>
            </w:r>
          </w:p>
        </w:tc>
        <w:tc>
          <w:tcPr>
            <w:tcW w:w="6751"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félvezető fizika alapjait.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félvezető dióda felépítését, működését és jellemzőit, rajzolja le karakterisztikáját és jelképét.</w:t>
            </w:r>
          </w:p>
          <w:p w:rsidR="004C2997" w:rsidRDefault="004C2997">
            <w:pPr>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Mutassa be a félvezető dióda működését egyenirányító kapcsolásokban.</w:t>
            </w:r>
          </w:p>
          <w:p w:rsidR="004C2997" w:rsidRDefault="004C2997">
            <w:pPr>
              <w:autoSpaceDE w:val="0"/>
              <w:autoSpaceDN w:val="0"/>
              <w:adjustRightInd w:val="0"/>
              <w:spacing w:after="0" w:line="240" w:lineRule="auto"/>
              <w:ind w:firstLine="1"/>
              <w:rPr>
                <w:rFonts w:ascii="Times New Roman" w:hAnsi="Times New Roman" w:cs="Times New Roman"/>
                <w:color w:val="000000"/>
                <w:sz w:val="20"/>
                <w:szCs w:val="20"/>
              </w:rPr>
            </w:pPr>
            <w:r>
              <w:rPr>
                <w:rFonts w:ascii="Times New Roman" w:hAnsi="Times New Roman" w:cs="Times New Roman"/>
                <w:sz w:val="20"/>
                <w:szCs w:val="20"/>
              </w:rPr>
              <w:t>Ismertesse a Zener- és a LED-dióda felépítését, gyakorlati alkalmazási lehetőségeit.</w:t>
            </w:r>
          </w:p>
        </w:tc>
        <w:tc>
          <w:tcPr>
            <w:tcW w:w="3635"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Fejtse ki részletesen a félvezetők működésének elektrofizikai és elektrokémiai vonatkozásait.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félvezetők hőfokfüggését.</w:t>
            </w:r>
          </w:p>
          <w:p w:rsidR="004C2997" w:rsidRDefault="004C299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sz w:val="20"/>
                <w:szCs w:val="20"/>
              </w:rPr>
              <w:t>Rajzolja fel a speciális diódák karakterisztikáját és jelképeit.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Bipoláris tranzisztorok</w:t>
            </w:r>
          </w:p>
        </w:tc>
        <w:tc>
          <w:tcPr>
            <w:tcW w:w="6751"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bipoláris tranzisztor felépítését, működését, feszültség-, áramviszonyait és a tranzisztorhatást.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bipoláris tranzisztor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Rajzolja le a legfontosabb jelleggörbéket.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Rajzolja le a tranzisztor jelképeit.</w:t>
            </w:r>
          </w:p>
        </w:tc>
        <w:tc>
          <w:tcPr>
            <w:tcW w:w="3635"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Elemezze a jelleggörbék, a paraméterek és a helyettesítő képek közötti kapcsolatrendszert.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Unipoláris tranzisztorok</w:t>
            </w:r>
          </w:p>
        </w:tc>
        <w:tc>
          <w:tcPr>
            <w:tcW w:w="6751"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az unipoláris tranzisztorok felépítését, működését, feszültség- és áramviszonyait.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az unipoláris tranzisztorok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Rajzolja fel a legfontosabb jelleggörbéket és az y-paraméteres helyettesítő képet.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Rajzolja le a FET-ek és MOSFET-ek jelképeit.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635"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Elemezze a jelleggörbék, a paraméterek és a helyettesítő képek közötti kapcsolatrendszert.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bipoláris és az unipoláris tranzisztorok felépítése, működése és alkalmazása közötti különbözőségeket, emelje ki a térvezérlés szerepét.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Bipoláris tranzisztoros alapkapcsolások</w:t>
            </w:r>
          </w:p>
        </w:tc>
        <w:tc>
          <w:tcPr>
            <w:tcW w:w="6751"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Rajzolja fel a bipoláris tranzisztoros alapkapcsolásokat, h-paraméteres helyettesítő képeiket és magyarázza el működésüket.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Számítsa ki a közös emitteres erősítők váltakozó áramú jellemzőit.</w:t>
            </w:r>
          </w:p>
        </w:tc>
        <w:tc>
          <w:tcPr>
            <w:tcW w:w="3635"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Vezesse le a közös emitteres alapkapcsolás váltakozó áramú jellemzőit.</w:t>
            </w:r>
          </w:p>
        </w:tc>
      </w:tr>
      <w:tr w:rsidR="004C2997">
        <w:tblPrEx>
          <w:tblBorders>
            <w:top w:val="single" w:sz="12" w:space="0" w:color="auto"/>
            <w:left w:val="single" w:sz="12" w:space="0" w:color="auto"/>
            <w:bottom w:val="single" w:sz="12" w:space="0" w:color="auto"/>
            <w:right w:val="single" w:sz="12" w:space="0" w:color="auto"/>
          </w:tblBorders>
          <w:tblCellMar>
            <w:top w:w="0" w:type="dxa"/>
            <w:bottom w:w="0" w:type="dxa"/>
          </w:tblCellMar>
        </w:tblPrEx>
        <w:trPr>
          <w:jc w:val="center"/>
        </w:trPr>
        <w:tc>
          <w:tcPr>
            <w:tcW w:w="4304"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Digitális alapkapcsolások</w:t>
            </w:r>
          </w:p>
        </w:tc>
        <w:tc>
          <w:tcPr>
            <w:tcW w:w="6751" w:type="dxa"/>
            <w:gridSpan w:val="2"/>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Definiálja a digitális jelek fogalmát és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kettes számrendszer jellemzőit és az átszámítási algoritmusokat.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leggyakrabban alkalmazott numerikus és az alfanumerikus kódokat.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logikai függvények leírását algebrai alakban és igazságtáblázattal.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logikai algebra alaptörvényeit és alaptételeit, az algebrai és a grafikus egyszerűsítés szabályait.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egyszerű feladaton keresztül a szabályos alakú logikai függvények grafikus egyszerűsítését, a szabályos alakok közötti átalakítást és a függvények szabályos alakra hozását.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alapfüggvényeket megvalósító TTL és CMOS kapuáramkörök jellemzőit és kimeneti megoldásait.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Realizáljon egyszerűsített logikai függvényeket NÉV, NAND és NOR rendszerben.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Mutassa be a tárolók alaptípusait, írja fel vezérlési táblázatukat.</w:t>
            </w:r>
          </w:p>
        </w:tc>
        <w:tc>
          <w:tcPr>
            <w:tcW w:w="3635"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Magyarázza el egy NAND kapu működését belső kapcsolási rajz alapján.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Magyarázza el a mester-szolga és az élvezérelt tárolók működését.</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egy egyszerű feladaton keresztül a szinkron szekvenciális hálózatok megvalósításának módszerét.</w:t>
            </w: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sectPr w:rsidR="004C2997">
          <w:type w:val="nextColumn"/>
          <w:pgSz w:w="16838" w:h="11906" w:orient="landscape"/>
          <w:pgMar w:top="1418" w:right="1701" w:bottom="1418" w:left="1134" w:header="708" w:footer="708" w:gutter="0"/>
          <w:cols w:space="708"/>
          <w:noEndnote/>
        </w:sect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KÖRNYEZETVÉDELMI-VÍZGAZDÁLKODÁSI ALAPISMERETEK </w:t>
      </w:r>
      <w:r>
        <w:rPr>
          <w:rFonts w:ascii="Times New Roman" w:hAnsi="Times New Roman" w:cs="Times New Roman"/>
          <w:b/>
          <w:bCs/>
          <w:sz w:val="24"/>
          <w:szCs w:val="24"/>
        </w:rPr>
        <w:b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90" w:line="240" w:lineRule="auto"/>
        <w:ind w:left="150" w:right="150" w:firstLine="240"/>
        <w:rPr>
          <w:rFonts w:ascii="Times New Roman" w:hAnsi="Times New Roman" w:cs="Times New Roman"/>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before="180" w:after="90" w:line="240" w:lineRule="auto"/>
        <w:ind w:left="150" w:right="150" w:firstLine="240"/>
        <w:rPr>
          <w:rFonts w:ascii="Times New Roman" w:hAnsi="Times New Roman" w:cs="Times New Roman"/>
          <w:sz w:val="20"/>
          <w:szCs w:val="20"/>
        </w:rPr>
      </w:pPr>
      <w:r>
        <w:rPr>
          <w:rFonts w:ascii="Times New Roman" w:hAnsi="Times New Roman" w:cs="Times New Roman"/>
          <w:b/>
          <w:bCs/>
          <w:sz w:val="20"/>
          <w:szCs w:val="20"/>
        </w:rPr>
        <w:t>A környezetvédelmi-vízgazdálkodási alapismeretek érettségi vizsga célja</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A vizsga célja, hogy a vizsgázók a szakmacsoportos alapozó képzés lezárásaként választható vizsgatárgyként szakmai előkészítő tantárgyból, igényüktől és képességüktől függően közép- vagy emelt szinten olyan vizsgát tehessenek, amely segíti az érettségi utáni szakképzésbe történő bekapcsolódásukat, ill. a szakirányú felsőfokú tanulmányaikat.</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A tantárgyból az érettségi vizsga általános célja annak megállapítása, hogy a vizsgázó az adott szinten</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 témakörben szereplő probléma lényegét, a kapcsolódó tényanyagot,</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egyértelműen és helyesen használja-e a fogalmakat,</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képes-e az összefüggések bemutatására logikusan szerkesztett önálló előadásban, a szakszókincs alkalmazásával, magyar nyelven.</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A vizsgakövetelmények közép- és emelt szinten kerültek meghatározásra. Az emelt szintű követelmények tartalmazzák a középszint követelményeit is.</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A középszintű érettségi vizsga célja annak megállapítása, hogy a vizsgázó</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rendelkezik-e a követelményekben meghatározott ismeretekkel, tényanyaggal,</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képes-e a témakör belső összefüggéseit felismerni,</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képes-e megfigyelések, mérések eredményeit feldolgozni, elemezni, kiértékelni;</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tudja-e eszközként használni a más kapcsolódó tárgyakban (is) szerzett ismereteit, ezen belül különösen:</w:t>
      </w:r>
    </w:p>
    <w:p w:rsidR="004C2997" w:rsidRDefault="004C2997" w:rsidP="004C2997">
      <w:pPr>
        <w:autoSpaceDE w:val="0"/>
        <w:autoSpaceDN w:val="0"/>
        <w:adjustRightInd w:val="0"/>
        <w:spacing w:after="0" w:line="240" w:lineRule="auto"/>
        <w:ind w:left="150" w:right="150" w:firstLine="750"/>
        <w:rPr>
          <w:rFonts w:ascii="Times New Roman" w:hAnsi="Times New Roman" w:cs="Times New Roman"/>
          <w:sz w:val="20"/>
          <w:szCs w:val="20"/>
        </w:rPr>
      </w:pPr>
      <w:r>
        <w:rPr>
          <w:rFonts w:ascii="Times New Roman" w:hAnsi="Times New Roman" w:cs="Times New Roman"/>
          <w:sz w:val="20"/>
          <w:szCs w:val="20"/>
        </w:rPr>
        <w:t>- biztos számolás és mértékegység használat,</w:t>
      </w:r>
    </w:p>
    <w:p w:rsidR="004C2997" w:rsidRDefault="004C2997" w:rsidP="004C2997">
      <w:pPr>
        <w:autoSpaceDE w:val="0"/>
        <w:autoSpaceDN w:val="0"/>
        <w:adjustRightInd w:val="0"/>
        <w:spacing w:after="0" w:line="240" w:lineRule="auto"/>
        <w:ind w:left="150" w:right="150" w:firstLine="750"/>
        <w:rPr>
          <w:rFonts w:ascii="Times New Roman" w:hAnsi="Times New Roman" w:cs="Times New Roman"/>
          <w:sz w:val="20"/>
          <w:szCs w:val="20"/>
        </w:rPr>
      </w:pPr>
      <w:r>
        <w:rPr>
          <w:rFonts w:ascii="Times New Roman" w:hAnsi="Times New Roman" w:cs="Times New Roman"/>
          <w:sz w:val="20"/>
          <w:szCs w:val="20"/>
        </w:rPr>
        <w:t>- táblázatok, grafikonok kezelése,</w:t>
      </w:r>
    </w:p>
    <w:p w:rsidR="004C2997" w:rsidRDefault="004C2997" w:rsidP="004C2997">
      <w:pPr>
        <w:autoSpaceDE w:val="0"/>
        <w:autoSpaceDN w:val="0"/>
        <w:adjustRightInd w:val="0"/>
        <w:spacing w:after="0" w:line="240" w:lineRule="auto"/>
        <w:ind w:left="150" w:right="150" w:firstLine="750"/>
        <w:rPr>
          <w:rFonts w:ascii="Times New Roman" w:hAnsi="Times New Roman" w:cs="Times New Roman"/>
          <w:sz w:val="20"/>
          <w:szCs w:val="20"/>
        </w:rPr>
      </w:pPr>
      <w:r>
        <w:rPr>
          <w:rFonts w:ascii="Times New Roman" w:hAnsi="Times New Roman" w:cs="Times New Roman"/>
          <w:sz w:val="20"/>
          <w:szCs w:val="20"/>
        </w:rPr>
        <w:t>- rajzok, ábrák értelmezése,</w:t>
      </w:r>
    </w:p>
    <w:p w:rsidR="004C2997" w:rsidRDefault="004C2997" w:rsidP="004C2997">
      <w:pPr>
        <w:autoSpaceDE w:val="0"/>
        <w:autoSpaceDN w:val="0"/>
        <w:adjustRightInd w:val="0"/>
        <w:spacing w:after="0" w:line="240" w:lineRule="auto"/>
        <w:ind w:left="150" w:right="150" w:firstLine="750"/>
        <w:rPr>
          <w:rFonts w:ascii="Times New Roman" w:hAnsi="Times New Roman" w:cs="Times New Roman"/>
          <w:sz w:val="20"/>
          <w:szCs w:val="20"/>
        </w:rPr>
      </w:pPr>
      <w:r>
        <w:rPr>
          <w:rFonts w:ascii="Times New Roman" w:hAnsi="Times New Roman" w:cs="Times New Roman"/>
          <w:sz w:val="20"/>
          <w:szCs w:val="20"/>
        </w:rPr>
        <w:t>- anyanyelvi és szakmai kommunikáció ,</w:t>
      </w:r>
    </w:p>
    <w:p w:rsidR="004C2997" w:rsidRDefault="004C2997" w:rsidP="004C2997">
      <w:pPr>
        <w:autoSpaceDE w:val="0"/>
        <w:autoSpaceDN w:val="0"/>
        <w:adjustRightInd w:val="0"/>
        <w:spacing w:after="0" w:line="240" w:lineRule="auto"/>
        <w:ind w:left="150" w:right="150" w:firstLine="750"/>
        <w:rPr>
          <w:rFonts w:ascii="Times New Roman" w:hAnsi="Times New Roman" w:cs="Times New Roman"/>
          <w:sz w:val="20"/>
          <w:szCs w:val="20"/>
        </w:rPr>
      </w:pPr>
      <w:r>
        <w:rPr>
          <w:rFonts w:ascii="Times New Roman" w:hAnsi="Times New Roman" w:cs="Times New Roman"/>
          <w:sz w:val="20"/>
          <w:szCs w:val="20"/>
        </w:rPr>
        <w:t>- a számítástechnika alkalmazási lehetőségei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tájékozott-e szűkebb környezetének környezetvédelmi és vízgazdálkodási helyzetéről.</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Az emelt szintű érettségi vizsga célja annak megállapítása, hogy a vizsgázó, a középszintű követelményeken túl</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 környezeti, ill. technológiai mérések lehetőségeit,</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képes-e szabadkézi vázlatot, egyszerűbb műszaki rajzot készíteni a szakterületen alkalmazott létesítményekről, berendezésekről,</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tudja-e elméleti ismereteit alkalmazni egyszerűbb ellenőrzési, méretezési feladatok megoldásánál és a mérési adatok elemzése során.</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p>
    <w:p w:rsidR="004C2997" w:rsidRDefault="004C2997" w:rsidP="004C2997">
      <w:pPr>
        <w:autoSpaceDE w:val="0"/>
        <w:autoSpaceDN w:val="0"/>
        <w:adjustRightInd w:val="0"/>
        <w:spacing w:before="180" w:after="90" w:line="240" w:lineRule="auto"/>
        <w:ind w:right="150"/>
        <w:rPr>
          <w:rFonts w:ascii="Times New Roman" w:hAnsi="Times New Roman" w:cs="Times New Roman"/>
          <w:sz w:val="20"/>
          <w:szCs w:val="20"/>
        </w:rPr>
      </w:pPr>
      <w:r>
        <w:rPr>
          <w:rFonts w:ascii="Times New Roman" w:hAnsi="Times New Roman" w:cs="Times New Roman"/>
          <w:b/>
          <w:bCs/>
          <w:sz w:val="20"/>
          <w:szCs w:val="20"/>
        </w:rPr>
        <w:t>Tartalmi követelmények</w:t>
      </w:r>
    </w:p>
    <w:tbl>
      <w:tblPr>
        <w:tblW w:w="0" w:type="auto"/>
        <w:tblLayout w:type="fixed"/>
        <w:tblCellMar>
          <w:left w:w="70" w:type="dxa"/>
          <w:right w:w="70" w:type="dxa"/>
        </w:tblCellMar>
        <w:tblLook w:val="0000" w:firstRow="0" w:lastRow="0" w:firstColumn="0" w:lastColumn="0" w:noHBand="0" w:noVBand="0"/>
      </w:tblPr>
      <w:tblGrid>
        <w:gridCol w:w="2551"/>
        <w:gridCol w:w="39"/>
        <w:gridCol w:w="3960"/>
        <w:gridCol w:w="324"/>
        <w:gridCol w:w="2835"/>
      </w:tblGrid>
      <w:tr w:rsidR="004C2997">
        <w:tblPrEx>
          <w:tblCellMar>
            <w:top w:w="0" w:type="dxa"/>
            <w:bottom w:w="0" w:type="dxa"/>
          </w:tblCellMar>
        </w:tblPrEx>
        <w:tc>
          <w:tcPr>
            <w:tcW w:w="2551"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b/>
                <w:bCs/>
                <w:sz w:val="20"/>
                <w:szCs w:val="20"/>
              </w:rPr>
              <w:t xml:space="preserve">Témakörök </w:t>
            </w:r>
          </w:p>
        </w:tc>
        <w:tc>
          <w:tcPr>
            <w:tcW w:w="4323" w:type="dxa"/>
            <w:gridSpan w:val="3"/>
            <w:tcBorders>
              <w:top w:val="nil"/>
              <w:left w:val="nil"/>
              <w:bottom w:val="nil"/>
              <w:right w:val="nil"/>
            </w:tcBorders>
          </w:tcPr>
          <w:p w:rsidR="004C2997" w:rsidRDefault="004C2997">
            <w:pPr>
              <w:autoSpaceDE w:val="0"/>
              <w:autoSpaceDN w:val="0"/>
              <w:adjustRightInd w:val="0"/>
              <w:spacing w:after="90" w:line="240" w:lineRule="auto"/>
              <w:ind w:right="150"/>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2835" w:type="dxa"/>
            <w:tcBorders>
              <w:top w:val="nil"/>
              <w:left w:val="nil"/>
              <w:bottom w:val="nil"/>
              <w:right w:val="nil"/>
            </w:tcBorders>
          </w:tcPr>
          <w:p w:rsidR="004C2997" w:rsidRDefault="004C2997">
            <w:pPr>
              <w:autoSpaceDE w:val="0"/>
              <w:autoSpaceDN w:val="0"/>
              <w:adjustRightInd w:val="0"/>
              <w:spacing w:after="90" w:line="240" w:lineRule="auto"/>
              <w:ind w:right="150"/>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9709" w:type="dxa"/>
            <w:gridSpan w:val="5"/>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b/>
                <w:bCs/>
                <w:sz w:val="20"/>
                <w:szCs w:val="20"/>
              </w:rPr>
              <w:t>1. Az ember és a természeti környezet</w:t>
            </w:r>
          </w:p>
        </w:tc>
      </w:tr>
      <w:tr w:rsidR="004C2997">
        <w:tblPrEx>
          <w:tblCellMar>
            <w:top w:w="0" w:type="dxa"/>
            <w:bottom w:w="0" w:type="dxa"/>
          </w:tblCellMar>
        </w:tblPrEx>
        <w:tc>
          <w:tcPr>
            <w:tcW w:w="2551"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A természeti környezet mint rendszer</w:t>
            </w:r>
          </w:p>
        </w:tc>
        <w:tc>
          <w:tcPr>
            <w:tcW w:w="4323" w:type="dxa"/>
            <w:gridSpan w:val="3"/>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Ismerje a környezet, a környezetvédelem, a vízgazdálkodás, a bioszféra, az ökoszisztéma és a biológiai egyensúly fogalmát, lényegét.</w:t>
            </w:r>
          </w:p>
        </w:tc>
        <w:tc>
          <w:tcPr>
            <w:tcW w:w="2835"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p>
        </w:tc>
      </w:tr>
      <w:tr w:rsidR="004C2997">
        <w:tblPrEx>
          <w:tblCellMar>
            <w:top w:w="0" w:type="dxa"/>
            <w:bottom w:w="0" w:type="dxa"/>
          </w:tblCellMar>
        </w:tblPrEx>
        <w:tc>
          <w:tcPr>
            <w:tcW w:w="2551"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Természetvédelem</w:t>
            </w:r>
          </w:p>
        </w:tc>
        <w:tc>
          <w:tcPr>
            <w:tcW w:w="4323" w:type="dxa"/>
            <w:gridSpan w:val="3"/>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Ismerje a természetvédelem alapelveit, eszközeit, a természetvédelem tárgyait, a tájvédelem alapfogalmait. </w:t>
            </w:r>
            <w:r>
              <w:rPr>
                <w:rFonts w:ascii="Times New Roman" w:hAnsi="Times New Roman" w:cs="Times New Roman"/>
                <w:sz w:val="20"/>
                <w:szCs w:val="20"/>
              </w:rPr>
              <w:br/>
              <w:t>Rendszerezze a védett természeti értékeket, a védelem fokozatait.</w:t>
            </w:r>
          </w:p>
        </w:tc>
        <w:tc>
          <w:tcPr>
            <w:tcW w:w="2835"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Ismerje a természetvédelmi értékelés alapjait.</w:t>
            </w:r>
          </w:p>
        </w:tc>
      </w:tr>
      <w:tr w:rsidR="004C2997">
        <w:tblPrEx>
          <w:tblCellMar>
            <w:top w:w="0" w:type="dxa"/>
            <w:bottom w:w="0" w:type="dxa"/>
          </w:tblCellMar>
        </w:tblPrEx>
        <w:tc>
          <w:tcPr>
            <w:tcW w:w="9709" w:type="dxa"/>
            <w:gridSpan w:val="5"/>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2. Környezeti elemek</w:t>
            </w:r>
          </w:p>
        </w:tc>
      </w:tr>
      <w:tr w:rsidR="004C2997">
        <w:tblPrEx>
          <w:tblCellMar>
            <w:top w:w="0" w:type="dxa"/>
            <w:bottom w:w="0" w:type="dxa"/>
          </w:tblCellMar>
        </w:tblPrEx>
        <w:tc>
          <w:tcPr>
            <w:tcW w:w="2551"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A talaj kialakulása, fontosabb tulajdonságai</w:t>
            </w:r>
          </w:p>
        </w:tc>
        <w:tc>
          <w:tcPr>
            <w:tcW w:w="4323" w:type="dxa"/>
            <w:gridSpan w:val="3"/>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Ismerje a talaj keletkezésének folyamatát és fontosabb tulajdonságait. </w:t>
            </w:r>
            <w:r>
              <w:rPr>
                <w:rFonts w:ascii="Times New Roman" w:hAnsi="Times New Roman" w:cs="Times New Roman"/>
                <w:sz w:val="20"/>
                <w:szCs w:val="20"/>
              </w:rPr>
              <w:br/>
              <w:t>Ismerje hazánk jellemző genetikai talajtípusainak tulajdonságait.</w:t>
            </w:r>
          </w:p>
        </w:tc>
        <w:tc>
          <w:tcPr>
            <w:tcW w:w="2835"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Ismerje a káros antropogén hatások megelőzésének, mérséklésének, megszüntetésének lehetőségeit.</w:t>
            </w:r>
          </w:p>
        </w:tc>
      </w:tr>
      <w:tr w:rsidR="004C2997">
        <w:tblPrEx>
          <w:tblCellMar>
            <w:top w:w="0" w:type="dxa"/>
            <w:bottom w:w="0" w:type="dxa"/>
          </w:tblCellMar>
        </w:tblPrEx>
        <w:tc>
          <w:tcPr>
            <w:tcW w:w="2551"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A természeti erők hatásai</w:t>
            </w:r>
          </w:p>
        </w:tc>
        <w:tc>
          <w:tcPr>
            <w:tcW w:w="4323" w:type="dxa"/>
            <w:gridSpan w:val="3"/>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Ismerje az erózió és a defláció jelenségét, azok kiváltó okait és befolyásoló tényezőit.</w:t>
            </w:r>
          </w:p>
        </w:tc>
        <w:tc>
          <w:tcPr>
            <w:tcW w:w="2835"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Ismerje a természeti erők kedvezőtlen hatásainak csökkentési, kiküszöbölési </w:t>
            </w:r>
            <w:r>
              <w:rPr>
                <w:rFonts w:ascii="Times New Roman" w:hAnsi="Times New Roman" w:cs="Times New Roman"/>
                <w:sz w:val="20"/>
                <w:szCs w:val="20"/>
              </w:rPr>
              <w:lastRenderedPageBreak/>
              <w:t>lehetőségeit.</w:t>
            </w:r>
          </w:p>
        </w:tc>
      </w:tr>
      <w:tr w:rsidR="004C2997">
        <w:tblPrEx>
          <w:tblCellMar>
            <w:top w:w="0" w:type="dxa"/>
            <w:bottom w:w="0" w:type="dxa"/>
          </w:tblCellMar>
        </w:tblPrEx>
        <w:tc>
          <w:tcPr>
            <w:tcW w:w="2551"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lastRenderedPageBreak/>
              <w:t>Felszíni vizek jellemzői</w:t>
            </w:r>
          </w:p>
        </w:tc>
        <w:tc>
          <w:tcPr>
            <w:tcW w:w="4323" w:type="dxa"/>
            <w:gridSpan w:val="3"/>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Mutassa be az eróziós hatás különböző megjelenési formáit és a meder kialakulásának folyamatát. </w:t>
            </w:r>
            <w:r>
              <w:rPr>
                <w:rFonts w:ascii="Times New Roman" w:hAnsi="Times New Roman" w:cs="Times New Roman"/>
                <w:sz w:val="20"/>
                <w:szCs w:val="20"/>
              </w:rPr>
              <w:br/>
              <w:t xml:space="preserve">Ábrázoljon egy természetes vízfolyást helyszínrajzon és keresztszelvényeken. </w:t>
            </w:r>
            <w:r>
              <w:rPr>
                <w:rFonts w:ascii="Times New Roman" w:hAnsi="Times New Roman" w:cs="Times New Roman"/>
                <w:sz w:val="20"/>
                <w:szCs w:val="20"/>
              </w:rPr>
              <w:br/>
              <w:t>Ismertesse az állóvizek fajtáit, jellegzetességeiket.</w:t>
            </w:r>
          </w:p>
        </w:tc>
        <w:tc>
          <w:tcPr>
            <w:tcW w:w="2835"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Elemezze a szakaszjelleg és a hordalékmozgás kapcsolatát. </w:t>
            </w:r>
            <w:r>
              <w:rPr>
                <w:rFonts w:ascii="Times New Roman" w:hAnsi="Times New Roman" w:cs="Times New Roman"/>
                <w:sz w:val="20"/>
                <w:szCs w:val="20"/>
              </w:rPr>
              <w:br/>
              <w:t>Mutassa be a sebességeloszlást a mederben, valamint a sebesség és mélység kapcsolatát.</w:t>
            </w:r>
          </w:p>
        </w:tc>
      </w:tr>
      <w:tr w:rsidR="004C2997">
        <w:tblPrEx>
          <w:tblCellMar>
            <w:top w:w="0" w:type="dxa"/>
            <w:bottom w:w="0" w:type="dxa"/>
          </w:tblCellMar>
        </w:tblPrEx>
        <w:tc>
          <w:tcPr>
            <w:tcW w:w="2551"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A levegő minősége</w:t>
            </w:r>
          </w:p>
        </w:tc>
        <w:tc>
          <w:tcPr>
            <w:tcW w:w="4323" w:type="dxa"/>
            <w:gridSpan w:val="3"/>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Ismerje a légkör szerkezetét, természetes összetevőit. </w:t>
            </w:r>
            <w:r>
              <w:rPr>
                <w:rFonts w:ascii="Times New Roman" w:hAnsi="Times New Roman" w:cs="Times New Roman"/>
                <w:sz w:val="20"/>
                <w:szCs w:val="20"/>
              </w:rPr>
              <w:br/>
              <w:t xml:space="preserve">Határozza meg az emisszió, transzmisszió (terjedés, öntisztulás, hígulás), immisszió fogalmát. </w:t>
            </w:r>
            <w:r>
              <w:rPr>
                <w:rFonts w:ascii="Times New Roman" w:hAnsi="Times New Roman" w:cs="Times New Roman"/>
                <w:sz w:val="20"/>
                <w:szCs w:val="20"/>
              </w:rPr>
              <w:br/>
              <w:t xml:space="preserve">Mutassa be a füstköd - szmog - kialakulásának folyamatát. </w:t>
            </w:r>
            <w:r>
              <w:rPr>
                <w:rFonts w:ascii="Times New Roman" w:hAnsi="Times New Roman" w:cs="Times New Roman"/>
                <w:sz w:val="20"/>
                <w:szCs w:val="20"/>
              </w:rPr>
              <w:br/>
              <w:t>Elemezze a levegőszennyezettség egészségügyi és gazdasági hatásait.</w:t>
            </w:r>
          </w:p>
        </w:tc>
        <w:tc>
          <w:tcPr>
            <w:tcW w:w="2835"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Ismerje az emissziós forrásokat, az emissziós és imissziós mérési lehetőségeket. Elemezze a mért adatokat.</w:t>
            </w:r>
          </w:p>
        </w:tc>
      </w:tr>
      <w:tr w:rsidR="004C2997">
        <w:tblPrEx>
          <w:tblCellMar>
            <w:top w:w="0" w:type="dxa"/>
            <w:bottom w:w="0" w:type="dxa"/>
          </w:tblCellMar>
        </w:tblPrEx>
        <w:tc>
          <w:tcPr>
            <w:tcW w:w="2551"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Környezeti elemek vizsgálata</w:t>
            </w:r>
          </w:p>
        </w:tc>
        <w:tc>
          <w:tcPr>
            <w:tcW w:w="4323" w:type="dxa"/>
            <w:gridSpan w:val="3"/>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Ismerje a minta fogalmát, fajtáit. Mutassa be a terepi, ill. laboratóriumi vizsgálatok lehetőségeit, módszereit.</w:t>
            </w:r>
          </w:p>
        </w:tc>
        <w:tc>
          <w:tcPr>
            <w:tcW w:w="2835"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Magyarázza el a mennyiségi elemzés módszereit.</w:t>
            </w:r>
          </w:p>
        </w:tc>
      </w:tr>
      <w:tr w:rsidR="004C2997">
        <w:tblPrEx>
          <w:tblCellMar>
            <w:top w:w="0" w:type="dxa"/>
            <w:bottom w:w="0" w:type="dxa"/>
          </w:tblCellMar>
        </w:tblPrEx>
        <w:tc>
          <w:tcPr>
            <w:tcW w:w="9709" w:type="dxa"/>
            <w:gridSpan w:val="5"/>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b/>
                <w:bCs/>
                <w:sz w:val="20"/>
                <w:szCs w:val="20"/>
              </w:rPr>
              <w:t>3. Települési alapismeretek</w:t>
            </w:r>
          </w:p>
        </w:tc>
      </w:tr>
      <w:tr w:rsidR="004C2997">
        <w:tblPrEx>
          <w:tblCellMar>
            <w:top w:w="0" w:type="dxa"/>
            <w:bottom w:w="0" w:type="dxa"/>
          </w:tblCellMar>
        </w:tblPrEx>
        <w:tc>
          <w:tcPr>
            <w:tcW w:w="2551"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Településgazdálkodási alapfogalmak</w:t>
            </w:r>
          </w:p>
        </w:tc>
        <w:tc>
          <w:tcPr>
            <w:tcW w:w="4323" w:type="dxa"/>
            <w:gridSpan w:val="3"/>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Ismerje a településkategóriákat, a települések hálózatait. </w:t>
            </w:r>
            <w:r>
              <w:rPr>
                <w:rFonts w:ascii="Times New Roman" w:hAnsi="Times New Roman" w:cs="Times New Roman"/>
                <w:sz w:val="20"/>
                <w:szCs w:val="20"/>
              </w:rPr>
              <w:br/>
              <w:t>Mutassa be a különböző területhasználatok eltérő környezeti hatásait.</w:t>
            </w:r>
          </w:p>
        </w:tc>
        <w:tc>
          <w:tcPr>
            <w:tcW w:w="2835"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Ismerje az OTÉK területgazdálkodásra és -használatra vonatkozó főbb előírásait, a települési rendezési tervekből nyerhető fontosabb információkat.</w:t>
            </w:r>
          </w:p>
        </w:tc>
      </w:tr>
      <w:tr w:rsidR="004C2997">
        <w:tblPrEx>
          <w:tblCellMar>
            <w:top w:w="0" w:type="dxa"/>
            <w:bottom w:w="0" w:type="dxa"/>
          </w:tblCellMar>
        </w:tblPrEx>
        <w:tc>
          <w:tcPr>
            <w:tcW w:w="2551"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A települések hálózatai</w:t>
            </w:r>
          </w:p>
        </w:tc>
        <w:tc>
          <w:tcPr>
            <w:tcW w:w="4323" w:type="dxa"/>
            <w:gridSpan w:val="3"/>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Ismertesse a közművek fogalmát, csoportosítását.</w:t>
            </w:r>
          </w:p>
        </w:tc>
        <w:tc>
          <w:tcPr>
            <w:tcW w:w="2835"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Mutassa be a közművek nyilvántartásának módját és elemezze a nyilvántartásból szerezhető információkat.</w:t>
            </w:r>
          </w:p>
        </w:tc>
      </w:tr>
      <w:tr w:rsidR="004C2997">
        <w:tblPrEx>
          <w:tblCellMar>
            <w:top w:w="0" w:type="dxa"/>
            <w:bottom w:w="0" w:type="dxa"/>
          </w:tblCellMar>
        </w:tblPrEx>
        <w:tc>
          <w:tcPr>
            <w:tcW w:w="2551"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Hulladékgazdálkodás</w:t>
            </w:r>
          </w:p>
        </w:tc>
        <w:tc>
          <w:tcPr>
            <w:tcW w:w="4323" w:type="dxa"/>
            <w:gridSpan w:val="3"/>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Ismerje a hulladék fogalmát, fajtáit, a hulladékkezelés alapfogalmait. </w:t>
            </w:r>
            <w:r>
              <w:rPr>
                <w:rFonts w:ascii="Times New Roman" w:hAnsi="Times New Roman" w:cs="Times New Roman"/>
                <w:sz w:val="20"/>
                <w:szCs w:val="20"/>
              </w:rPr>
              <w:br/>
              <w:t xml:space="preserve">Magyarázza el a hulladékminőség és a termelési technológia összefüggéseit. </w:t>
            </w:r>
            <w:r>
              <w:rPr>
                <w:rFonts w:ascii="Times New Roman" w:hAnsi="Times New Roman" w:cs="Times New Roman"/>
                <w:sz w:val="20"/>
                <w:szCs w:val="20"/>
              </w:rPr>
              <w:br/>
              <w:t>Elemezze a hulladékok csökkentésének módjait, az újrahasznosítás lehetőségeit.</w:t>
            </w:r>
          </w:p>
        </w:tc>
        <w:tc>
          <w:tcPr>
            <w:tcW w:w="2835"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Készítse el egy egyszerűbb technológiai folyamat anyagforgalmi diagramját, anyagmérlegét.</w:t>
            </w:r>
          </w:p>
        </w:tc>
      </w:tr>
      <w:tr w:rsidR="004C2997">
        <w:tblPrEx>
          <w:tblCellMar>
            <w:top w:w="0" w:type="dxa"/>
            <w:bottom w:w="0" w:type="dxa"/>
          </w:tblCellMar>
        </w:tblPrEx>
        <w:tc>
          <w:tcPr>
            <w:tcW w:w="2551"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zaj</w:t>
            </w:r>
          </w:p>
        </w:tc>
        <w:tc>
          <w:tcPr>
            <w:tcW w:w="4323" w:type="dxa"/>
            <w:gridSpan w:val="3"/>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Ismerje a hangtani alapfogalmakat, mértékegységeket, a zaj élettani hatásait.</w:t>
            </w:r>
          </w:p>
        </w:tc>
        <w:tc>
          <w:tcPr>
            <w:tcW w:w="2835"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Ismerje a zajmérés lehetőségeit, magyarázza el a mérések elvét. </w:t>
            </w:r>
            <w:r>
              <w:rPr>
                <w:rFonts w:ascii="Times New Roman" w:hAnsi="Times New Roman" w:cs="Times New Roman"/>
                <w:sz w:val="20"/>
                <w:szCs w:val="20"/>
              </w:rPr>
              <w:br/>
              <w:t>Elemezze a mért adatokat, értelmezze a vonatkozó határértékeket.</w:t>
            </w:r>
          </w:p>
        </w:tc>
      </w:tr>
      <w:tr w:rsidR="004C2997">
        <w:tblPrEx>
          <w:tblCellMar>
            <w:top w:w="0" w:type="dxa"/>
            <w:bottom w:w="0" w:type="dxa"/>
          </w:tblCellMar>
        </w:tblPrEx>
        <w:tc>
          <w:tcPr>
            <w:tcW w:w="2551"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Radioaktivitás</w:t>
            </w:r>
          </w:p>
        </w:tc>
        <w:tc>
          <w:tcPr>
            <w:tcW w:w="4323" w:type="dxa"/>
            <w:gridSpan w:val="3"/>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Ismerje a sugárvédelmi alapfogalmakat, mértékegységeket. Mutassa be az atomerőművek környezeti hatásait.</w:t>
            </w:r>
          </w:p>
        </w:tc>
        <w:tc>
          <w:tcPr>
            <w:tcW w:w="2835"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Ismerje a zajmérés lehetőségeit, magyarázza el a mérések elvét. </w:t>
            </w:r>
            <w:r>
              <w:rPr>
                <w:rFonts w:ascii="Times New Roman" w:hAnsi="Times New Roman" w:cs="Times New Roman"/>
                <w:sz w:val="20"/>
                <w:szCs w:val="20"/>
              </w:rPr>
              <w:br/>
              <w:t>Elemezze a mért adatokat, értelmezze a vonatkozó határértékeket.</w:t>
            </w:r>
          </w:p>
        </w:tc>
      </w:tr>
      <w:tr w:rsidR="004C2997">
        <w:tblPrEx>
          <w:tblCellMar>
            <w:top w:w="0" w:type="dxa"/>
            <w:bottom w:w="0" w:type="dxa"/>
          </w:tblCellMar>
        </w:tblPrEx>
        <w:trPr>
          <w:trHeight w:val="350"/>
        </w:trPr>
        <w:tc>
          <w:tcPr>
            <w:tcW w:w="9709" w:type="dxa"/>
            <w:gridSpan w:val="5"/>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b/>
                <w:bCs/>
                <w:sz w:val="20"/>
                <w:szCs w:val="20"/>
              </w:rPr>
              <w:t>4. Tájékozódás és mérés a terepen</w:t>
            </w:r>
          </w:p>
        </w:tc>
      </w:tr>
      <w:tr w:rsidR="004C2997">
        <w:tblPrEx>
          <w:tblCellMar>
            <w:top w:w="0" w:type="dxa"/>
            <w:bottom w:w="0" w:type="dxa"/>
          </w:tblCellMar>
        </w:tblPrEx>
        <w:tc>
          <w:tcPr>
            <w:tcW w:w="2590" w:type="dxa"/>
            <w:gridSpan w:val="2"/>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p>
        </w:tc>
        <w:tc>
          <w:tcPr>
            <w:tcW w:w="4284" w:type="dxa"/>
            <w:gridSpan w:val="2"/>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Ismerje a helymeghatározás, a kitűzés, a magasságmérés elvét, módszereit. </w:t>
            </w:r>
            <w:r>
              <w:rPr>
                <w:rFonts w:ascii="Times New Roman" w:hAnsi="Times New Roman" w:cs="Times New Roman"/>
                <w:sz w:val="20"/>
                <w:szCs w:val="20"/>
              </w:rPr>
              <w:br/>
              <w:t xml:space="preserve">Magyarázza el az egyenes kitűzés, a távolságmérés lépéseit, a derékszögű koordináta-mérés végrehajtását. </w:t>
            </w:r>
            <w:r>
              <w:rPr>
                <w:rFonts w:ascii="Times New Roman" w:hAnsi="Times New Roman" w:cs="Times New Roman"/>
                <w:sz w:val="20"/>
                <w:szCs w:val="20"/>
              </w:rPr>
              <w:br/>
              <w:t>Sorolja fel és mutassa be a főbb szintezési munkákat.</w:t>
            </w:r>
          </w:p>
        </w:tc>
        <w:tc>
          <w:tcPr>
            <w:tcW w:w="2835"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Számítsa ki a szintezési jegyzőkönyvet, készítse el a szintezési munkák rajzi feldolgozását.</w:t>
            </w:r>
          </w:p>
        </w:tc>
      </w:tr>
      <w:tr w:rsidR="004C2997">
        <w:tblPrEx>
          <w:tblCellMar>
            <w:top w:w="0" w:type="dxa"/>
            <w:bottom w:w="0" w:type="dxa"/>
          </w:tblCellMar>
        </w:tblPrEx>
        <w:tc>
          <w:tcPr>
            <w:tcW w:w="9709" w:type="dxa"/>
            <w:gridSpan w:val="5"/>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b/>
                <w:bCs/>
                <w:sz w:val="20"/>
                <w:szCs w:val="20"/>
              </w:rPr>
              <w:t>5. Vízgazdálkodási alapismeretek</w:t>
            </w:r>
          </w:p>
        </w:tc>
      </w:tr>
      <w:tr w:rsidR="004C2997">
        <w:tblPrEx>
          <w:tblCellMar>
            <w:top w:w="0" w:type="dxa"/>
            <w:bottom w:w="0" w:type="dxa"/>
          </w:tblCellMar>
        </w:tblPrEx>
        <w:tc>
          <w:tcPr>
            <w:tcW w:w="2590" w:type="dxa"/>
            <w:gridSpan w:val="2"/>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lastRenderedPageBreak/>
              <w:t>Környezet- és hidrometeorológiai alapok</w:t>
            </w:r>
          </w:p>
        </w:tc>
        <w:tc>
          <w:tcPr>
            <w:tcW w:w="3960"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Ismerje az időjárási elemeket, azok mérésének módjait.</w:t>
            </w:r>
            <w:r>
              <w:rPr>
                <w:rFonts w:ascii="Times New Roman" w:hAnsi="Times New Roman" w:cs="Times New Roman"/>
                <w:sz w:val="20"/>
                <w:szCs w:val="20"/>
              </w:rPr>
              <w:br/>
              <w:t>Értelmezze a víz körforgásának folyamatát, mutassa be a vízkészlet-változás okait.</w:t>
            </w:r>
          </w:p>
        </w:tc>
        <w:tc>
          <w:tcPr>
            <w:tcW w:w="3159" w:type="dxa"/>
            <w:gridSpan w:val="2"/>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p>
        </w:tc>
      </w:tr>
      <w:tr w:rsidR="004C2997">
        <w:tblPrEx>
          <w:tblCellMar>
            <w:top w:w="0" w:type="dxa"/>
            <w:bottom w:w="0" w:type="dxa"/>
          </w:tblCellMar>
        </w:tblPrEx>
        <w:tc>
          <w:tcPr>
            <w:tcW w:w="2590" w:type="dxa"/>
            <w:gridSpan w:val="2"/>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A víz mennyiségi mérése</w:t>
            </w:r>
          </w:p>
        </w:tc>
        <w:tc>
          <w:tcPr>
            <w:tcW w:w="3960"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Ismerje a vízállás- és vízhozam mérés módjait, magyarázza el a mérések elvét.</w:t>
            </w:r>
          </w:p>
        </w:tc>
        <w:tc>
          <w:tcPr>
            <w:tcW w:w="3159" w:type="dxa"/>
            <w:gridSpan w:val="2"/>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Elemezze a mért adatsorokat, végezzen matematikai statisztikai feldolgozást.</w:t>
            </w:r>
          </w:p>
        </w:tc>
      </w:tr>
      <w:tr w:rsidR="004C2997">
        <w:tblPrEx>
          <w:tblCellMar>
            <w:top w:w="0" w:type="dxa"/>
            <w:bottom w:w="0" w:type="dxa"/>
          </w:tblCellMar>
        </w:tblPrEx>
        <w:tc>
          <w:tcPr>
            <w:tcW w:w="2590" w:type="dxa"/>
            <w:gridSpan w:val="2"/>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A vizek minősége</w:t>
            </w:r>
          </w:p>
        </w:tc>
        <w:tc>
          <w:tcPr>
            <w:tcW w:w="3960"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Ismerje a folyadékok elemi tulajdonságait, a vízminőség és a vízminősítés fogalmát. </w:t>
            </w:r>
            <w:r>
              <w:rPr>
                <w:rFonts w:ascii="Times New Roman" w:hAnsi="Times New Roman" w:cs="Times New Roman"/>
                <w:sz w:val="20"/>
                <w:szCs w:val="20"/>
              </w:rPr>
              <w:br/>
              <w:t xml:space="preserve">Mutassa be a különféle vízhasználatok minőségi igényeit. Rendszerezze a vízszennyezés forrásait. </w:t>
            </w:r>
            <w:r>
              <w:rPr>
                <w:rFonts w:ascii="Times New Roman" w:hAnsi="Times New Roman" w:cs="Times New Roman"/>
                <w:sz w:val="20"/>
                <w:szCs w:val="20"/>
              </w:rPr>
              <w:br/>
              <w:t>Elemezze a szennyezés hatását a vízi ökoszisztémára és a szennyezett ivóvíz élettani hatását.</w:t>
            </w:r>
          </w:p>
        </w:tc>
        <w:tc>
          <w:tcPr>
            <w:tcW w:w="3159" w:type="dxa"/>
            <w:gridSpan w:val="2"/>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Elemezze az élővíz, az ivóvíz és a szennyvíz minőségi mutatóit, a minősítésük rendszerét. </w:t>
            </w:r>
            <w:r>
              <w:rPr>
                <w:rFonts w:ascii="Times New Roman" w:hAnsi="Times New Roman" w:cs="Times New Roman"/>
                <w:sz w:val="20"/>
                <w:szCs w:val="20"/>
              </w:rPr>
              <w:br/>
              <w:t>Végezzen adott paraméterek alapján osztályba sorolást. Ismerje a nagyobb ipari vízhasználók minőségi igényeit.</w:t>
            </w:r>
          </w:p>
        </w:tc>
      </w:tr>
      <w:tr w:rsidR="004C2997">
        <w:tblPrEx>
          <w:tblCellMar>
            <w:top w:w="0" w:type="dxa"/>
            <w:bottom w:w="0" w:type="dxa"/>
          </w:tblCellMar>
        </w:tblPrEx>
        <w:tc>
          <w:tcPr>
            <w:tcW w:w="2590" w:type="dxa"/>
            <w:gridSpan w:val="2"/>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Hidrosztatikai ismeretek</w:t>
            </w:r>
          </w:p>
        </w:tc>
        <w:tc>
          <w:tcPr>
            <w:tcW w:w="3960"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Mutassa be a Pascal-törvény alkalmazási lehetőségeit a hidrosztatikai problémák megoldásánál (közlekedőedények, felhajtó erő, úszás, víznyomás ábrák).</w:t>
            </w:r>
          </w:p>
        </w:tc>
        <w:tc>
          <w:tcPr>
            <w:tcW w:w="3159" w:type="dxa"/>
            <w:gridSpan w:val="2"/>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Szerkesszen víznyomás ábrákat. </w:t>
            </w:r>
            <w:r>
              <w:rPr>
                <w:rFonts w:ascii="Times New Roman" w:hAnsi="Times New Roman" w:cs="Times New Roman"/>
                <w:sz w:val="20"/>
                <w:szCs w:val="20"/>
              </w:rPr>
              <w:br/>
              <w:t>Számítson ki víznyomáshoz, úszáshoz kapcsolódó feladatokat.</w:t>
            </w:r>
          </w:p>
        </w:tc>
      </w:tr>
      <w:tr w:rsidR="004C2997">
        <w:tblPrEx>
          <w:tblCellMar>
            <w:top w:w="0" w:type="dxa"/>
            <w:bottom w:w="0" w:type="dxa"/>
          </w:tblCellMar>
        </w:tblPrEx>
        <w:tc>
          <w:tcPr>
            <w:tcW w:w="2590" w:type="dxa"/>
            <w:gridSpan w:val="2"/>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Hidrodinamikai ismeretek</w:t>
            </w:r>
          </w:p>
        </w:tc>
        <w:tc>
          <w:tcPr>
            <w:tcW w:w="3960"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Ismerje a folyadékmozgások osztályozását több szempont szerint is. </w:t>
            </w:r>
            <w:r>
              <w:rPr>
                <w:rFonts w:ascii="Times New Roman" w:hAnsi="Times New Roman" w:cs="Times New Roman"/>
                <w:sz w:val="20"/>
                <w:szCs w:val="20"/>
              </w:rPr>
              <w:br/>
              <w:t>Mutassa be a gravitációs- és a nyomás alatti vízmozgás alapvető számítási eljárásait.</w:t>
            </w:r>
          </w:p>
        </w:tc>
        <w:tc>
          <w:tcPr>
            <w:tcW w:w="3159" w:type="dxa"/>
            <w:gridSpan w:val="2"/>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Ismertesse a kúthidraulika alapjait. </w:t>
            </w:r>
            <w:r>
              <w:rPr>
                <w:rFonts w:ascii="Times New Roman" w:hAnsi="Times New Roman" w:cs="Times New Roman"/>
                <w:sz w:val="20"/>
                <w:szCs w:val="20"/>
              </w:rPr>
              <w:br/>
              <w:t>Méretezzen, ellenőrizzen gravitációs csatornákat és nyomócsöveket.</w:t>
            </w:r>
          </w:p>
        </w:tc>
      </w:tr>
      <w:tr w:rsidR="004C2997">
        <w:tblPrEx>
          <w:tblCellMar>
            <w:top w:w="0" w:type="dxa"/>
            <w:bottom w:w="0" w:type="dxa"/>
          </w:tblCellMar>
        </w:tblPrEx>
        <w:tc>
          <w:tcPr>
            <w:tcW w:w="9709" w:type="dxa"/>
            <w:gridSpan w:val="5"/>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6. Környezettechnikai eljárások (a víz- és szennyvíz-technológiában)</w:t>
            </w:r>
          </w:p>
        </w:tc>
      </w:tr>
      <w:tr w:rsidR="004C2997">
        <w:tblPrEx>
          <w:tblCellMar>
            <w:top w:w="0" w:type="dxa"/>
            <w:bottom w:w="0" w:type="dxa"/>
          </w:tblCellMar>
        </w:tblPrEx>
        <w:tc>
          <w:tcPr>
            <w:tcW w:w="2590" w:type="dxa"/>
            <w:gridSpan w:val="2"/>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Fizikai eljárások</w:t>
            </w:r>
          </w:p>
        </w:tc>
        <w:tc>
          <w:tcPr>
            <w:tcW w:w="3960"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Ismerje a fizikai eljárások, műveletek alapelveit, az alkalmazott műtárgyak, berendezések főbb típusait. </w:t>
            </w:r>
            <w:r>
              <w:rPr>
                <w:rFonts w:ascii="Times New Roman" w:hAnsi="Times New Roman" w:cs="Times New Roman"/>
                <w:sz w:val="20"/>
                <w:szCs w:val="20"/>
              </w:rPr>
              <w:br/>
              <w:t>Mutassa be a szűrők és az ülepítők méretezésének elveit.</w:t>
            </w:r>
          </w:p>
        </w:tc>
        <w:tc>
          <w:tcPr>
            <w:tcW w:w="3159" w:type="dxa"/>
            <w:gridSpan w:val="2"/>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Számítsa ki a műtárgyak, berendezések terhelési értékeit és méreteit. </w:t>
            </w:r>
            <w:r>
              <w:rPr>
                <w:rFonts w:ascii="Times New Roman" w:hAnsi="Times New Roman" w:cs="Times New Roman"/>
                <w:sz w:val="20"/>
                <w:szCs w:val="20"/>
              </w:rPr>
              <w:br/>
              <w:t>Készítsen vázlatot a leggyakoribb műtárgyakról, berendezésekről.</w:t>
            </w:r>
          </w:p>
        </w:tc>
      </w:tr>
      <w:tr w:rsidR="004C2997">
        <w:tblPrEx>
          <w:tblCellMar>
            <w:top w:w="0" w:type="dxa"/>
            <w:bottom w:w="0" w:type="dxa"/>
          </w:tblCellMar>
        </w:tblPrEx>
        <w:tc>
          <w:tcPr>
            <w:tcW w:w="2590" w:type="dxa"/>
            <w:gridSpan w:val="2"/>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Kémiai eljárások</w:t>
            </w:r>
          </w:p>
        </w:tc>
        <w:tc>
          <w:tcPr>
            <w:tcW w:w="3960"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Ismerje a kémiai eljárások alapelveit (derítés, kicsapás, oxidáció). </w:t>
            </w:r>
            <w:r>
              <w:rPr>
                <w:rFonts w:ascii="Times New Roman" w:hAnsi="Times New Roman" w:cs="Times New Roman"/>
                <w:sz w:val="20"/>
                <w:szCs w:val="20"/>
              </w:rPr>
              <w:br/>
              <w:t>Mutassa be a lejátszódó folyamatokat, az alkalmazott kémiai anyagok hatásmechanizmusát.</w:t>
            </w:r>
          </w:p>
        </w:tc>
        <w:tc>
          <w:tcPr>
            <w:tcW w:w="3159" w:type="dxa"/>
            <w:gridSpan w:val="2"/>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Mutassa be az ioncserélővel történő lágyítás és sómentesítés technológiáját. </w:t>
            </w:r>
            <w:r>
              <w:rPr>
                <w:rFonts w:ascii="Times New Roman" w:hAnsi="Times New Roman" w:cs="Times New Roman"/>
                <w:sz w:val="20"/>
                <w:szCs w:val="20"/>
              </w:rPr>
              <w:br/>
              <w:t>Saját készítésű vázlatrajzokon magyarázza el a technológiai folyamatokat.</w:t>
            </w:r>
          </w:p>
        </w:tc>
      </w:tr>
      <w:tr w:rsidR="004C2997">
        <w:tblPrEx>
          <w:tblCellMar>
            <w:top w:w="0" w:type="dxa"/>
            <w:bottom w:w="0" w:type="dxa"/>
          </w:tblCellMar>
        </w:tblPrEx>
        <w:tc>
          <w:tcPr>
            <w:tcW w:w="2590" w:type="dxa"/>
            <w:gridSpan w:val="2"/>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Biológiai eljárások</w:t>
            </w:r>
          </w:p>
        </w:tc>
        <w:tc>
          <w:tcPr>
            <w:tcW w:w="3960" w:type="dxa"/>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 xml:space="preserve">Ismerje a mikroorganizmusok életműködési sajátosságait, a kapcsolódó alapfogalmakat. </w:t>
            </w:r>
            <w:r>
              <w:rPr>
                <w:rFonts w:ascii="Times New Roman" w:hAnsi="Times New Roman" w:cs="Times New Roman"/>
                <w:sz w:val="20"/>
                <w:szCs w:val="20"/>
              </w:rPr>
              <w:br/>
              <w:t>Mutassa be a leggyakoribb szennyvíztisztítási és hulladékkezelési biotechnológiai eljárásokat.</w:t>
            </w:r>
          </w:p>
        </w:tc>
        <w:tc>
          <w:tcPr>
            <w:tcW w:w="3159" w:type="dxa"/>
            <w:gridSpan w:val="2"/>
            <w:tcBorders>
              <w:top w:val="nil"/>
              <w:left w:val="nil"/>
              <w:bottom w:val="nil"/>
              <w:right w:val="nil"/>
            </w:tcBorders>
          </w:tcPr>
          <w:p w:rsidR="004C2997" w:rsidRDefault="004C2997">
            <w:pPr>
              <w:autoSpaceDE w:val="0"/>
              <w:autoSpaceDN w:val="0"/>
              <w:adjustRightInd w:val="0"/>
              <w:spacing w:after="90" w:line="240" w:lineRule="auto"/>
              <w:ind w:right="150"/>
              <w:rPr>
                <w:rFonts w:ascii="Times New Roman" w:hAnsi="Times New Roman" w:cs="Times New Roman"/>
                <w:sz w:val="20"/>
                <w:szCs w:val="20"/>
              </w:rPr>
            </w:pPr>
            <w:r>
              <w:rPr>
                <w:rFonts w:ascii="Times New Roman" w:hAnsi="Times New Roman" w:cs="Times New Roman"/>
                <w:sz w:val="20"/>
                <w:szCs w:val="20"/>
              </w:rPr>
              <w:t>Számítsa ki a műtárgyak, berendezések terhelési értékeit, tisztítási hatásfokukat.</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KÖZGAZDASÁGI ALAPISMERETEK</w:t>
      </w:r>
      <w:r>
        <w:rPr>
          <w:rFonts w:ascii="Times New Roman" w:hAnsi="Times New Roman" w:cs="Times New Roman"/>
          <w:b/>
          <w:bCs/>
          <w:sz w:val="24"/>
          <w:szCs w:val="24"/>
        </w:rPr>
        <w:br/>
        <w:t>(ÜZLETI GAZDASÁGTAN, ELMÉLETI GAZDASÁGTAN)</w:t>
      </w:r>
      <w:r>
        <w:rPr>
          <w:rFonts w:ascii="Times New Roman" w:hAnsi="Times New Roman" w:cs="Times New Roman"/>
          <w:b/>
          <w:bCs/>
          <w:sz w:val="24"/>
          <w:szCs w:val="24"/>
        </w:rPr>
        <w:b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közgazdasági szakmacsoportban két elágazása van a közgazdasági alapismeretek érettségi tantárgynak:</w:t>
      </w:r>
    </w:p>
    <w:p w:rsidR="004C2997" w:rsidRDefault="004C2997" w:rsidP="004C2997">
      <w:pPr>
        <w:autoSpaceDE w:val="0"/>
        <w:autoSpaceDN w:val="0"/>
        <w:adjustRightInd w:val="0"/>
        <w:spacing w:after="0" w:line="240" w:lineRule="auto"/>
        <w:ind w:firstLine="708"/>
        <w:rPr>
          <w:rFonts w:ascii="Times New Roman" w:hAnsi="Times New Roman" w:cs="Times New Roman"/>
          <w:sz w:val="20"/>
          <w:szCs w:val="20"/>
        </w:rPr>
      </w:pPr>
      <w:r>
        <w:rPr>
          <w:rFonts w:ascii="Times New Roman" w:hAnsi="Times New Roman" w:cs="Times New Roman"/>
          <w:sz w:val="20"/>
          <w:szCs w:val="20"/>
        </w:rPr>
        <w:t>A) Közgazdasági alapismeretek (elméleti gazdaságtan)</w:t>
      </w:r>
    </w:p>
    <w:p w:rsidR="004C2997" w:rsidRDefault="004C2997" w:rsidP="004C2997">
      <w:pPr>
        <w:autoSpaceDE w:val="0"/>
        <w:autoSpaceDN w:val="0"/>
        <w:adjustRightInd w:val="0"/>
        <w:spacing w:after="0" w:line="240" w:lineRule="auto"/>
        <w:ind w:firstLine="708"/>
        <w:rPr>
          <w:rFonts w:ascii="Times New Roman" w:hAnsi="Times New Roman" w:cs="Times New Roman"/>
          <w:sz w:val="20"/>
          <w:szCs w:val="20"/>
        </w:rPr>
      </w:pPr>
      <w:r>
        <w:rPr>
          <w:rFonts w:ascii="Times New Roman" w:hAnsi="Times New Roman" w:cs="Times New Roman"/>
          <w:sz w:val="20"/>
          <w:szCs w:val="20"/>
        </w:rPr>
        <w:t>B) Közgazdasági alapismeretek (üzleti gazdaságtan).</w:t>
      </w:r>
    </w:p>
    <w:p w:rsidR="004C2997" w:rsidRDefault="004C2997" w:rsidP="004C2997">
      <w:pPr>
        <w:autoSpaceDE w:val="0"/>
        <w:autoSpaceDN w:val="0"/>
        <w:adjustRightInd w:val="0"/>
        <w:spacing w:after="0" w:line="240" w:lineRule="auto"/>
        <w:ind w:firstLine="708"/>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 az A)  és a B) elágazásból:</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közgazdasági alapismeretek (üzleti gazdaságtan) ismeretanyagának tanulása során a megszerzett kompetenciák, mint a tudás és képességek az általános és közgazdasági szakmai műveltség részét képezik. A megszerzett ismeretek előkészítik a vizsgázó későbbi szakmai tanulmányait a szakképző évfolyamon, segítik a konkrét pályaválasztásban és alapot biztosítanak az egész életen át tartó tanulás, mint az emberi erőforrás-fejlesztés követelményrendszerének megvalósításához.</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közép- és emelt szintű vizsga követelményeiben a közgazdasági szakmacsoportos alapozó elméleti és gyakorlati ismeretek 11. és 12. évfolyamának tananyagai és tevékenységformái jelennek meg. A vizsgázónak választási lehetősége van az elméleti ismeretekre épülő és a gyakorlati ismereteket számon kérő vizsga között.</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KÖZGAZDASÁGI ALAPISMERETEK (ÜZLETI GAZDASÁGTAN)</w:t>
      </w: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Az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érettségi vizsgatárgy célja, hogy vizsgázók mélyebb összefüggésekről, a szakmai irodalomban való jártasságról, az egyes ismeretanyagok egymásra épüléséről is számot adjanak. A felkészülés lehetőséget ad arra is, hogy a megtanult ismereteket a gyakorlatban is alkalmazzák. Legyenek képesek a megtanult ismereteik alapján valós problémákkal kapcsolatos vitákban részt venni, ott érvelni, a vitát a megoldás felé terelni.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 célja annak megállapítása, hogy a vizsgázó:</w:t>
      </w:r>
    </w:p>
    <w:p w:rsidR="004C2997" w:rsidRDefault="004C2997" w:rsidP="004C2997">
      <w:pPr>
        <w:autoSpaceDE w:val="0"/>
        <w:autoSpaceDN w:val="0"/>
        <w:adjustRightInd w:val="0"/>
        <w:spacing w:after="0" w:line="240" w:lineRule="auto"/>
        <w:ind w:left="540" w:hanging="180"/>
        <w:jc w:val="both"/>
        <w:rPr>
          <w:rFonts w:ascii="Times New Roman" w:hAnsi="Times New Roman" w:cs="Times New Roman"/>
          <w:sz w:val="20"/>
          <w:szCs w:val="20"/>
        </w:rPr>
      </w:pPr>
      <w:r>
        <w:rPr>
          <w:rFonts w:ascii="Times New Roman" w:hAnsi="Times New Roman" w:cs="Times New Roman"/>
          <w:sz w:val="20"/>
          <w:szCs w:val="20"/>
        </w:rPr>
        <w:t>- közgazdasági alapműveltsége birtokában felismeri-e a gazdasági élet alapvető jelenségeit,</w:t>
      </w:r>
    </w:p>
    <w:p w:rsidR="004C2997" w:rsidRDefault="004C2997" w:rsidP="004C2997">
      <w:pPr>
        <w:autoSpaceDE w:val="0"/>
        <w:autoSpaceDN w:val="0"/>
        <w:adjustRightInd w:val="0"/>
        <w:spacing w:after="0" w:line="240" w:lineRule="auto"/>
        <w:ind w:left="540" w:hanging="180"/>
        <w:jc w:val="both"/>
        <w:rPr>
          <w:rFonts w:ascii="Times New Roman" w:hAnsi="Times New Roman" w:cs="Times New Roman"/>
          <w:sz w:val="20"/>
          <w:szCs w:val="20"/>
        </w:rPr>
      </w:pPr>
      <w:r>
        <w:rPr>
          <w:rFonts w:ascii="Times New Roman" w:hAnsi="Times New Roman" w:cs="Times New Roman"/>
          <w:sz w:val="20"/>
          <w:szCs w:val="20"/>
        </w:rPr>
        <w:t>- megismerte-e az alapvető pénzügyi, számviteli, statisztikai elszámolási szabályokat, alapvető marketing-, valamint szervezési ismeretek birtokába jutott-e, a tanult ismeretkörben képesek-e a problémák felismerésére, megfogalmazására és a megismert módszerek alkalmazására,</w:t>
      </w:r>
    </w:p>
    <w:p w:rsidR="004C2997" w:rsidRDefault="004C2997" w:rsidP="004C2997">
      <w:pPr>
        <w:autoSpaceDE w:val="0"/>
        <w:autoSpaceDN w:val="0"/>
        <w:adjustRightInd w:val="0"/>
        <w:spacing w:after="0" w:line="240" w:lineRule="auto"/>
        <w:ind w:left="540" w:hanging="180"/>
        <w:jc w:val="both"/>
        <w:rPr>
          <w:rFonts w:ascii="Times New Roman" w:hAnsi="Times New Roman" w:cs="Times New Roman"/>
          <w:sz w:val="20"/>
          <w:szCs w:val="20"/>
        </w:rPr>
      </w:pPr>
      <w:r>
        <w:rPr>
          <w:rFonts w:ascii="Times New Roman" w:hAnsi="Times New Roman" w:cs="Times New Roman"/>
          <w:sz w:val="20"/>
          <w:szCs w:val="20"/>
        </w:rPr>
        <w:t>- kialakult-e az igény a gazdasági élet legfontosabb eseményeinek, tendenciáinak figyelemmel kísérésére.</w:t>
      </w:r>
    </w:p>
    <w:p w:rsidR="004C2997" w:rsidRDefault="004C2997" w:rsidP="004C2997">
      <w:pPr>
        <w:autoSpaceDE w:val="0"/>
        <w:autoSpaceDN w:val="0"/>
        <w:adjustRightInd w:val="0"/>
        <w:spacing w:after="0" w:line="240" w:lineRule="auto"/>
        <w:ind w:left="540" w:hanging="180"/>
        <w:jc w:val="both"/>
        <w:rPr>
          <w:rFonts w:ascii="Times New Roman" w:hAnsi="Times New Roman" w:cs="Times New Roman"/>
          <w:sz w:val="20"/>
          <w:szCs w:val="20"/>
        </w:rPr>
      </w:pPr>
      <w:r>
        <w:rPr>
          <w:rFonts w:ascii="Times New Roman" w:hAnsi="Times New Roman" w:cs="Times New Roman"/>
          <w:sz w:val="20"/>
          <w:szCs w:val="20"/>
        </w:rPr>
        <w:t>- képes-e a vizsgázó azoknak a folyamatoknak, számításoknak, bizonylatkezeléseknek az elvégzésére, gyakorlatban való megvalósítására, amelyeket az elméletben tanultak,</w:t>
      </w:r>
    </w:p>
    <w:p w:rsidR="004C2997" w:rsidRDefault="004C2997" w:rsidP="004C2997">
      <w:pPr>
        <w:autoSpaceDE w:val="0"/>
        <w:autoSpaceDN w:val="0"/>
        <w:adjustRightInd w:val="0"/>
        <w:spacing w:after="0" w:line="240" w:lineRule="auto"/>
        <w:ind w:left="540" w:hanging="180"/>
        <w:jc w:val="both"/>
        <w:rPr>
          <w:rFonts w:ascii="Times New Roman" w:hAnsi="Times New Roman" w:cs="Times New Roman"/>
          <w:sz w:val="20"/>
          <w:szCs w:val="20"/>
        </w:rPr>
      </w:pPr>
      <w:r>
        <w:rPr>
          <w:rFonts w:ascii="Times New Roman" w:hAnsi="Times New Roman" w:cs="Times New Roman"/>
          <w:sz w:val="20"/>
          <w:szCs w:val="20"/>
        </w:rPr>
        <w:t>- képes-e a vizsgázó irányítással egyszerű számviteli, pénzügyi, statisztikai és marketingfeladatok megoldására,</w:t>
      </w:r>
    </w:p>
    <w:p w:rsidR="004C2997" w:rsidRDefault="004C2997" w:rsidP="004C2997">
      <w:pPr>
        <w:autoSpaceDE w:val="0"/>
        <w:autoSpaceDN w:val="0"/>
        <w:adjustRightInd w:val="0"/>
        <w:spacing w:after="0" w:line="240" w:lineRule="auto"/>
        <w:ind w:left="540" w:hanging="180"/>
        <w:jc w:val="both"/>
        <w:rPr>
          <w:rFonts w:ascii="Times New Roman" w:hAnsi="Times New Roman" w:cs="Times New Roman"/>
          <w:sz w:val="20"/>
          <w:szCs w:val="20"/>
        </w:rPr>
      </w:pPr>
      <w:r>
        <w:rPr>
          <w:rFonts w:ascii="Times New Roman" w:hAnsi="Times New Roman" w:cs="Times New Roman"/>
          <w:sz w:val="20"/>
          <w:szCs w:val="20"/>
        </w:rPr>
        <w:t>- tájékozott-e a piaci alkalmazkodás és a befolyásolás alapvető eszközeiről,</w:t>
      </w:r>
    </w:p>
    <w:p w:rsidR="004C2997" w:rsidRDefault="004C2997" w:rsidP="004C2997">
      <w:pPr>
        <w:autoSpaceDE w:val="0"/>
        <w:autoSpaceDN w:val="0"/>
        <w:adjustRightInd w:val="0"/>
        <w:spacing w:after="0" w:line="240" w:lineRule="auto"/>
        <w:ind w:left="540" w:hanging="180"/>
        <w:jc w:val="both"/>
        <w:rPr>
          <w:rFonts w:ascii="Times New Roman" w:hAnsi="Times New Roman" w:cs="Times New Roman"/>
          <w:sz w:val="20"/>
          <w:szCs w:val="20"/>
        </w:rPr>
      </w:pPr>
      <w:r>
        <w:rPr>
          <w:rFonts w:ascii="Times New Roman" w:hAnsi="Times New Roman" w:cs="Times New Roman"/>
          <w:sz w:val="20"/>
          <w:szCs w:val="20"/>
        </w:rPr>
        <w:t>- a tanult ismeretkörökben képes-e a problémák felismerésére, megfogalmazására és a megismert módszerek alkalmazására a szakmai képzésbe bekapcsolódva,</w:t>
      </w:r>
    </w:p>
    <w:p w:rsidR="004C2997" w:rsidRDefault="004C2997" w:rsidP="004C2997">
      <w:pPr>
        <w:autoSpaceDE w:val="0"/>
        <w:autoSpaceDN w:val="0"/>
        <w:adjustRightInd w:val="0"/>
        <w:spacing w:after="0" w:line="240" w:lineRule="auto"/>
        <w:ind w:left="540" w:hanging="180"/>
        <w:jc w:val="both"/>
        <w:rPr>
          <w:rFonts w:ascii="Times New Roman" w:hAnsi="Times New Roman" w:cs="Times New Roman"/>
          <w:sz w:val="20"/>
          <w:szCs w:val="20"/>
        </w:rPr>
      </w:pPr>
      <w:r>
        <w:rPr>
          <w:rFonts w:ascii="Times New Roman" w:hAnsi="Times New Roman" w:cs="Times New Roman"/>
          <w:sz w:val="20"/>
          <w:szCs w:val="20"/>
        </w:rPr>
        <w:t>- rendelkezik-e a gazdasági folyamatok megismerésének, összefüggéseik felismerésének, a helyes döntések meghozatalának képességével,</w:t>
      </w:r>
    </w:p>
    <w:p w:rsidR="004C2997" w:rsidRDefault="004C2997" w:rsidP="004C2997">
      <w:pPr>
        <w:autoSpaceDE w:val="0"/>
        <w:autoSpaceDN w:val="0"/>
        <w:adjustRightInd w:val="0"/>
        <w:spacing w:after="0" w:line="240" w:lineRule="auto"/>
        <w:ind w:left="540" w:hanging="180"/>
        <w:jc w:val="both"/>
        <w:rPr>
          <w:rFonts w:ascii="Times New Roman" w:hAnsi="Times New Roman" w:cs="Times New Roman"/>
          <w:sz w:val="20"/>
          <w:szCs w:val="20"/>
        </w:rPr>
      </w:pPr>
      <w:r>
        <w:rPr>
          <w:rFonts w:ascii="Times New Roman" w:hAnsi="Times New Roman" w:cs="Times New Roman"/>
          <w:sz w:val="20"/>
          <w:szCs w:val="20"/>
        </w:rPr>
        <w:t>- tudja-e a tevékenységét megszervezni, megtervezni, ellenőrizni és értékelni,</w:t>
      </w:r>
    </w:p>
    <w:p w:rsidR="004C2997" w:rsidRDefault="004C2997" w:rsidP="004C2997">
      <w:pPr>
        <w:autoSpaceDE w:val="0"/>
        <w:autoSpaceDN w:val="0"/>
        <w:adjustRightInd w:val="0"/>
        <w:spacing w:after="0" w:line="240" w:lineRule="auto"/>
        <w:ind w:left="540" w:hanging="180"/>
        <w:jc w:val="both"/>
        <w:rPr>
          <w:rFonts w:ascii="Times New Roman" w:hAnsi="Times New Roman" w:cs="Times New Roman"/>
          <w:sz w:val="20"/>
          <w:szCs w:val="20"/>
        </w:rPr>
      </w:pPr>
      <w:r>
        <w:rPr>
          <w:rFonts w:ascii="Times New Roman" w:hAnsi="Times New Roman" w:cs="Times New Roman"/>
          <w:sz w:val="20"/>
          <w:szCs w:val="20"/>
        </w:rPr>
        <w:t>- tudja-e közölni a feldolgozott adatokat,</w:t>
      </w:r>
    </w:p>
    <w:p w:rsidR="004C2997" w:rsidRDefault="004C2997" w:rsidP="004C2997">
      <w:pPr>
        <w:autoSpaceDE w:val="0"/>
        <w:autoSpaceDN w:val="0"/>
        <w:adjustRightInd w:val="0"/>
        <w:spacing w:after="0" w:line="240" w:lineRule="auto"/>
        <w:ind w:left="540" w:hanging="180"/>
        <w:jc w:val="both"/>
        <w:rPr>
          <w:rFonts w:ascii="Times New Roman" w:hAnsi="Times New Roman" w:cs="Times New Roman"/>
          <w:sz w:val="20"/>
          <w:szCs w:val="20"/>
        </w:rPr>
      </w:pPr>
      <w:r>
        <w:rPr>
          <w:rFonts w:ascii="Times New Roman" w:hAnsi="Times New Roman" w:cs="Times New Roman"/>
          <w:sz w:val="20"/>
          <w:szCs w:val="20"/>
        </w:rPr>
        <w:t>- ismeretei alkalmasak-e a tanult elmélet és a tapasztalt gyakorlat ütköztetésére és összekapcsolására,</w:t>
      </w:r>
    </w:p>
    <w:p w:rsidR="004C2997" w:rsidRDefault="004C2997" w:rsidP="004C2997">
      <w:pPr>
        <w:autoSpaceDE w:val="0"/>
        <w:autoSpaceDN w:val="0"/>
        <w:adjustRightInd w:val="0"/>
        <w:spacing w:after="0" w:line="240" w:lineRule="auto"/>
        <w:ind w:left="540" w:hanging="180"/>
        <w:jc w:val="both"/>
        <w:rPr>
          <w:rFonts w:ascii="Times New Roman" w:hAnsi="Times New Roman" w:cs="Times New Roman"/>
          <w:sz w:val="20"/>
          <w:szCs w:val="20"/>
        </w:rPr>
      </w:pPr>
      <w:r>
        <w:rPr>
          <w:rFonts w:ascii="Times New Roman" w:hAnsi="Times New Roman" w:cs="Times New Roman"/>
          <w:sz w:val="20"/>
          <w:szCs w:val="20"/>
        </w:rPr>
        <w:t>- kialakult-e a szakmacsoport munkaköreiben szükséges magatartás, a tanulási és szakmai motiváció fejlesztésének, megerősítésének igénye,</w:t>
      </w:r>
    </w:p>
    <w:p w:rsidR="004C2997" w:rsidRDefault="004C2997" w:rsidP="004C2997">
      <w:pPr>
        <w:autoSpaceDE w:val="0"/>
        <w:autoSpaceDN w:val="0"/>
        <w:adjustRightInd w:val="0"/>
        <w:spacing w:after="0" w:line="240" w:lineRule="auto"/>
        <w:ind w:left="540" w:hanging="180"/>
        <w:jc w:val="both"/>
        <w:rPr>
          <w:rFonts w:ascii="Times New Roman" w:hAnsi="Times New Roman" w:cs="Times New Roman"/>
          <w:sz w:val="20"/>
          <w:szCs w:val="20"/>
        </w:rPr>
      </w:pPr>
      <w:r>
        <w:rPr>
          <w:rFonts w:ascii="Times New Roman" w:hAnsi="Times New Roman" w:cs="Times New Roman"/>
          <w:sz w:val="20"/>
          <w:szCs w:val="20"/>
        </w:rPr>
        <w:t>- felkészült-e a szakmai tevékenységekkel kapcsolatban tudatos, felelősségteljes magatartásra, kialakult-e a vizsgázókban a pontos és minőségi munkavégzés igénye, a környezettel szembeni felelősségérzete,</w:t>
      </w:r>
    </w:p>
    <w:p w:rsidR="004C2997" w:rsidRDefault="004C2997" w:rsidP="004C2997">
      <w:pPr>
        <w:autoSpaceDE w:val="0"/>
        <w:autoSpaceDN w:val="0"/>
        <w:adjustRightInd w:val="0"/>
        <w:spacing w:after="0" w:line="240" w:lineRule="auto"/>
        <w:ind w:left="540" w:hanging="180"/>
        <w:jc w:val="both"/>
        <w:rPr>
          <w:rFonts w:ascii="Times New Roman" w:hAnsi="Times New Roman" w:cs="Times New Roman"/>
          <w:sz w:val="20"/>
          <w:szCs w:val="20"/>
        </w:rPr>
      </w:pPr>
      <w:r>
        <w:rPr>
          <w:rFonts w:ascii="Times New Roman" w:hAnsi="Times New Roman" w:cs="Times New Roman"/>
          <w:sz w:val="20"/>
          <w:szCs w:val="20"/>
        </w:rPr>
        <w:t>- rendelkezik-e a szakirányú felsőoktatási intézményekben továbbtanuláshoz szükséges közgazdasági szemlélet és gondolkodásmóddal,</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Ind w:w="-38" w:type="dxa"/>
        <w:tblLayout w:type="fixed"/>
        <w:tblCellMar>
          <w:left w:w="70" w:type="dxa"/>
          <w:right w:w="70" w:type="dxa"/>
        </w:tblCellMar>
        <w:tblLook w:val="0000" w:firstRow="0" w:lastRow="0" w:firstColumn="0" w:lastColumn="0" w:noHBand="0" w:noVBand="0"/>
      </w:tblPr>
      <w:tblGrid>
        <w:gridCol w:w="1809"/>
        <w:gridCol w:w="4395"/>
        <w:gridCol w:w="3827"/>
      </w:tblGrid>
      <w:tr w:rsidR="004C2997">
        <w:tblPrEx>
          <w:tblCellMar>
            <w:top w:w="0" w:type="dxa"/>
            <w:bottom w:w="0" w:type="dxa"/>
          </w:tblCellMar>
        </w:tblPrEx>
        <w:tc>
          <w:tcPr>
            <w:tcW w:w="1809" w:type="dxa"/>
            <w:tcBorders>
              <w:top w:val="double" w:sz="4" w:space="0" w:color="auto"/>
              <w:left w:val="double" w:sz="4" w:space="0" w:color="auto"/>
              <w:bottom w:val="double" w:sz="4" w:space="0" w:color="auto"/>
              <w:right w:val="single" w:sz="4"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4395"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3827"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 kiegészítése emelt szinten</w:t>
            </w:r>
          </w:p>
        </w:tc>
      </w:tr>
      <w:tr w:rsidR="004C2997">
        <w:tblPrEx>
          <w:tblCellMar>
            <w:top w:w="0" w:type="dxa"/>
            <w:bottom w:w="0" w:type="dxa"/>
          </w:tblCellMar>
        </w:tblPrEx>
        <w:tc>
          <w:tcPr>
            <w:tcW w:w="1809" w:type="dxa"/>
            <w:tcBorders>
              <w:top w:val="double" w:sz="4" w:space="0" w:color="auto"/>
              <w:left w:val="double" w:sz="4" w:space="0" w:color="auto"/>
              <w:bottom w:val="double" w:sz="4" w:space="0" w:color="auto"/>
              <w:right w:val="double" w:sz="4" w:space="0" w:color="auto"/>
            </w:tcBorders>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Marketing és</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marketing-gondolkodás</w:t>
            </w:r>
          </w:p>
        </w:tc>
        <w:tc>
          <w:tcPr>
            <w:tcW w:w="4395" w:type="dxa"/>
            <w:tcBorders>
              <w:top w:val="single" w:sz="4" w:space="0" w:color="auto"/>
              <w:left w:val="double" w:sz="4" w:space="0" w:color="auto"/>
              <w:bottom w:val="doub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Legyen képes a marketing értelmezése szerint helyesen használni a szükséglet, igény, érték fogalmakat, bemutatni a marketing-mix elemeit, a </w:t>
            </w:r>
            <w:r>
              <w:rPr>
                <w:rFonts w:ascii="Times New Roman" w:hAnsi="Times New Roman" w:cs="Times New Roman"/>
                <w:sz w:val="20"/>
                <w:szCs w:val="20"/>
              </w:rPr>
              <w:lastRenderedPageBreak/>
              <w:t>legfontosabb termékkategóriákat, az ármegállapítás módjait, meghatározni a legjellemzőbb marketingcsatornákat és a kommunikáció és a promóció legfontosabb eszközeit és módszereit.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Legyen képes egy konkrét termékkel kapcsolatban megnevezni a marketing-mix elemeket és megindokolni a választását. </w:t>
            </w:r>
          </w:p>
        </w:tc>
        <w:tc>
          <w:tcPr>
            <w:tcW w:w="3827" w:type="dxa"/>
            <w:tcBorders>
              <w:top w:val="single" w:sz="4" w:space="0" w:color="auto"/>
              <w:left w:val="double" w:sz="4" w:space="0" w:color="auto"/>
              <w:bottom w:val="doub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Legyen képes értékelni a piacorientált gondolkodás alapján egy konkrét termékhez kötött marketing-mix elemek lehetséges </w:t>
            </w:r>
            <w:r>
              <w:rPr>
                <w:rFonts w:ascii="Times New Roman" w:hAnsi="Times New Roman" w:cs="Times New Roman"/>
                <w:sz w:val="20"/>
                <w:szCs w:val="20"/>
              </w:rPr>
              <w:lastRenderedPageBreak/>
              <w:t>hatásait, a választásukat meghatározó tényezőket, az eszközök kölcsönhatását.</w:t>
            </w: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Ind w:w="-38" w:type="dxa"/>
        <w:tblLayout w:type="fixed"/>
        <w:tblCellMar>
          <w:left w:w="70" w:type="dxa"/>
          <w:right w:w="70" w:type="dxa"/>
        </w:tblCellMar>
        <w:tblLook w:val="0000" w:firstRow="0" w:lastRow="0" w:firstColumn="0" w:lastColumn="0" w:noHBand="0" w:noVBand="0"/>
      </w:tblPr>
      <w:tblGrid>
        <w:gridCol w:w="1809"/>
        <w:gridCol w:w="4394"/>
        <w:gridCol w:w="3828"/>
      </w:tblGrid>
      <w:tr w:rsidR="004C2997">
        <w:tblPrEx>
          <w:tblCellMar>
            <w:top w:w="0" w:type="dxa"/>
            <w:bottom w:w="0" w:type="dxa"/>
          </w:tblCellMar>
        </w:tblPrEx>
        <w:tc>
          <w:tcPr>
            <w:tcW w:w="1809" w:type="dxa"/>
            <w:tcBorders>
              <w:top w:val="double" w:sz="4" w:space="0" w:color="auto"/>
              <w:left w:val="double" w:sz="4" w:space="0" w:color="auto"/>
              <w:bottom w:val="double" w:sz="4" w:space="0" w:color="auto"/>
              <w:right w:val="double" w:sz="4" w:space="0" w:color="auto"/>
            </w:tcBorders>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A vállalkozás és az államháztartás</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kapcsolatai</w:t>
            </w:r>
          </w:p>
        </w:tc>
        <w:tc>
          <w:tcPr>
            <w:tcW w:w="4394" w:type="dxa"/>
            <w:tcBorders>
              <w:top w:val="double" w:sz="4" w:space="0" w:color="auto"/>
              <w:left w:val="double" w:sz="4" w:space="0" w:color="auto"/>
              <w:bottom w:val="doub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felsorolni az államháztartás alrendszereit és röviden bemutatni az alrendszerek és a vállalkozás kapcsolatát.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felsorolni a legfontosabb költségvetési bevételeket és kiadásokat. Legyen képes értelmezni a költségvetés egyenlegét.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értelmezni a befizetések szerepét az állami feladatok megvalósításában és a jövedelmek újraelosztásában.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pontosan definiálni az adóalany, adótárgy, adóalap és az adómérték fogalmakat a társasági adó, a személyi jövedelemadó és az általános forgalmi adó vonatkozásában.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bemutatni az állami támogatások szerepét az állami feladatok megvalósításában.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meghatározni a közvetlen és a közvetett állami támogatás közötti különbséget.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828" w:type="dxa"/>
            <w:tcBorders>
              <w:top w:val="double" w:sz="4" w:space="0" w:color="auto"/>
              <w:left w:val="double" w:sz="4" w:space="0" w:color="auto"/>
              <w:bottom w:val="doub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pontosan definiálni az adóalany, adótárgy, adóalap és az adómérték fogalmakat a társasági adó, a személyi jövedelemadó és az általános forgalmi adó vonatkozásában a törvényi helyek illusztrálásával.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és pontosan tudja használni a társasági adóval kapcsolatos következő fogalmakat: a társasági adó célja, alanyai, alapja, mértéke, néhány korrekciós tétel, adókedvezmény, adóelőleg.</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értelmezni a helyi adóztatás célját, legalább két helyi adófajta vonatkozásában legyen képes pontosan definiálni az adóalany, adótárgy, adóalap és az adómérték fogalmakat.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és pontosan tudja használni a társasági adóval kapcsolatos következő fogalmakat: a társasági adó célja, alanyai, alapja, mértéke, néhány korrekciós tétel, adókedvezmény, adóelőleg.</w:t>
            </w: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Ind w:w="-38" w:type="dxa"/>
        <w:tblLayout w:type="fixed"/>
        <w:tblCellMar>
          <w:left w:w="70" w:type="dxa"/>
          <w:right w:w="70" w:type="dxa"/>
        </w:tblCellMar>
        <w:tblLook w:val="0000" w:firstRow="0" w:lastRow="0" w:firstColumn="0" w:lastColumn="0" w:noHBand="0" w:noVBand="0"/>
      </w:tblPr>
      <w:tblGrid>
        <w:gridCol w:w="1809"/>
        <w:gridCol w:w="4395"/>
        <w:gridCol w:w="3827"/>
      </w:tblGrid>
      <w:tr w:rsidR="004C2997">
        <w:tblPrEx>
          <w:tblCellMar>
            <w:top w:w="0" w:type="dxa"/>
            <w:bottom w:w="0" w:type="dxa"/>
          </w:tblCellMar>
        </w:tblPrEx>
        <w:tc>
          <w:tcPr>
            <w:tcW w:w="1809" w:type="dxa"/>
            <w:tcBorders>
              <w:top w:val="double" w:sz="4" w:space="0" w:color="auto"/>
              <w:left w:val="double" w:sz="4" w:space="0" w:color="auto"/>
              <w:bottom w:val="double" w:sz="4" w:space="0" w:color="auto"/>
              <w:right w:val="double" w:sz="4" w:space="0" w:color="auto"/>
            </w:tcBorders>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Pénzügyi</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műveletek</w:t>
            </w:r>
          </w:p>
        </w:tc>
        <w:tc>
          <w:tcPr>
            <w:tcW w:w="4395" w:type="dxa"/>
            <w:tcBorders>
              <w:top w:val="double" w:sz="4" w:space="0" w:color="auto"/>
              <w:left w:val="double" w:sz="4" w:space="0" w:color="auto"/>
              <w:bottom w:val="doub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felsorolni a vállalkozás jellemző pénzáramait és bemutatni a kétszintű bankrendszert, a legjellemzőbb bankműveleteket és azok szerepét. Legyen képes felvázolni a pénzforgalom jelentőségét, megkülönböztetni egymástól a legjellemzőbb fizetési módokat és kitölteni ezek alapvető bizonylatait, értelmezni a bizonylatok információtartalmát.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felsorolni a vállalkozások által használt bankszámlák fajtáit, tudja felsorolni a bankszámlaszerződésben foglalt legfontosabb jogokat és kötelezettséget. Tudja jellemezni a bankszámlát, ismertetni a pénzkezelési szabályokat.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Legyen képes ismertetni a bankkártya használatának módjait, előnyeit. Tudja bemutatni a csekk használatát. </w:t>
            </w:r>
          </w:p>
        </w:tc>
        <w:tc>
          <w:tcPr>
            <w:tcW w:w="3827" w:type="dxa"/>
            <w:tcBorders>
              <w:top w:val="double" w:sz="4" w:space="0" w:color="auto"/>
              <w:left w:val="double" w:sz="4" w:space="0" w:color="auto"/>
              <w:bottom w:val="doub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összehasonlítani a különböző fizetési módokat, meghatározni a gazdaság számára előnyös és hátrányos jellemzőiket.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ismertetni a hitelkártya szerepét.</w:t>
            </w: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Ind w:w="-38" w:type="dxa"/>
        <w:tblLayout w:type="fixed"/>
        <w:tblCellMar>
          <w:left w:w="70" w:type="dxa"/>
          <w:right w:w="70" w:type="dxa"/>
        </w:tblCellMar>
        <w:tblLook w:val="0000" w:firstRow="0" w:lastRow="0" w:firstColumn="0" w:lastColumn="0" w:noHBand="0" w:noVBand="0"/>
      </w:tblPr>
      <w:tblGrid>
        <w:gridCol w:w="1809"/>
        <w:gridCol w:w="4395"/>
        <w:gridCol w:w="3827"/>
      </w:tblGrid>
      <w:tr w:rsidR="004C2997">
        <w:tblPrEx>
          <w:tblCellMar>
            <w:top w:w="0" w:type="dxa"/>
            <w:bottom w:w="0" w:type="dxa"/>
          </w:tblCellMar>
        </w:tblPrEx>
        <w:tc>
          <w:tcPr>
            <w:tcW w:w="1809" w:type="dxa"/>
            <w:tcBorders>
              <w:top w:val="double" w:sz="4" w:space="0" w:color="auto"/>
              <w:left w:val="double" w:sz="4" w:space="0" w:color="auto"/>
              <w:bottom w:val="double" w:sz="4" w:space="0" w:color="auto"/>
              <w:right w:val="double" w:sz="4" w:space="0" w:color="auto"/>
            </w:tcBorders>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 A vásárolt</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készletek</w:t>
            </w:r>
          </w:p>
        </w:tc>
        <w:tc>
          <w:tcPr>
            <w:tcW w:w="4395" w:type="dxa"/>
            <w:tcBorders>
              <w:top w:val="double" w:sz="4" w:space="0" w:color="auto"/>
              <w:left w:val="double" w:sz="4" w:space="0" w:color="auto"/>
              <w:bottom w:val="doub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pontosan használni a készlet, a készletfajták, a készletek tervezéséhez használt mutatók és a logisztika fogalmát.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bemutatni a készletkezelési bizonylatokat, a szállítói számla, a készletek és a kötelezettségek analitikus feljegyzéseit, szerepét és tartalmát.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felsorolni a beszerzési ár néhány elemét. Legyen képes összekapcsolni az alapbizonylatokat, az analitikus és főkönyvi könyvelést.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kiszámítani a készletcsökkenések értékét (FIFO és gördülő átlagár módszerekkel) és elvégezni az anyagbeszerzés (tényleges beszerzési áron) és a felhasználás számviteli feljegyezését.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Legyen képes egyszerű bizonylatokat kitölteni, felismerni az alapbizonylatokból a gazdasági eseményeket és értelmezni a nyilvántartásaiból nyert adatokat.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felsorolni a készletek beszerzésének lehetséges finanszírozási forrásait és a hitelezés alapelveit. Legyen képes a váltót, mint kereskedelmi hitelt bemutatni és felsorolni a törvényes kellékeit.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Tudja felsorolni az áfa jellemzőit. Legyen képes megkülönböztetni a beszerzéshez és az értékesítéshez kapcsolódó áfát. Tudja ismertetni az áfa mértékét, az áfamentesség eseteit és az áfa könyvviteli elszámolását. </w:t>
            </w:r>
          </w:p>
        </w:tc>
        <w:tc>
          <w:tcPr>
            <w:tcW w:w="3827" w:type="dxa"/>
            <w:tcBorders>
              <w:top w:val="double" w:sz="4" w:space="0" w:color="auto"/>
              <w:left w:val="double" w:sz="4" w:space="0" w:color="auto"/>
              <w:bottom w:val="doub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Legyen képes pontosan használni a készlet, a készletfajták, a készletek tervezéséhez használt mutatók és a logisztika fogalmát, szerepét a hatékony gazdálkodásban.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felsorolni a beszerzési ár elemeit.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ismertetni a készletek beszerzési áron való értékeléséből adódó problémát.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 hitelképesség vizsgálatára egyszerű esettanulmány segítségével.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Tudja bemutatni az áfa, mint hozzáadott érték adó megjelenését az EU legalább 2 másik országában. </w:t>
            </w: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Ind w:w="-38" w:type="dxa"/>
        <w:tblLayout w:type="fixed"/>
        <w:tblCellMar>
          <w:left w:w="70" w:type="dxa"/>
          <w:right w:w="70" w:type="dxa"/>
        </w:tblCellMar>
        <w:tblLook w:val="0000" w:firstRow="0" w:lastRow="0" w:firstColumn="0" w:lastColumn="0" w:noHBand="0" w:noVBand="0"/>
      </w:tblPr>
      <w:tblGrid>
        <w:gridCol w:w="1809"/>
        <w:gridCol w:w="4395"/>
        <w:gridCol w:w="3827"/>
      </w:tblGrid>
      <w:tr w:rsidR="004C2997">
        <w:tblPrEx>
          <w:tblCellMar>
            <w:top w:w="0" w:type="dxa"/>
            <w:bottom w:w="0" w:type="dxa"/>
          </w:tblCellMar>
        </w:tblPrEx>
        <w:tc>
          <w:tcPr>
            <w:tcW w:w="1809" w:type="dxa"/>
            <w:tcBorders>
              <w:top w:val="double" w:sz="4" w:space="0" w:color="auto"/>
              <w:left w:val="double" w:sz="4" w:space="0" w:color="auto"/>
              <w:bottom w:val="double" w:sz="4" w:space="0" w:color="auto"/>
              <w:right w:val="double" w:sz="4" w:space="0" w:color="auto"/>
            </w:tcBorders>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 Az emberi</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erőforrás</w:t>
            </w:r>
          </w:p>
        </w:tc>
        <w:tc>
          <w:tcPr>
            <w:tcW w:w="4395" w:type="dxa"/>
            <w:tcBorders>
              <w:top w:val="double" w:sz="4" w:space="0" w:color="auto"/>
              <w:left w:val="double" w:sz="4" w:space="0" w:color="auto"/>
              <w:bottom w:val="doub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ismertetni az emberi erőforrás sajátosságait és pontosan használni a bér, a levonások, a közterhek fogalmait, bemutatni a bérelszámolás és a bérfizetés bizonylatait, összekapcsolni az analitikában és a főkönyvi könyvelés során végzett elszámolást.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 kereset összetevőit példákkal illusztrálva bemutatni.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elvégezni a bérfelosztás, a bérelszámolás és bérfizetés számviteli elszámolásának egyszerű feladatait és felismerni az alapbizonylatokból a gazdasági eseményeket.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Legyen képes különbséget tenni a munkáltatót és a munkavállalót terhelő kötelezettségek között, felsorolni az összevontan adózó jövedelem elemeit, kiszámítani az éves jövedelem adóját, különbséget tenni az adóelőleg és az adó között. </w:t>
            </w:r>
          </w:p>
        </w:tc>
        <w:tc>
          <w:tcPr>
            <w:tcW w:w="3827" w:type="dxa"/>
            <w:tcBorders>
              <w:top w:val="double" w:sz="4" w:space="0" w:color="auto"/>
              <w:left w:val="double" w:sz="4" w:space="0" w:color="auto"/>
              <w:bottom w:val="doub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meghatározni a tárgyévben befizetett adóelőleg és az adó különbségét és pontosan felsorolni a személyi jövedelemadó bevallásának lehetőségeit és megnevezni a lehetséges határidőket.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Legyen képes bemutatni a jövedelem elszámolása során használt főkönyvi számlák tartalmát. </w:t>
            </w: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Ind w:w="-38" w:type="dxa"/>
        <w:tblLayout w:type="fixed"/>
        <w:tblCellMar>
          <w:left w:w="70" w:type="dxa"/>
          <w:right w:w="70" w:type="dxa"/>
        </w:tblCellMar>
        <w:tblLook w:val="0000" w:firstRow="0" w:lastRow="0" w:firstColumn="0" w:lastColumn="0" w:noHBand="0" w:noVBand="0"/>
      </w:tblPr>
      <w:tblGrid>
        <w:gridCol w:w="1809"/>
        <w:gridCol w:w="4395"/>
        <w:gridCol w:w="3827"/>
      </w:tblGrid>
      <w:tr w:rsidR="004C2997">
        <w:tblPrEx>
          <w:tblCellMar>
            <w:top w:w="0" w:type="dxa"/>
            <w:bottom w:w="0" w:type="dxa"/>
          </w:tblCellMar>
        </w:tblPrEx>
        <w:tc>
          <w:tcPr>
            <w:tcW w:w="1809" w:type="dxa"/>
            <w:tcBorders>
              <w:top w:val="double" w:sz="4" w:space="0" w:color="auto"/>
              <w:left w:val="double" w:sz="4" w:space="0" w:color="auto"/>
              <w:bottom w:val="double" w:sz="4" w:space="0" w:color="auto"/>
              <w:right w:val="double" w:sz="4" w:space="0" w:color="auto"/>
            </w:tcBorders>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Befektetett</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eszközök</w:t>
            </w:r>
          </w:p>
        </w:tc>
        <w:tc>
          <w:tcPr>
            <w:tcW w:w="4395" w:type="dxa"/>
            <w:tcBorders>
              <w:top w:val="double" w:sz="4" w:space="0" w:color="auto"/>
              <w:left w:val="double" w:sz="4" w:space="0" w:color="auto"/>
              <w:bottom w:val="doub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definiálni a befektetést, pontosan használni a befektetés, a beruházás, a tárgyi eszközök, az immateriális javak, az értékcsökkenés és az értékcsökkenési leírás fogalmakat.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megfogalmazni a befektetéssel szembeni elvárásokat.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különbséget tenni a terv szerinti és a terven felüli értékcsökkenés között.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elvégezni az értékcsökkenés összegének (lineáris és teljesítményarányos) kiszámítását egyszerű feladatok megoldásával. Tudja elkönyvelni az értékcsökkenési leírást.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az idegen kivitelezővel végeztetett beruházás bizonylatainak értelmezésére és a gazdasági események könyvviteli elszámolására.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felsorolni a beruházások lehetséges pénzügyi forrásait és a hitelfelvétel biztosítékait.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értelmezni a hitelezéshez kapcsolódó kamatfogalmakat és összehasonlítani a hitelek és a betétek kamatait. Tudja értelmezni az EBKM és a THM mutatókat.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felsorolni a hitelezési eljárás menetét.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felsorolni a befektetett pénzügyi eszközök fajtáit, az értékpapírok legfontosabb jellemzői alapján különbséget tenni a részvény és a kötvény között.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bemutatni a tárgyi eszközök és a befektetett pénzügyi eszközök analitikus nyilvántartásainak tartalmát.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Legyen képes a beruházás és az értékcsökkenés </w:t>
            </w:r>
            <w:r>
              <w:rPr>
                <w:rFonts w:ascii="Times New Roman" w:hAnsi="Times New Roman" w:cs="Times New Roman"/>
                <w:sz w:val="20"/>
                <w:szCs w:val="20"/>
              </w:rPr>
              <w:lastRenderedPageBreak/>
              <w:t xml:space="preserve">alapvető eseteinek számviteli feljegyzésére. </w:t>
            </w:r>
          </w:p>
        </w:tc>
        <w:tc>
          <w:tcPr>
            <w:tcW w:w="3827" w:type="dxa"/>
            <w:tcBorders>
              <w:top w:val="double" w:sz="4" w:space="0" w:color="auto"/>
              <w:left w:val="double" w:sz="4" w:space="0" w:color="auto"/>
              <w:bottom w:val="doub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Legyen képes definiálni a befektetést, pontosan használni a befektetés, a beruházás, a tárgyi eszközök, az immateriális javak, az értékcsökkenés és az értékcsökkenési leírás fogalmakat és legyen képes meghatározni ezen vagyonelemek jelentőségét a vállalkozás gazdálkodásában. Tudja összekapcsolni a hozam és a kockázat fogalmakat.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felsorolni a terven felüli leírás jellemző eseteit.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felsorolni és bemutatni a hitelezési eljárás menetét.</w:t>
            </w:r>
          </w:p>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Ind w:w="-72" w:type="dxa"/>
        <w:tblLayout w:type="fixed"/>
        <w:tblCellMar>
          <w:left w:w="70" w:type="dxa"/>
          <w:right w:w="70" w:type="dxa"/>
        </w:tblCellMar>
        <w:tblLook w:val="0000" w:firstRow="0" w:lastRow="0" w:firstColumn="0" w:lastColumn="0" w:noHBand="0" w:noVBand="0"/>
      </w:tblPr>
      <w:tblGrid>
        <w:gridCol w:w="1843"/>
        <w:gridCol w:w="4395"/>
        <w:gridCol w:w="3813"/>
      </w:tblGrid>
      <w:tr w:rsidR="004C2997">
        <w:tblPrEx>
          <w:tblCellMar>
            <w:top w:w="0" w:type="dxa"/>
            <w:bottom w:w="0" w:type="dxa"/>
          </w:tblCellMar>
        </w:tblPrEx>
        <w:tc>
          <w:tcPr>
            <w:tcW w:w="1843" w:type="dxa"/>
            <w:tcBorders>
              <w:top w:val="double" w:sz="4" w:space="0" w:color="auto"/>
              <w:left w:val="double" w:sz="4" w:space="0" w:color="auto"/>
              <w:bottom w:val="double" w:sz="4" w:space="0" w:color="auto"/>
              <w:right w:val="double" w:sz="4" w:space="0" w:color="auto"/>
            </w:tcBorders>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A tevékenységek költségei</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és az értékesítés</w:t>
            </w:r>
          </w:p>
        </w:tc>
        <w:tc>
          <w:tcPr>
            <w:tcW w:w="4395" w:type="dxa"/>
            <w:tcBorders>
              <w:top w:val="double" w:sz="4" w:space="0" w:color="auto"/>
              <w:left w:val="double" w:sz="4" w:space="0" w:color="auto"/>
              <w:bottom w:val="doub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pontosan használni a költség, ráfordítás, kiadás, költségnemek, költségviselő, költséghely fogalmakat, bemutatni a költségek, a befejezett tevékenységek és az értékesítése számviteli elszámolásnak lépéseit költségnem elszámolás esetén, valamint az előállítási költségek és az értékesítés eredményre gyakorolt hatását.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alapbizonylatokból felismerni a gazdasági eseményeket, bemutatni a belföldi vevőkövetelések analitikus és főkönyvi nyilvántartásának tartalmát.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813" w:type="dxa"/>
            <w:tcBorders>
              <w:top w:val="double" w:sz="4" w:space="0" w:color="auto"/>
              <w:left w:val="double" w:sz="4" w:space="0" w:color="auto"/>
              <w:bottom w:val="doub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költségek elszámolásának lehetséges módjait.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 kalkuláció fogalmát, használatát. </w:t>
            </w:r>
          </w:p>
        </w:tc>
      </w:tr>
      <w:tr w:rsidR="004C2997">
        <w:tblPrEx>
          <w:tblCellMar>
            <w:top w:w="0" w:type="dxa"/>
            <w:bottom w:w="0" w:type="dxa"/>
          </w:tblCellMar>
        </w:tblPrEx>
        <w:tc>
          <w:tcPr>
            <w:tcW w:w="1843" w:type="dxa"/>
            <w:tcBorders>
              <w:top w:val="double" w:sz="4" w:space="0" w:color="auto"/>
              <w:left w:val="double" w:sz="4" w:space="0" w:color="auto"/>
              <w:bottom w:val="double" w:sz="4" w:space="0" w:color="auto"/>
              <w:right w:val="double" w:sz="4" w:space="0" w:color="auto"/>
            </w:tcBorders>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8. Az erőforrások</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és a befejezett</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tevékenységek</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adatainak statisztikai feldolgozása</w:t>
            </w:r>
          </w:p>
        </w:tc>
        <w:tc>
          <w:tcPr>
            <w:tcW w:w="4395" w:type="dxa"/>
            <w:tcBorders>
              <w:top w:val="double" w:sz="4" w:space="0" w:color="auto"/>
              <w:left w:val="double" w:sz="4" w:space="0" w:color="auto"/>
              <w:bottom w:val="doub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pontosan használni az adatforrás, az adatgyűjtés, a sokaság, az ismérv, a statisztikai sor és a statisztikai tábla fogalmakat, a sor- és a táblaszerkesztés, valamint a grafikus ábrázolás szabályait.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kiszámítani a készletekkel, a munkavállalókkal és a jövedelemmel, a befektetett eszközökkel, a befejezett és értékesített termékekkel kapcsolatos egyszerű feladatokban a viszonyszámokat: megoszlási, dinamikus (lánc- és bázis) intenzitási viszonyszámokat és a középértékeket, valamint az érték-, ár- és volumen- indexeket és értelmezni a szórás mutatót. Legyen képes a számításai eredményeit statisztikai táblába foglalni és a tábla alapján grafikus ábra készítésével a közlést megtervezni és elvégezni és a kapott eredményeket röviden értékelni.</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813" w:type="dxa"/>
            <w:tcBorders>
              <w:top w:val="double" w:sz="4" w:space="0" w:color="auto"/>
              <w:left w:val="double" w:sz="4" w:space="0" w:color="auto"/>
              <w:bottom w:val="doub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a KSH feladatait felsorolni a statisztikai törvény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kiszámítani és értelmezni az árváltozásból eredő hatást.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összefüggő szöveges elemzés készítésére.</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1843" w:type="dxa"/>
            <w:tcBorders>
              <w:top w:val="double" w:sz="4" w:space="0" w:color="auto"/>
              <w:left w:val="double" w:sz="4" w:space="0" w:color="auto"/>
              <w:bottom w:val="double" w:sz="4" w:space="0" w:color="auto"/>
              <w:right w:val="double" w:sz="4" w:space="0" w:color="auto"/>
            </w:tcBorders>
            <w:vAlign w:val="center"/>
          </w:tcPr>
          <w:p w:rsidR="004C2997" w:rsidRDefault="004C2997">
            <w:pPr>
              <w:pageBreakBefore/>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9. Nyitás-zárás – éves beszámoló</w:t>
            </w:r>
          </w:p>
        </w:tc>
        <w:tc>
          <w:tcPr>
            <w:tcW w:w="4395" w:type="dxa"/>
            <w:tcBorders>
              <w:top w:val="double" w:sz="4" w:space="0" w:color="auto"/>
              <w:left w:val="double" w:sz="4" w:space="0" w:color="auto"/>
              <w:bottom w:val="doub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ismertetni az ellenőrzés szerepét az információfeldolgozásban. Tudja ismertetni az egyeztetések fajtáit, a könyvviteli nyitás és zárás szerepét. Legyen képes bemutatni a főkönyvi kivonatot és annak információtartalmát.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felsorolni az éves beszámoló részeit, rámutatni a beszámoló szerepére.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felsorolni a leltározás teendőit, összehasonlítani a leltárt és a mérleget, bemutatni a vagyont a mérleg (A típus) alapján és a tárgyévi gazdálkodás eredményének fő összetevőit, az eredménykategóriákat az eredmény-kimutatás (A típus összköltség eljárás)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az adózás előtti eredmény ismeretében a társasági adó kiszámítására és az eredmény-kimutatás és a mérleg közötti kapcsolat bemutatására.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az eredmény felosztása során jelentkező érdekkonfliktus értelmezésére.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 nyitási és a zárlati munkák céljának bemutatására, valamennyi főkönyvi számlatípus nyitásával és zárásával kapcsolatos könyvelési tétel megszerkesztésére, a megszerkesztett könyvelési tételek szerepének ismertetésére.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és tudja pontosan alkalmazni a következő fogalmakat: számvitel és könyvvitel feladatai és fajtái, a számviteli alapelvek, a számviteli politika, számlakeret, számlarend, a mérleg és a vállalkozói számlakeret kapcsolata, bizonylatok fogalma, csoportosítása, funkciói, bizonylati elv.</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és munkája során legyen képes a könyvviteli munkával szemben támasztott követelmények szerint eljárni.</w:t>
            </w:r>
          </w:p>
        </w:tc>
        <w:tc>
          <w:tcPr>
            <w:tcW w:w="3813" w:type="dxa"/>
            <w:tcBorders>
              <w:top w:val="double" w:sz="4" w:space="0" w:color="auto"/>
              <w:left w:val="double" w:sz="4" w:space="0" w:color="auto"/>
              <w:bottom w:val="doub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rendezőtételek fontosságát, szerepét és tudja azokat megszerkeszteni.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felsorolni az egyeztetési lehetőségeket és legyen képes azok jelentőségét ismertetni.</w:t>
            </w:r>
          </w:p>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KÖZGAZDASÁGI ALAPISMERETEK (ELMÉLETI GAZDASÁGTAN)</w:t>
      </w: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Az érettségi vizsga célja annak megállapítása, hogy a vizsgázó:</w:t>
      </w:r>
    </w:p>
    <w:p w:rsidR="004C2997" w:rsidRDefault="004C2997" w:rsidP="004C2997">
      <w:pPr>
        <w:autoSpaceDE w:val="0"/>
        <w:autoSpaceDN w:val="0"/>
        <w:adjustRightInd w:val="0"/>
        <w:spacing w:after="0" w:line="240" w:lineRule="auto"/>
        <w:ind w:left="540" w:hanging="180"/>
        <w:rPr>
          <w:rFonts w:ascii="Times New Roman" w:hAnsi="Times New Roman" w:cs="Times New Roman"/>
          <w:sz w:val="20"/>
          <w:szCs w:val="20"/>
        </w:rPr>
      </w:pPr>
      <w:r>
        <w:rPr>
          <w:rFonts w:ascii="Times New Roman" w:hAnsi="Times New Roman" w:cs="Times New Roman"/>
          <w:sz w:val="20"/>
          <w:szCs w:val="20"/>
        </w:rPr>
        <w:t>- a közgazdasági alapműveltsége birtokában felismeri-e a gazdasági élet alapvető jelenségeit, érti-e a változások fő tendenciáit,</w:t>
      </w:r>
    </w:p>
    <w:p w:rsidR="004C2997" w:rsidRDefault="004C2997" w:rsidP="004C2997">
      <w:pPr>
        <w:autoSpaceDE w:val="0"/>
        <w:autoSpaceDN w:val="0"/>
        <w:adjustRightInd w:val="0"/>
        <w:spacing w:after="0" w:line="240" w:lineRule="auto"/>
        <w:ind w:left="540" w:hanging="180"/>
        <w:rPr>
          <w:rFonts w:ascii="Times New Roman" w:hAnsi="Times New Roman" w:cs="Times New Roman"/>
          <w:sz w:val="20"/>
          <w:szCs w:val="20"/>
        </w:rPr>
      </w:pPr>
      <w:r>
        <w:rPr>
          <w:rFonts w:ascii="Times New Roman" w:hAnsi="Times New Roman" w:cs="Times New Roman"/>
          <w:sz w:val="20"/>
          <w:szCs w:val="20"/>
        </w:rPr>
        <w:t>- tájékozott-e a piaci alkalmazkodás és befolyásolás alapvető eszközeiről,</w:t>
      </w:r>
    </w:p>
    <w:p w:rsidR="004C2997" w:rsidRDefault="004C2997" w:rsidP="004C2997">
      <w:pPr>
        <w:autoSpaceDE w:val="0"/>
        <w:autoSpaceDN w:val="0"/>
        <w:adjustRightInd w:val="0"/>
        <w:spacing w:after="0" w:line="240" w:lineRule="auto"/>
        <w:ind w:left="540" w:hanging="180"/>
        <w:rPr>
          <w:rFonts w:ascii="Times New Roman" w:hAnsi="Times New Roman" w:cs="Times New Roman"/>
          <w:sz w:val="20"/>
          <w:szCs w:val="20"/>
        </w:rPr>
      </w:pPr>
      <w:r>
        <w:rPr>
          <w:rFonts w:ascii="Times New Roman" w:hAnsi="Times New Roman" w:cs="Times New Roman"/>
          <w:sz w:val="20"/>
          <w:szCs w:val="20"/>
        </w:rPr>
        <w:t>- a tanult ismeretkörökben képes-e a problémák felismerésére, megfogalmazására és a megismert módszerek alkalmazására a szakmai képzésbe bekapcsolódva,</w:t>
      </w:r>
    </w:p>
    <w:p w:rsidR="004C2997" w:rsidRDefault="004C2997" w:rsidP="004C2997">
      <w:pPr>
        <w:autoSpaceDE w:val="0"/>
        <w:autoSpaceDN w:val="0"/>
        <w:adjustRightInd w:val="0"/>
        <w:spacing w:after="0" w:line="240" w:lineRule="auto"/>
        <w:ind w:left="540" w:hanging="180"/>
        <w:rPr>
          <w:rFonts w:ascii="Times New Roman" w:hAnsi="Times New Roman" w:cs="Times New Roman"/>
          <w:sz w:val="20"/>
          <w:szCs w:val="20"/>
        </w:rPr>
      </w:pPr>
      <w:r>
        <w:rPr>
          <w:rFonts w:ascii="Times New Roman" w:hAnsi="Times New Roman" w:cs="Times New Roman"/>
          <w:sz w:val="20"/>
          <w:szCs w:val="20"/>
        </w:rPr>
        <w:t>- rendelkezik-e a gazdasági folyamatok megismerésének, összefüggéseik felismerésének, a helyes döntések meghozatalának képességével,</w:t>
      </w:r>
    </w:p>
    <w:p w:rsidR="004C2997" w:rsidRDefault="004C2997" w:rsidP="004C2997">
      <w:pPr>
        <w:autoSpaceDE w:val="0"/>
        <w:autoSpaceDN w:val="0"/>
        <w:adjustRightInd w:val="0"/>
        <w:spacing w:after="0" w:line="240" w:lineRule="auto"/>
        <w:ind w:left="540" w:hanging="180"/>
        <w:rPr>
          <w:rFonts w:ascii="Times New Roman" w:hAnsi="Times New Roman" w:cs="Times New Roman"/>
          <w:sz w:val="20"/>
          <w:szCs w:val="20"/>
        </w:rPr>
      </w:pPr>
      <w:r>
        <w:rPr>
          <w:rFonts w:ascii="Times New Roman" w:hAnsi="Times New Roman" w:cs="Times New Roman"/>
          <w:sz w:val="20"/>
          <w:szCs w:val="20"/>
        </w:rPr>
        <w:t>- ismeri-e a piacgazdaság működését, a mikrogazdaság szereplőit és a döntéseikben érvényesülő tényezőket, a gazdasági racionalitást,</w:t>
      </w:r>
    </w:p>
    <w:p w:rsidR="004C2997" w:rsidRDefault="004C2997" w:rsidP="004C2997">
      <w:pPr>
        <w:autoSpaceDE w:val="0"/>
        <w:autoSpaceDN w:val="0"/>
        <w:adjustRightInd w:val="0"/>
        <w:spacing w:after="0" w:line="240" w:lineRule="auto"/>
        <w:ind w:left="540" w:hanging="180"/>
        <w:rPr>
          <w:rFonts w:ascii="Times New Roman" w:hAnsi="Times New Roman" w:cs="Times New Roman"/>
          <w:sz w:val="20"/>
          <w:szCs w:val="20"/>
        </w:rPr>
      </w:pPr>
      <w:r>
        <w:rPr>
          <w:rFonts w:ascii="Times New Roman" w:hAnsi="Times New Roman" w:cs="Times New Roman"/>
          <w:sz w:val="20"/>
          <w:szCs w:val="20"/>
        </w:rPr>
        <w:t>- tudja-e a makrofolyamatok lényegét, a makrogazdaság problémáit és az állam lehetséges szerepét a folyamatok befolyásolásában,</w:t>
      </w:r>
    </w:p>
    <w:p w:rsidR="004C2997" w:rsidRDefault="004C2997" w:rsidP="004C2997">
      <w:pPr>
        <w:autoSpaceDE w:val="0"/>
        <w:autoSpaceDN w:val="0"/>
        <w:adjustRightInd w:val="0"/>
        <w:spacing w:after="0" w:line="240" w:lineRule="auto"/>
        <w:ind w:left="540" w:hanging="180"/>
        <w:rPr>
          <w:rFonts w:ascii="Times New Roman" w:hAnsi="Times New Roman" w:cs="Times New Roman"/>
          <w:sz w:val="20"/>
          <w:szCs w:val="20"/>
        </w:rPr>
      </w:pPr>
      <w:r>
        <w:rPr>
          <w:rFonts w:ascii="Times New Roman" w:hAnsi="Times New Roman" w:cs="Times New Roman"/>
          <w:sz w:val="20"/>
          <w:szCs w:val="20"/>
        </w:rPr>
        <w:t>- képes-e bemutatni a nemzetközi kapcsolatok jelentőségét, előnyeit a vállalatok, az ország szempontjából, a külpiacra lépés nehézségeit és az egyensúly megteremtésének problémáit,</w:t>
      </w:r>
    </w:p>
    <w:p w:rsidR="004C2997" w:rsidRDefault="004C2997" w:rsidP="004C2997">
      <w:pPr>
        <w:autoSpaceDE w:val="0"/>
        <w:autoSpaceDN w:val="0"/>
        <w:adjustRightInd w:val="0"/>
        <w:spacing w:after="0" w:line="240" w:lineRule="auto"/>
        <w:ind w:left="540" w:hanging="180"/>
        <w:rPr>
          <w:rFonts w:ascii="Times New Roman" w:hAnsi="Times New Roman" w:cs="Times New Roman"/>
          <w:sz w:val="20"/>
          <w:szCs w:val="20"/>
        </w:rPr>
      </w:pPr>
      <w:r>
        <w:rPr>
          <w:rFonts w:ascii="Times New Roman" w:hAnsi="Times New Roman" w:cs="Times New Roman"/>
          <w:sz w:val="20"/>
          <w:szCs w:val="20"/>
        </w:rPr>
        <w:t>- ismeri-e a legfontosabb nemzetközi szervezeteket, azok kapcsolatát hazánkkal,</w:t>
      </w:r>
    </w:p>
    <w:p w:rsidR="004C2997" w:rsidRDefault="004C2997" w:rsidP="004C2997">
      <w:pPr>
        <w:autoSpaceDE w:val="0"/>
        <w:autoSpaceDN w:val="0"/>
        <w:adjustRightInd w:val="0"/>
        <w:spacing w:after="0" w:line="240" w:lineRule="auto"/>
        <w:ind w:left="540" w:hanging="180"/>
        <w:rPr>
          <w:rFonts w:ascii="Times New Roman" w:hAnsi="Times New Roman" w:cs="Times New Roman"/>
          <w:sz w:val="20"/>
          <w:szCs w:val="20"/>
        </w:rPr>
      </w:pPr>
      <w:r>
        <w:rPr>
          <w:rFonts w:ascii="Times New Roman" w:hAnsi="Times New Roman" w:cs="Times New Roman"/>
          <w:sz w:val="20"/>
          <w:szCs w:val="20"/>
        </w:rPr>
        <w:t>- ismeretei alkalmasak-e a tanult elmélet és a tapasztalt gyakorlat ütköztetésére és összekapcsolására,</w:t>
      </w:r>
    </w:p>
    <w:p w:rsidR="004C2997" w:rsidRDefault="004C2997" w:rsidP="004C2997">
      <w:pPr>
        <w:autoSpaceDE w:val="0"/>
        <w:autoSpaceDN w:val="0"/>
        <w:adjustRightInd w:val="0"/>
        <w:spacing w:after="0" w:line="240" w:lineRule="auto"/>
        <w:ind w:left="540" w:hanging="180"/>
        <w:rPr>
          <w:rFonts w:ascii="Times New Roman" w:hAnsi="Times New Roman" w:cs="Times New Roman"/>
          <w:sz w:val="20"/>
          <w:szCs w:val="20"/>
        </w:rPr>
      </w:pPr>
      <w:r>
        <w:rPr>
          <w:rFonts w:ascii="Times New Roman" w:hAnsi="Times New Roman" w:cs="Times New Roman"/>
          <w:sz w:val="20"/>
          <w:szCs w:val="20"/>
        </w:rPr>
        <w:t>- rendelkezik-e a szükséges alapokkal a közgazdasági jellegű szakképzésbe való bekapcsolódáshoz,</w:t>
      </w:r>
    </w:p>
    <w:p w:rsidR="004C2997" w:rsidRDefault="004C2997" w:rsidP="004C2997">
      <w:pPr>
        <w:autoSpaceDE w:val="0"/>
        <w:autoSpaceDN w:val="0"/>
        <w:adjustRightInd w:val="0"/>
        <w:spacing w:after="0" w:line="240" w:lineRule="auto"/>
        <w:ind w:left="540" w:hanging="180"/>
        <w:rPr>
          <w:rFonts w:ascii="Times New Roman" w:hAnsi="Times New Roman" w:cs="Times New Roman"/>
          <w:sz w:val="20"/>
          <w:szCs w:val="20"/>
        </w:rPr>
      </w:pPr>
      <w:r>
        <w:rPr>
          <w:rFonts w:ascii="Times New Roman" w:hAnsi="Times New Roman" w:cs="Times New Roman"/>
          <w:sz w:val="20"/>
          <w:szCs w:val="20"/>
        </w:rPr>
        <w:t>- rendelkezik-e a szakirányú felsőoktatási intézményekben továbbtanuláshoz szükséges közgazdasági szemlélet- és gondolkodásmóddal.</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Ind w:w="-38" w:type="dxa"/>
        <w:tblLayout w:type="fixed"/>
        <w:tblCellMar>
          <w:left w:w="70" w:type="dxa"/>
          <w:right w:w="70" w:type="dxa"/>
        </w:tblCellMar>
        <w:tblLook w:val="0000" w:firstRow="0" w:lastRow="0" w:firstColumn="0" w:lastColumn="0" w:noHBand="0" w:noVBand="0"/>
      </w:tblPr>
      <w:tblGrid>
        <w:gridCol w:w="1809"/>
        <w:gridCol w:w="4253"/>
        <w:gridCol w:w="3969"/>
      </w:tblGrid>
      <w:tr w:rsidR="004C2997">
        <w:tblPrEx>
          <w:tblCellMar>
            <w:top w:w="0" w:type="dxa"/>
            <w:bottom w:w="0" w:type="dxa"/>
          </w:tblCellMar>
        </w:tblPrEx>
        <w:tc>
          <w:tcPr>
            <w:tcW w:w="1809" w:type="dxa"/>
            <w:tcBorders>
              <w:top w:val="double" w:sz="4" w:space="0" w:color="auto"/>
              <w:left w:val="double" w:sz="4" w:space="0" w:color="auto"/>
              <w:bottom w:val="double" w:sz="4" w:space="0" w:color="auto"/>
              <w:right w:val="single" w:sz="4"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4253"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3969"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 kiegészítése emelt szintenm</w:t>
            </w:r>
          </w:p>
        </w:tc>
      </w:tr>
      <w:tr w:rsidR="004C2997">
        <w:tblPrEx>
          <w:tblCellMar>
            <w:top w:w="0" w:type="dxa"/>
            <w:left w:w="108" w:type="dxa"/>
            <w:bottom w:w="0" w:type="dxa"/>
            <w:right w:w="108" w:type="dxa"/>
          </w:tblCellMar>
        </w:tblPrEx>
        <w:tc>
          <w:tcPr>
            <w:tcW w:w="1809" w:type="dxa"/>
            <w:tcBorders>
              <w:top w:val="double" w:sz="4" w:space="0" w:color="auto"/>
              <w:left w:val="double" w:sz="4" w:space="0" w:color="auto"/>
              <w:bottom w:val="double" w:sz="4" w:space="0" w:color="auto"/>
              <w:right w:val="double" w:sz="4" w:space="0" w:color="auto"/>
            </w:tcBorders>
            <w:vAlign w:val="center"/>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1.Mikroökonó-miai alapismeretek és összefüggések</w:t>
            </w:r>
          </w:p>
        </w:tc>
        <w:tc>
          <w:tcPr>
            <w:tcW w:w="4253" w:type="dxa"/>
            <w:tcBorders>
              <w:top w:val="single" w:sz="4" w:space="0" w:color="auto"/>
              <w:left w:val="double" w:sz="4" w:space="0" w:color="auto"/>
              <w:bottom w:val="sing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definiálni a közgazdaságtan alapfogalmait, bemutatni az alapkérdéseit, ismertetni elemzési módszereit.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jellemezni a piac elemeit és a kereslet és kínálat törvényét, ábrázolni a függvényeket.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meghatározni a Marshall-kereszt fogalmát, összehasonlítani a piaci egyensúly és a piaci egyensúlytalanság eseteit.</w:t>
            </w:r>
          </w:p>
        </w:tc>
        <w:tc>
          <w:tcPr>
            <w:tcW w:w="3969" w:type="dxa"/>
            <w:tcBorders>
              <w:top w:val="single" w:sz="4" w:space="0" w:color="auto"/>
              <w:left w:val="double" w:sz="4" w:space="0" w:color="auto"/>
              <w:bottom w:val="sing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ismertetni a közgazdaságtan rövid történetét. Tudja bemutatni legalább négy nagy közgazdász munkásságát.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 modellalkotás szerepének bemutatására.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felismerni és értelmezni, hogy minden döntés alapja a gazdasági racionalitás.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jellemezni a piac elemeit és a kereslet és kínálat törvényét, ábrázolni a függvényeket.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különbséget tenni mennyiségi és minőségi változások között a kereslet és a kínálat vizsgálatánál.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Legyen képes bemutatni a piac működését, a piaci egyensúly kialakulásának mechanizmusát. </w:t>
            </w: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Layout w:type="fixed"/>
        <w:tblLook w:val="0000" w:firstRow="0" w:lastRow="0" w:firstColumn="0" w:lastColumn="0" w:noHBand="0" w:noVBand="0"/>
      </w:tblPr>
      <w:tblGrid>
        <w:gridCol w:w="1809"/>
        <w:gridCol w:w="4253"/>
        <w:gridCol w:w="3969"/>
      </w:tblGrid>
      <w:tr w:rsidR="004C2997">
        <w:tblPrEx>
          <w:tblCellMar>
            <w:top w:w="0" w:type="dxa"/>
            <w:bottom w:w="0" w:type="dxa"/>
          </w:tblCellMar>
        </w:tblPrEx>
        <w:tc>
          <w:tcPr>
            <w:tcW w:w="1809" w:type="dxa"/>
            <w:tcBorders>
              <w:top w:val="double" w:sz="4" w:space="0" w:color="auto"/>
              <w:left w:val="double" w:sz="4" w:space="0" w:color="auto"/>
              <w:bottom w:val="double" w:sz="4" w:space="0" w:color="auto"/>
              <w:right w:val="double" w:sz="4" w:space="0" w:color="auto"/>
            </w:tcBorders>
            <w:vAlign w:val="center"/>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2. A fogyasztói magatartás és a kereslet</w:t>
            </w:r>
          </w:p>
        </w:tc>
        <w:tc>
          <w:tcPr>
            <w:tcW w:w="4253" w:type="dxa"/>
            <w:tcBorders>
              <w:top w:val="single" w:sz="4" w:space="0" w:color="auto"/>
              <w:left w:val="double" w:sz="4" w:space="0" w:color="auto"/>
              <w:bottom w:val="sing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pontosan meghatározni az alapfogalmakat és a törvényszerűségeket.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ábrázolni a hasznossági függvényeket, jellemezni és ábrázolni a közömbösségi térképet és a költségvetési egyenest.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bemutatni a kereslet rugalmasságát jellemző tényezőket, alkalmazni Gossen első és második törvényét, felismerni a geometriai ábrázolás jelentőségét az optimális választásban.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felvázolni hogyan lehet eljutni az optimális fogyasztói döntésből az egyéni keresleti függvény levezetéséhez.</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felismerni az ár- és jövedelem változás hatásait a fogyasztói keresletre, jellemezni a piaci keresleti függvényt.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értelmezni a fogyasztói döntések belső tényezőit és külső feltételeit.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egyszerű feladatok megoldására és ábrázolására.</w:t>
            </w:r>
          </w:p>
        </w:tc>
        <w:tc>
          <w:tcPr>
            <w:tcW w:w="3969" w:type="dxa"/>
            <w:tcBorders>
              <w:top w:val="single" w:sz="4" w:space="0" w:color="auto"/>
              <w:left w:val="double" w:sz="4" w:space="0" w:color="auto"/>
              <w:bottom w:val="sing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értelmezni a költségvetési egyenes meredekségét.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rámutatni a helyettesítési ráta és a határhaszon csökkenése közti összefüggésre és felvázolni, hogyan lehet eljutni az optimális fogyasztói döntésből az egyéni keresleti függvény levezetéséhez.</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felismerni az ár- és jövedelem változás hatásait a fogyasztói keresletre, jellemezni és levezetni a piaci keresleti függvényt.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összetett feladatok megoldására és ábrázolására.</w:t>
            </w:r>
          </w:p>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Layout w:type="fixed"/>
        <w:tblLook w:val="0000" w:firstRow="0" w:lastRow="0" w:firstColumn="0" w:lastColumn="0" w:noHBand="0" w:noVBand="0"/>
      </w:tblPr>
      <w:tblGrid>
        <w:gridCol w:w="1809"/>
        <w:gridCol w:w="4253"/>
        <w:gridCol w:w="3969"/>
      </w:tblGrid>
      <w:tr w:rsidR="004C2997">
        <w:tblPrEx>
          <w:tblCellMar>
            <w:top w:w="0" w:type="dxa"/>
            <w:bottom w:w="0" w:type="dxa"/>
          </w:tblCellMar>
        </w:tblPrEx>
        <w:tc>
          <w:tcPr>
            <w:tcW w:w="1809" w:type="dxa"/>
            <w:tcBorders>
              <w:top w:val="double" w:sz="4" w:space="0" w:color="auto"/>
              <w:left w:val="double" w:sz="4" w:space="0" w:color="auto"/>
              <w:bottom w:val="double" w:sz="4" w:space="0" w:color="auto"/>
              <w:right w:val="double" w:sz="4" w:space="0" w:color="auto"/>
            </w:tcBorders>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 A vállalat termelői magatartása</w:t>
            </w:r>
          </w:p>
        </w:tc>
        <w:tc>
          <w:tcPr>
            <w:tcW w:w="4253" w:type="dxa"/>
            <w:tcBorders>
              <w:top w:val="single" w:sz="4" w:space="0" w:color="auto"/>
              <w:left w:val="double" w:sz="4" w:space="0" w:color="auto"/>
              <w:bottom w:val="sing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meghatározni a vállalkozások céljait, bemutatni mikro- és makrokörnyezetüket. Legyen képes meghatározni a vállalkozások működésének szervezeti kereteit.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értelmezni a gazdasági hatékonyság fogalmát, a gazdasági időtávokat és azok jelentőségét a vállalkozás életében.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felismerni és ábrázolni a termelési függvényt.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ismertetni a költségek különböző szempontok szerinti csoportosítását és tudja ábrázolni a költségfüggvényeket, bemutatni a teljes, az átlagköltség és a határköltség függvényeket.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definiálni az alternatív költség fogalmát.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és tudja alkalmazni egyszerű feladatok vonatkozásában a különböző költségek és profitok kiszámításának módjait.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jellemezni a piacformákat, ismertetni a profitmaximum elérésének feltételeit tökéletes verseny, illetve monopólium esetén.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összehasonlítani a tökéletes versenyt és a monopóliumot. Ismertesse a természetes monopólium lényegét.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Legyen képes a kínálatot meghatározó tényezők szerepét bemutatni rövid, illetve hosszú távon, vállalati és iparági szinten.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összehasonlítani a piaci formákat, vizsgálni a fogyasztói többlet és a holtteher-veszteség alakulását, értelmezni a monopolhelyzet gazdasági hatásait és a monopolellenes intézkedések szükségességét.</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bemutatni az egyes profitkategóriák közötti különbséget, összefüggést és ezek jelentőségét a vállalat helyzetének értékelése szempontjából.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meghatározni grafikusan a fogyasztói többletet és a holtteher-veszteséget.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bemutatni és helyesen használni az üzemszüneti és a fedezeti pont fogalmát.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ismertetni a költségek különböző szempontok szerinti csoportosítását és tudja ábrázolni a költségfüggvényeket, bemutatni a teljes, az átlagköltség és a határköltség függvényeket (vagy a függvények közötti összefüggéseket).</w:t>
            </w:r>
          </w:p>
        </w:tc>
        <w:tc>
          <w:tcPr>
            <w:tcW w:w="3969" w:type="dxa"/>
            <w:tcBorders>
              <w:top w:val="single" w:sz="4" w:space="0" w:color="auto"/>
              <w:left w:val="double" w:sz="4" w:space="0" w:color="auto"/>
              <w:bottom w:val="sing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Legyen képes ismertetni a termelési függvény és a költségfüggvények közötti összefüggést.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ábrázolni és jellemezni a hosszú távú átlagköltség függvényt.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és tudja alkalmazni összetett feladatok vonatkozásában a különböző költségek és profitok kiszámításának módjait.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jellemezni a piacformákat, ismertetni a profitmaximum elérésének feltételeit a különböző piaci formák esetén.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összehasonlítani a különböző piaci formákat. Ismertesse a természetes monopólium lényegét.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ismertetni a versenyszabályozás legfontosabb elemeit.</w:t>
            </w:r>
          </w:p>
        </w:tc>
      </w:tr>
      <w:tr w:rsidR="004C2997">
        <w:tblPrEx>
          <w:tblCellMar>
            <w:top w:w="0" w:type="dxa"/>
            <w:bottom w:w="0" w:type="dxa"/>
          </w:tblCellMar>
        </w:tblPrEx>
        <w:tc>
          <w:tcPr>
            <w:tcW w:w="1809" w:type="dxa"/>
            <w:tcBorders>
              <w:top w:val="double" w:sz="4" w:space="0" w:color="auto"/>
              <w:left w:val="double" w:sz="4" w:space="0" w:color="auto"/>
              <w:bottom w:val="double" w:sz="4" w:space="0" w:color="auto"/>
              <w:right w:val="double" w:sz="4" w:space="0" w:color="auto"/>
            </w:tcBorders>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4. Termelési tényezők piaca</w:t>
            </w:r>
          </w:p>
        </w:tc>
        <w:tc>
          <w:tcPr>
            <w:tcW w:w="4253" w:type="dxa"/>
            <w:tcBorders>
              <w:top w:val="single" w:sz="4" w:space="0" w:color="auto"/>
              <w:left w:val="double" w:sz="4" w:space="0" w:color="auto"/>
              <w:bottom w:val="sing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 tényezőpiac sajátosságainak felsorolására. Tudja felsorolni a termelési tényezők keresletét és kínálatát meghatározó tényezőket.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definiálni a határtermék-bevétel és a tényező határköltség fogalmát, szerepét az optimális tényező felhasználásban.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 származékos kereslet fogalmának pontos értelmezésére.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valamennyi tényezőpiac teljes körű bemutatására.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Legyen képes egyszerű feladatokon keresztül a jelen- és a jövőérték számítására, az eredmények értékelésére. </w:t>
            </w:r>
          </w:p>
        </w:tc>
        <w:tc>
          <w:tcPr>
            <w:tcW w:w="3969" w:type="dxa"/>
            <w:tcBorders>
              <w:top w:val="single" w:sz="4" w:space="0" w:color="auto"/>
              <w:left w:val="double" w:sz="4" w:space="0" w:color="auto"/>
              <w:bottom w:val="sing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felsorolni az összes termelési tényezők keresletét és kínálatát meghatározó tényezőket.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valamennyi tényezőpiac teljes körű bemutatására és ábrázolására a kereslet és a kínálat oldaláról.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ábrázolni és jellemezni az egyéni munkakínálati függvényt.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ismertetni a jövedelmek funkcionális elosztásának elvét.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Legyen képes összetett feladatokon keresztül a jelen- és a jövőérték számítására, az eredmények értékelésére. </w:t>
            </w:r>
          </w:p>
        </w:tc>
      </w:tr>
      <w:tr w:rsidR="004C2997">
        <w:tblPrEx>
          <w:tblCellMar>
            <w:top w:w="0" w:type="dxa"/>
            <w:bottom w:w="0" w:type="dxa"/>
          </w:tblCellMar>
        </w:tblPrEx>
        <w:tc>
          <w:tcPr>
            <w:tcW w:w="1809" w:type="dxa"/>
            <w:tcBorders>
              <w:top w:val="double" w:sz="4" w:space="0" w:color="auto"/>
              <w:left w:val="double" w:sz="4" w:space="0" w:color="auto"/>
              <w:bottom w:val="double" w:sz="4" w:space="0" w:color="auto"/>
              <w:right w:val="double" w:sz="4" w:space="0" w:color="auto"/>
            </w:tcBorders>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 Az externáliák</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és a közjavak</w:t>
            </w:r>
          </w:p>
        </w:tc>
        <w:tc>
          <w:tcPr>
            <w:tcW w:w="4253" w:type="dxa"/>
            <w:tcBorders>
              <w:top w:val="single" w:sz="4" w:space="0" w:color="auto"/>
              <w:left w:val="double" w:sz="4" w:space="0" w:color="auto"/>
              <w:bottom w:val="sing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az externáliák fogalmának értelmezésére, fajtáinak bemutatására, tudja azokat egyszerű példákkal illusztrálni.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különbséget tenni magán- és közjavak között.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bemutatni az internalizálás egyes lehetőségeit, értelmezni az állami beavatkozás szükségességének okát az externáliák és a közjavak esetében.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bemutatni az állami beavatkozás szükségességét az externáliák és a közjavak esetében.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rámutatni arra, hogy a környezetszennyezés globális probléma.</w:t>
            </w:r>
          </w:p>
        </w:tc>
        <w:tc>
          <w:tcPr>
            <w:tcW w:w="3969" w:type="dxa"/>
            <w:tcBorders>
              <w:top w:val="single" w:sz="4" w:space="0" w:color="auto"/>
              <w:left w:val="double" w:sz="4" w:space="0" w:color="auto"/>
              <w:bottom w:val="sing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bemutatni az állami beavatkozás szükségességét az externáliák és a közjavak esetében. Legyen képes bemutatni az idekapcsolódó globális problémákat és azok hatásait értelmezni, valamint rámutatni arra, hogyan küzdenek a világon és hogyan küzdhetünk mi a globális problémák ellen.</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1809" w:type="dxa"/>
            <w:tcBorders>
              <w:top w:val="double" w:sz="4" w:space="0" w:color="auto"/>
              <w:left w:val="double" w:sz="4" w:space="0" w:color="auto"/>
              <w:bottom w:val="double" w:sz="4" w:space="0" w:color="auto"/>
              <w:right w:val="double" w:sz="4" w:space="0" w:color="auto"/>
            </w:tcBorders>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 Makroökonómiai alapismeretek</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és összefüggések</w:t>
            </w:r>
          </w:p>
        </w:tc>
        <w:tc>
          <w:tcPr>
            <w:tcW w:w="4253" w:type="dxa"/>
            <w:tcBorders>
              <w:top w:val="single" w:sz="4" w:space="0" w:color="auto"/>
              <w:left w:val="double" w:sz="4" w:space="0" w:color="auto"/>
              <w:bottom w:val="sing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különbséget tenni a mikro- és makroszemlélet között.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bemutatni a makrogazdaság szereplőit és piacait, a kibocsátás nemzetközi (SNA) mutatószámait, a gazdasági szférák közötti jövedelemáramlást.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alkalmazni a makroegyenleteket a főbb mutatószámok kiszámításában egyszerű feladatok vonatkozásában.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értelmezni az egyes mutatószámokat.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Tudja elmondani a halmozódás problémájának </w:t>
            </w:r>
            <w:r>
              <w:rPr>
                <w:rFonts w:ascii="Times New Roman" w:hAnsi="Times New Roman" w:cs="Times New Roman"/>
                <w:sz w:val="20"/>
                <w:szCs w:val="20"/>
              </w:rPr>
              <w:lastRenderedPageBreak/>
              <w:t xml:space="preserve">lényegét. </w:t>
            </w:r>
          </w:p>
        </w:tc>
        <w:tc>
          <w:tcPr>
            <w:tcW w:w="3969" w:type="dxa"/>
            <w:tcBorders>
              <w:top w:val="single" w:sz="4" w:space="0" w:color="auto"/>
              <w:left w:val="double" w:sz="4" w:space="0" w:color="auto"/>
              <w:bottom w:val="sing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Tudja értelmezni az egyes mutatószámokat, legyen képes összefüggő elemzést készíteni a mutatószámokról.</w:t>
            </w:r>
          </w:p>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Layout w:type="fixed"/>
        <w:tblLook w:val="0000" w:firstRow="0" w:lastRow="0" w:firstColumn="0" w:lastColumn="0" w:noHBand="0" w:noVBand="0"/>
      </w:tblPr>
      <w:tblGrid>
        <w:gridCol w:w="1809"/>
        <w:gridCol w:w="4253"/>
        <w:gridCol w:w="3969"/>
      </w:tblGrid>
      <w:tr w:rsidR="004C2997">
        <w:tblPrEx>
          <w:tblCellMar>
            <w:top w:w="0" w:type="dxa"/>
            <w:bottom w:w="0" w:type="dxa"/>
          </w:tblCellMar>
        </w:tblPrEx>
        <w:tc>
          <w:tcPr>
            <w:tcW w:w="1809" w:type="dxa"/>
            <w:tcBorders>
              <w:top w:val="double" w:sz="4" w:space="0" w:color="auto"/>
              <w:left w:val="double" w:sz="4" w:space="0" w:color="auto"/>
              <w:bottom w:val="double" w:sz="4" w:space="0" w:color="auto"/>
              <w:right w:val="double" w:sz="4" w:space="0" w:color="auto"/>
            </w:tcBorders>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 A makrogazdasági egyensúly</w:t>
            </w:r>
          </w:p>
        </w:tc>
        <w:tc>
          <w:tcPr>
            <w:tcW w:w="4253" w:type="dxa"/>
            <w:tcBorders>
              <w:top w:val="single" w:sz="4" w:space="0" w:color="auto"/>
              <w:left w:val="double" w:sz="4" w:space="0" w:color="auto"/>
              <w:bottom w:val="sing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ismertetni az árupiaci kereslet tényezőit.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bemutatni a fogyasztási és megtakarítási függvényt, a beruházások szerepét.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jellemezni a fogyasztásra és a beruházásra ható tényezőket, tudja felsorolni a fogyasztási és a beruházási kereslet motivációs tényezőit.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ábrázolni és jellemezni az összkeresleti függvényt.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bemutatni az egyensúlyi jövedelem szerepét, a kereslet és az árszínvonal kapcsolatát, a pénzpiac és az árupiaci kereslet kapcsolatát.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felsorolni és bemutatni a munka keresletét és kínálatát meghatározó tényezőket.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ábrázolni és jellemezni a foglalkoztatási függvényt és tudja értelmezni a munkapiaci egyensúlyt, a munkanélküliség és az infláció fogalmát és okait.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és egyszerű feladaton keresztül tudja kiszámítani az aktivitási és a munkanélküliségi rátát, tudja azokat értelmezni.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bemutatni a pénz kialakulásának folyamatát, felsorolni és bemutatni a pénz funkcióit. Tudja felsorolni a pénzpiacra ható tényezőket.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ismertetni a pénzkínálat szabályozásának lehetőségeit.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ábrázolni és jellemezni a pénzkeresleti és pénzkínálati függvényt. Legyen képes értelmezni a pénzpiac egyensúlyát és a kamatláb kapcsolatát.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ismertetni a pénzpiac és az árupiaci kereslet kapcsolatát.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jellemezni a mai magyar bankrendszert.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jellemezni a makrogazdasági problémákat: egyensúlyi közelítés kereslet és kínálat oldalról, az egyensúlytalansági szint megítélése.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Tudja pontosan értelmezni a növekedés fogalmát. Tudja felsorolni a mérésére használt mutatószámokat és tudja felsorolni a növekedéssel kapcsolatos mérési problémákat. </w:t>
            </w:r>
          </w:p>
        </w:tc>
        <w:tc>
          <w:tcPr>
            <w:tcW w:w="3969" w:type="dxa"/>
            <w:tcBorders>
              <w:top w:val="single" w:sz="4" w:space="0" w:color="auto"/>
              <w:left w:val="double" w:sz="4" w:space="0" w:color="auto"/>
              <w:bottom w:val="sing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bemutatni a fogyasztási és megtakarítási függvényt, a beruházások szerepét.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az aggregált keresleti függvény levezetésére, értelmezésére.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és feladaton keresztül tudja kiszámítani az aktivitási és a munkanélküliségi rátát, tudja azokat értelmezni.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értelmezni a pénzpiac egyensúlyát és a kamatláb kapcsolatát, fogalmát, funkcióját.</w:t>
            </w:r>
          </w:p>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Layout w:type="fixed"/>
        <w:tblLook w:val="0000" w:firstRow="0" w:lastRow="0" w:firstColumn="0" w:lastColumn="0" w:noHBand="0" w:noVBand="0"/>
      </w:tblPr>
      <w:tblGrid>
        <w:gridCol w:w="1817"/>
        <w:gridCol w:w="4245"/>
        <w:gridCol w:w="3969"/>
      </w:tblGrid>
      <w:tr w:rsidR="004C2997">
        <w:tblPrEx>
          <w:tblCellMar>
            <w:top w:w="0" w:type="dxa"/>
            <w:bottom w:w="0" w:type="dxa"/>
          </w:tblCellMar>
        </w:tblPrEx>
        <w:tc>
          <w:tcPr>
            <w:tcW w:w="1817" w:type="dxa"/>
            <w:tcBorders>
              <w:top w:val="double" w:sz="4" w:space="0" w:color="auto"/>
              <w:left w:val="double" w:sz="4" w:space="0" w:color="auto"/>
              <w:bottom w:val="double" w:sz="4" w:space="0" w:color="auto"/>
              <w:right w:val="double" w:sz="4" w:space="0" w:color="auto"/>
            </w:tcBorders>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8. Az állam gazdaságpolitikája</w:t>
            </w:r>
          </w:p>
        </w:tc>
        <w:tc>
          <w:tcPr>
            <w:tcW w:w="4245" w:type="dxa"/>
            <w:tcBorders>
              <w:top w:val="single" w:sz="4" w:space="0" w:color="auto"/>
              <w:left w:val="double" w:sz="4" w:space="0" w:color="auto"/>
              <w:bottom w:val="sing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felsorolni az állam feladatait, az állami beavatkozás okait és a lehetséges megoldásokat. Legyen képes értelmezni az állami költségvetés fogalmát, a kormányzati kiadások és az állami transzferek szerepét, hatásukat. Legyen képes az együttes hatásuk és az egyensúlyi jövedelem meghatározására.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felismerni a gazdaságpolitika fő irányait és a beavatkozás eszközeit.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pontosan definiálni a költségvetési és a monetáris politika fogalmát.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rámutatni a monetáris és fiskális politika előnyeire és hátrányaira, a beavatkozás korlátaira.</w:t>
            </w:r>
          </w:p>
        </w:tc>
        <w:tc>
          <w:tcPr>
            <w:tcW w:w="3969" w:type="dxa"/>
            <w:tcBorders>
              <w:top w:val="single" w:sz="4" w:space="0" w:color="auto"/>
              <w:left w:val="double" w:sz="4" w:space="0" w:color="auto"/>
              <w:bottom w:val="sing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ismertetni az állam feladatait, az állami beavatkozás okait és a lehetséges megoldásokat.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felismerni és értelmezni a gazdaságpolitika fő irányait és a beavatkozás eszközeit.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ismertetni a foglalkoztatás és az infláció együttes kezelésének problémáját és felismerni a gazdaságpolitikai programokban a fiskális és a monetáris eszközöket.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Tudja értelmezni a foglalkoztatás és az infláció együttes kezelésének problémáját. </w:t>
            </w:r>
          </w:p>
        </w:tc>
      </w:tr>
      <w:tr w:rsidR="004C2997">
        <w:tblPrEx>
          <w:tblCellMar>
            <w:top w:w="0" w:type="dxa"/>
            <w:bottom w:w="0" w:type="dxa"/>
          </w:tblCellMar>
        </w:tblPrEx>
        <w:tc>
          <w:tcPr>
            <w:tcW w:w="1817" w:type="dxa"/>
            <w:tcBorders>
              <w:top w:val="double" w:sz="4" w:space="0" w:color="auto"/>
              <w:left w:val="double" w:sz="4" w:space="0" w:color="auto"/>
              <w:bottom w:val="double" w:sz="4" w:space="0" w:color="auto"/>
              <w:right w:val="double" w:sz="4" w:space="0" w:color="auto"/>
            </w:tcBorders>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9. Külgazdasági</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kapcsolatok és</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nemzetgazdasági</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összefüggések</w:t>
            </w:r>
          </w:p>
        </w:tc>
        <w:tc>
          <w:tcPr>
            <w:tcW w:w="4245" w:type="dxa"/>
            <w:tcBorders>
              <w:top w:val="single" w:sz="4" w:space="0" w:color="auto"/>
              <w:left w:val="double" w:sz="4" w:space="0" w:color="auto"/>
              <w:bottom w:val="sing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Legyen képes a külgazdasággal kapcsolatos fogalmakat pontosan használni. Legyen képes rámutatni a külkereskedelem jelentőségére, a </w:t>
            </w:r>
            <w:r>
              <w:rPr>
                <w:rFonts w:ascii="Times New Roman" w:hAnsi="Times New Roman" w:cs="Times New Roman"/>
                <w:sz w:val="20"/>
                <w:szCs w:val="20"/>
              </w:rPr>
              <w:lastRenderedPageBreak/>
              <w:t>külkereskedelem-politika lényegének, irányainak, eszközeinek ismertetésére.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 komparatív előny lényegének pontos meghatározására, a belső termelésre, a fogyasztásra, az árra gyakorolt hatásának bemutatására. Legyen képes a komparatív előnyök forrásainak felsorolására.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 vállalatok külpiacra való lépésének értelmezésére, a világpiaci verseny feltételeinek felsorolására.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bemutatni a vállalkozások külpiaci stratégiáit.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röviden bemutatni a magyar gazdaság helyzetét a külkereskedelem és a külpiaci kapcsolatok szempontjából.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felsorolni a magyar gazdaság helyzetét meghatározó kategóriákat és mutatókat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(nemzetközi fizetési mérleg egyensúlya, egyensúlytalansága).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bemutatni a makrogazdasági egyensúly nyitott gazdaságra vonatkozó aspektusait és az árfolyam-politika lényegét.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bemutatni a lebegő és a fix árfolyamok rendszerét.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az EU kialakulásának legfontosabb állomásait felsorolni, a legfontosabb EU intézmények feladatát felsorolni.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 legfontosabb nemzetközi szervezetek megnevezésére (IMF, IBRD, WTO), alapvető feladataik felsorolására.</w:t>
            </w:r>
          </w:p>
        </w:tc>
        <w:tc>
          <w:tcPr>
            <w:tcW w:w="3969" w:type="dxa"/>
            <w:tcBorders>
              <w:top w:val="single" w:sz="4" w:space="0" w:color="auto"/>
              <w:left w:val="double" w:sz="4" w:space="0" w:color="auto"/>
              <w:bottom w:val="single" w:sz="4" w:space="0" w:color="auto"/>
              <w:right w:val="double" w:sz="4" w:space="0" w:color="auto"/>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Tudja értelmezni az árdiszkrimináció fogalmát, bemutatni a hatását.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Legyen képes az EU kialakulásának </w:t>
            </w:r>
            <w:r>
              <w:rPr>
                <w:rFonts w:ascii="Times New Roman" w:hAnsi="Times New Roman" w:cs="Times New Roman"/>
                <w:sz w:val="20"/>
                <w:szCs w:val="20"/>
              </w:rPr>
              <w:lastRenderedPageBreak/>
              <w:t>folyamatát végigkövetni, bemutatni az EU intézményrendszerét, az egyes intézmények feladatait.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felsorolni az egyes intézmények székhelyeit. Tudja felsorolni az EU tagországait, ismerje az egyes ország-csoportok csatlakozásának évszámait.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a legfontosabb nemzetközi szervezetek megnevezésére (IMF, IBRD, WTO), feladataik bemutatására.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bemutatni az EU pénzügyi rendszerét és tudja felsorolni hazánk euró-övezethez való csatlakozásának feltételeit.</w:t>
            </w:r>
          </w:p>
        </w:tc>
      </w:tr>
    </w:tbl>
    <w:p w:rsidR="004C2997" w:rsidRDefault="004C2997" w:rsidP="004C2997">
      <w:pPr>
        <w:autoSpaceDE w:val="0"/>
        <w:autoSpaceDN w:val="0"/>
        <w:adjustRightInd w:val="0"/>
        <w:spacing w:after="0" w:line="240" w:lineRule="auto"/>
        <w:rPr>
          <w:rFonts w:ascii="Times New Roman" w:hAnsi="Times New Roman" w:cs="Times New Roman"/>
          <w:sz w:val="2"/>
          <w:szCs w:val="2"/>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ÜGYVITELI ALAPISMERETEK </w:t>
      </w:r>
      <w:r>
        <w:rPr>
          <w:rFonts w:ascii="Times New Roman" w:hAnsi="Times New Roman" w:cs="Times New Roman"/>
          <w:b/>
          <w:bCs/>
          <w:sz w:val="24"/>
          <w:szCs w:val="24"/>
        </w:rPr>
        <w:br/>
        <w:t>ÉRETTSÉGI VIZSGA ÁLTALÁNOS KÖVETELMÉNYEI</w:t>
      </w:r>
    </w:p>
    <w:p w:rsidR="004C2997" w:rsidRDefault="004C2997" w:rsidP="004C2997">
      <w:pPr>
        <w:autoSpaceDE w:val="0"/>
        <w:autoSpaceDN w:val="0"/>
        <w:adjustRightInd w:val="0"/>
        <w:spacing w:after="0" w:line="240" w:lineRule="auto"/>
        <w:jc w:val="center"/>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ind w:left="150" w:right="147" w:firstLine="240"/>
        <w:rPr>
          <w:rFonts w:ascii="Times New Roman" w:hAnsi="Times New Roman" w:cs="Times New Roman"/>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b/>
          <w:bCs/>
          <w:sz w:val="20"/>
          <w:szCs w:val="20"/>
        </w:rPr>
        <w:t>Az ügyviteli alapismeretek érettségi vizsga célja</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Az ügyviteli alapismeretek érettségi vizsga célja, hogy a vizsgázó adjon számot a 9-12. évfolyamon a szakmacsoportos alapozó oktatásban elsajátított szakirányú ismereteinek, kialakult szakmai készségeinek, képességeinek mértékéről, mélységéről. Mutassa fel továbbá azokat az oktatás során elsajátított intellektuális, viselkedési és magatartásjellemzőket, melyek a kapott vizsgafeladatok értelmezésében, a megoldások szakmailag pontos, áttekinthető és esztétikus prezentálásában jelennek meg.</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A vizsgázó mindkét szinten írásban ad számot a szövegfeldolgozás és informatikai alkalmazások ismereteiről.</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Ügyintézői és titkári, valamint alapvető gazdasági és jogi ismereteit a szóbeli vizsgán mutatja be.</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A két szint követelménye leginkább a vizsga komplexitásában, mennyiségében és minőségében tér el egymástól. A vizsga mindkét szinten magyar nyelven folyik.</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A középszintű érettségi vizsga célja annak megállapítása, hogy a vizsgázó</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 képes-e szakirányú ismereteit az adott szinten pontosan felidézni, rendezni és önállóan alkalmazni,</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 ki tudja-e választani és használja-e a munkájához megfelelő informatikai eszközöket,</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 képes-e diktálásra gépelve bemutatni a hivatali levelezés alapvető szakszókincsét a helyesírás</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követelményeinek betartásával és a szokásoknak megfelelő formai követelményeket érvényesíteni,</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 tisztában van-e alapvető gazdasági és jogi ismeretekből alapfogalmakkal, összefüggésekkel,</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 ismeri-e a hétköznapi protokoll alapszabályait, tudja-e ezeket egyszerűbb szituációkban alkalmazni,</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 ismeri-e a munkajoggal kapcsolatos alapvető fogalmakat, szabályokat,</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 ismeri-e az EU lényegét, történetét, hazánk tagságának történetét,</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 ismeri-e a korszerű iroda felépítését, működését,</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 ismeri-e az ügyiratkezelés alapvető szabályait, a titkos ügyiratkezelést, az iratkezelés szabályzatait,</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 képes-e egyszerűbb szituációkban az ügyfélfogadással kapcsolatos feladatokat megoldani,</w:t>
      </w:r>
    </w:p>
    <w:p w:rsidR="004C2997" w:rsidRDefault="004C2997" w:rsidP="004C2997">
      <w:pPr>
        <w:autoSpaceDE w:val="0"/>
        <w:autoSpaceDN w:val="0"/>
        <w:adjustRightInd w:val="0"/>
        <w:spacing w:after="0" w:line="240" w:lineRule="auto"/>
        <w:ind w:left="390" w:right="147"/>
        <w:jc w:val="both"/>
        <w:rPr>
          <w:rFonts w:ascii="Times New Roman" w:hAnsi="Times New Roman" w:cs="Times New Roman"/>
          <w:sz w:val="20"/>
          <w:szCs w:val="20"/>
        </w:rPr>
      </w:pPr>
      <w:r>
        <w:rPr>
          <w:rFonts w:ascii="Times New Roman" w:hAnsi="Times New Roman" w:cs="Times New Roman"/>
          <w:sz w:val="20"/>
          <w:szCs w:val="20"/>
        </w:rPr>
        <w:t>- képes-e minták alapján alapvető hivatali levelek, iratok, üzleti szerződések tartalmi és formai követelményeit ismertetni.</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Az emelt szintű érettségi vizsga célja annak megállapítása, hogy a fentieken túl a vizsgázó</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 képes-e ismereteit integráltan alkalmazni komplex ügyviteli jellegű feladat számítógépes megoldásában, azaz önállóan kezelni egy problémakört oly módon, hogy annak végeredménye egy projekt legyen, mely a feladatértelmezést és a számítógéppel támogatott igényes megoldásokat úgy tartalmazza, hogy azzal a jelölt szakmai felkészültségét és kreativitását bizonyítsa,</w:t>
      </w:r>
    </w:p>
    <w:p w:rsidR="004C2997" w:rsidRDefault="004C2997" w:rsidP="004C2997">
      <w:pPr>
        <w:autoSpaceDE w:val="0"/>
        <w:autoSpaceDN w:val="0"/>
        <w:adjustRightInd w:val="0"/>
        <w:spacing w:after="0" w:line="240" w:lineRule="auto"/>
        <w:ind w:left="150" w:right="147" w:firstLine="240"/>
        <w:jc w:val="both"/>
        <w:rPr>
          <w:rFonts w:ascii="Times New Roman" w:hAnsi="Times New Roman" w:cs="Times New Roman"/>
          <w:sz w:val="20"/>
          <w:szCs w:val="20"/>
        </w:rPr>
      </w:pPr>
      <w:r>
        <w:rPr>
          <w:rFonts w:ascii="Times New Roman" w:hAnsi="Times New Roman" w:cs="Times New Roman"/>
          <w:sz w:val="20"/>
          <w:szCs w:val="20"/>
        </w:rPr>
        <w:t>- képes-e számot adni alapvető gazdasági és jogi ismereteiről.</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p>
    <w:p w:rsidR="004C2997" w:rsidRDefault="004C2997" w:rsidP="004C2997">
      <w:pPr>
        <w:autoSpaceDE w:val="0"/>
        <w:autoSpaceDN w:val="0"/>
        <w:adjustRightInd w:val="0"/>
        <w:spacing w:before="180" w:after="90" w:line="240" w:lineRule="auto"/>
        <w:ind w:left="150" w:right="150" w:hanging="150"/>
        <w:rPr>
          <w:rFonts w:ascii="Times New Roman" w:hAnsi="Times New Roman" w:cs="Times New Roman"/>
          <w:sz w:val="20"/>
          <w:szCs w:val="20"/>
        </w:rPr>
      </w:pPr>
      <w:r>
        <w:rPr>
          <w:rFonts w:ascii="Times New Roman" w:hAnsi="Times New Roman" w:cs="Times New Roman"/>
          <w:b/>
          <w:bCs/>
          <w:sz w:val="20"/>
          <w:szCs w:val="20"/>
        </w:rPr>
        <w:t>Tartalmi követelmények</w:t>
      </w:r>
    </w:p>
    <w:tbl>
      <w:tblPr>
        <w:tblW w:w="0" w:type="auto"/>
        <w:tblInd w:w="-38" w:type="dxa"/>
        <w:tblLayout w:type="fixed"/>
        <w:tblCellMar>
          <w:left w:w="70" w:type="dxa"/>
          <w:right w:w="70" w:type="dxa"/>
        </w:tblCellMar>
        <w:tblLook w:val="0000" w:firstRow="0" w:lastRow="0" w:firstColumn="0" w:lastColumn="0" w:noHBand="0" w:noVBand="0"/>
      </w:tblPr>
      <w:tblGrid>
        <w:gridCol w:w="3272"/>
        <w:gridCol w:w="3272"/>
        <w:gridCol w:w="3272"/>
      </w:tblGrid>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b/>
                <w:bCs/>
                <w:sz w:val="20"/>
                <w:szCs w:val="20"/>
              </w:rPr>
            </w:pPr>
            <w:r>
              <w:rPr>
                <w:rFonts w:ascii="Times New Roman" w:hAnsi="Times New Roman" w:cs="Times New Roman"/>
                <w:b/>
                <w:bCs/>
                <w:sz w:val="20"/>
                <w:szCs w:val="20"/>
              </w:rPr>
              <w:t>Témakörök</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b/>
                <w:bCs/>
                <w:sz w:val="20"/>
                <w:szCs w:val="20"/>
              </w:rPr>
            </w:pPr>
            <w:r>
              <w:rPr>
                <w:rFonts w:ascii="Times New Roman" w:hAnsi="Times New Roman" w:cs="Times New Roman"/>
                <w:b/>
                <w:bCs/>
                <w:sz w:val="20"/>
                <w:szCs w:val="20"/>
              </w:rPr>
              <w:t>1. Szövegfeldolgozás</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b/>
                <w:bCs/>
                <w:sz w:val="20"/>
                <w:szCs w:val="20"/>
              </w:rPr>
            </w:pP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b/>
                <w:bCs/>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Összetett ügyviteli írásbeli feladat elkészítése</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Értelmezze a feladatot.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Hivatalos iratok tartalmi sajátosságai</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Ismerje a hivatalos levelezés alapvető szakszókincsét.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 xml:space="preserve">Fogalmazza meg önállóan gazdasági tevékenységgel kapcsolatos irat (üzleti levél - mint középszinten -, előterjesztés, emlékeztető) szövegét 4-5 megadott tartalmi útmutatás alapján. </w:t>
            </w:r>
            <w:r>
              <w:rPr>
                <w:rFonts w:ascii="Times New Roman" w:hAnsi="Times New Roman" w:cs="Times New Roman"/>
                <w:sz w:val="20"/>
                <w:szCs w:val="20"/>
              </w:rPr>
              <w:br/>
              <w:t xml:space="preserve">Használjon változatos kifejezéseket, mondatszerkezetet, megfelelő nyelvi eszközöket. </w:t>
            </w:r>
            <w:r>
              <w:rPr>
                <w:rFonts w:ascii="Times New Roman" w:hAnsi="Times New Roman" w:cs="Times New Roman"/>
                <w:sz w:val="20"/>
                <w:szCs w:val="20"/>
              </w:rPr>
              <w:br/>
              <w:t xml:space="preserve">Alkalmazza a megfelelő szakszókincset. </w:t>
            </w:r>
            <w:r>
              <w:rPr>
                <w:rFonts w:ascii="Times New Roman" w:hAnsi="Times New Roman" w:cs="Times New Roman"/>
                <w:sz w:val="20"/>
                <w:szCs w:val="20"/>
              </w:rPr>
              <w:br/>
              <w:t>Érvényesítse a nyelvhelyességi követelményeket a szöveg elkészítésekor.</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lastRenderedPageBreak/>
              <w:t>Adatbevitel</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 xml:space="preserve">Tudja diktálás alapján legépelni egyszerű tartalmú üzleti levél (ajánlatkérés, ajánlat, tájékoztatás, beszámoló) szövegét kb. 1000 leütés/tíz perc írássebességgel, tízujjas vakírással, a javítási lehetőségek használatával, az előírt hibahatárokon belül, a helyesírási követelményeknek megfelelően. </w:t>
            </w:r>
            <w:r>
              <w:rPr>
                <w:rFonts w:ascii="Times New Roman" w:hAnsi="Times New Roman" w:cs="Times New Roman"/>
                <w:sz w:val="20"/>
                <w:szCs w:val="20"/>
              </w:rPr>
              <w:br/>
              <w:t>Szúrjon be a megfelelő, tartalomhoz illeszkedő helyre készen kapott vagy általa kiegészített, formázott táblázatot, grafikont.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 xml:space="preserve">Az elkészített fogalmazványt gépelje le a kéziratból tízujjas vakírással, a javítási lehetőségek használatával, a helyesírási és nyelvhelyességi követelményeknek megfelelően. </w:t>
            </w:r>
            <w:r>
              <w:rPr>
                <w:rFonts w:ascii="Times New Roman" w:hAnsi="Times New Roman" w:cs="Times New Roman"/>
                <w:sz w:val="20"/>
                <w:szCs w:val="20"/>
              </w:rPr>
              <w:br/>
              <w:t>Készítsen önállóan táblázatot, grafikont és szúrja be a megfelelő, tartalomhoz illeszkedő helyre.</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b/>
                <w:bCs/>
                <w:sz w:val="20"/>
                <w:szCs w:val="20"/>
              </w:rPr>
            </w:pPr>
            <w:r>
              <w:rPr>
                <w:rFonts w:ascii="Times New Roman" w:hAnsi="Times New Roman" w:cs="Times New Roman"/>
                <w:sz w:val="20"/>
                <w:szCs w:val="20"/>
              </w:rPr>
              <w:t>Hivatalos iratok formai sajátosságai</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b/>
                <w:bCs/>
                <w:sz w:val="20"/>
                <w:szCs w:val="20"/>
              </w:rPr>
            </w:pPr>
            <w:r>
              <w:rPr>
                <w:rFonts w:ascii="Times New Roman" w:hAnsi="Times New Roman" w:cs="Times New Roman"/>
                <w:sz w:val="20"/>
                <w:szCs w:val="20"/>
              </w:rPr>
              <w:t xml:space="preserve">Tudjon iratot megfelelő formában elkészíteni. </w:t>
            </w:r>
            <w:r>
              <w:rPr>
                <w:rFonts w:ascii="Times New Roman" w:hAnsi="Times New Roman" w:cs="Times New Roman"/>
                <w:sz w:val="20"/>
                <w:szCs w:val="20"/>
              </w:rPr>
              <w:br/>
              <w:t xml:space="preserve">Szerepeltesse a fejlécet, dátumot, címzettet, tárgyat stb., alkalmazza a tartalomhoz illeszkedő bekezdéseket, kiemeléseket, a levélbefejezési formákat, aláírást, hivatkozást az esetleges mellékletekre. </w:t>
            </w:r>
            <w:r>
              <w:rPr>
                <w:rFonts w:ascii="Times New Roman" w:hAnsi="Times New Roman" w:cs="Times New Roman"/>
                <w:sz w:val="20"/>
                <w:szCs w:val="20"/>
              </w:rPr>
              <w:br/>
              <w:t>Tudja elmenteni, kinyomtatni az iratot.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b/>
                <w:bCs/>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b/>
                <w:bCs/>
                <w:sz w:val="20"/>
                <w:szCs w:val="20"/>
              </w:rPr>
            </w:pPr>
            <w:r>
              <w:rPr>
                <w:rFonts w:ascii="Times New Roman" w:hAnsi="Times New Roman" w:cs="Times New Roman"/>
                <w:sz w:val="20"/>
                <w:szCs w:val="20"/>
              </w:rPr>
              <w:t>Hivatalos iratok elektronikus továbbítása</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b/>
                <w:bCs/>
                <w:sz w:val="20"/>
                <w:szCs w:val="20"/>
              </w:rPr>
            </w:pPr>
            <w:r>
              <w:rPr>
                <w:rFonts w:ascii="Times New Roman" w:hAnsi="Times New Roman" w:cs="Times New Roman"/>
                <w:sz w:val="20"/>
                <w:szCs w:val="20"/>
              </w:rPr>
              <w:t>Továbbítsa az önállóan elkészített iratot a feladat meghatározásának megfelelő módon (pl. e-mail).</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b/>
                <w:bCs/>
                <w:sz w:val="20"/>
                <w:szCs w:val="20"/>
              </w:rPr>
            </w:pPr>
            <w:r>
              <w:rPr>
                <w:rFonts w:ascii="Times New Roman" w:hAnsi="Times New Roman" w:cs="Times New Roman"/>
                <w:sz w:val="20"/>
                <w:szCs w:val="20"/>
              </w:rPr>
              <w:t>Továbbítsa az önállóan elkészített iratot a feladat meghatározásnak megfelelő módon (pl. körlevél, fax, körfax).</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b/>
                <w:bCs/>
                <w:sz w:val="20"/>
                <w:szCs w:val="20"/>
              </w:rPr>
              <w:t>2. Informatikai alkalmazások</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Általános ismeretek</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Alkalmazza helyesen az informatikai alapfogalmakat.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Adatkezelés és kommunikáció</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Ismerje a mindennapi életben előforduló adatkezelési és kommunikációs módszereket, valamint ezek eszközeit.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számítógép felépítése, funkcionális egységei, azok főbb jellemzői</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 xml:space="preserve">Különböztesse meg a központi egység és a fontosabb perifériák főbb jellemzőit, feladatát. </w:t>
            </w:r>
            <w:r>
              <w:rPr>
                <w:rFonts w:ascii="Times New Roman" w:hAnsi="Times New Roman" w:cs="Times New Roman"/>
                <w:sz w:val="20"/>
                <w:szCs w:val="20"/>
              </w:rPr>
              <w:br/>
              <w:t>Adott feladattípushoz válassza ki az optimális perifériákat.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A számítógép üzembe helyezése</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A számítógép főbb egységeit ismerje fel, tudja összekapcsolni, üzembe helyezni.</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Szoftvertípusok</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 xml:space="preserve">Ismerje a programok feladat szerinti csoportosításánál használt fontosabb fogalmakat. </w:t>
            </w:r>
            <w:r>
              <w:rPr>
                <w:rFonts w:ascii="Times New Roman" w:hAnsi="Times New Roman" w:cs="Times New Roman"/>
                <w:sz w:val="20"/>
                <w:szCs w:val="20"/>
              </w:rPr>
              <w:br/>
              <w:t>Tudja a konkrét feladat megoldásához a megfelelő programot kiválasztani.</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Az operációs rendszer</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Ismerje az operációs rendszer feladatait.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Adatkezelés</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 xml:space="preserve">Mappákat (könyvtárakat) és állományokat (fájlokat) tudjon szabályosan elnevezni, a gyakoribb fájltípusokat ismerje fel. Tudjon mappát (könyvtárat), állományt (fájlt) létrehozni, másolni, áthelyezni, átnevezni, törölni. </w:t>
            </w:r>
            <w:r>
              <w:rPr>
                <w:rFonts w:ascii="Times New Roman" w:hAnsi="Times New Roman" w:cs="Times New Roman"/>
                <w:sz w:val="20"/>
                <w:szCs w:val="20"/>
              </w:rPr>
              <w:br/>
              <w:t>Archiváljon állományokat egyszerű esetben.</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Tudjon állományokat archiválni.</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Karbantartási feladatok</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Hajtson végre vírusellenőrzést.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Végezzen lemezkarbantartást.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A szövegszerkesztő program kezelése</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 xml:space="preserve">Tudjon programot indítani, testre szabni. Nyisson meg, mentsen el, </w:t>
            </w:r>
            <w:r>
              <w:rPr>
                <w:rFonts w:ascii="Times New Roman" w:hAnsi="Times New Roman" w:cs="Times New Roman"/>
                <w:sz w:val="20"/>
                <w:szCs w:val="20"/>
              </w:rPr>
              <w:lastRenderedPageBreak/>
              <w:t>nyomtasson, küldjön el dokumentumot elektronikusan.</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lastRenderedPageBreak/>
              <w:t>A dokumentum szövegének kialakítása</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Végezzen szövegbevitelt, -módosítást,  -másolást, -áthelyezést, -keresést, -cserét, helyesírás-ellenőrzést.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Alapvető formázási műveletek</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Hajtson végre oldal-, bekezdés-, karakterformázást, felsorolást és sorszámozást, élőfej és élőláb kialakítást.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Végezzen szakaszformázást.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Táblázat, grafika a szövegben</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Készítsen néhány sorból, oszlopból álló táblázatot, szegélyezze. Tudjon képeket, rajzokat beilleszteni, formázni.</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 xml:space="preserve">Alkalmazzon, módosítson stílusokat, hozzon létre új stílusokat. </w:t>
            </w:r>
            <w:r>
              <w:rPr>
                <w:rFonts w:ascii="Times New Roman" w:hAnsi="Times New Roman" w:cs="Times New Roman"/>
                <w:sz w:val="20"/>
                <w:szCs w:val="20"/>
              </w:rPr>
              <w:br/>
              <w:t xml:space="preserve">Állítson össze tartalomjegyzéket, tárgymutatót. </w:t>
            </w:r>
            <w:r>
              <w:rPr>
                <w:rFonts w:ascii="Times New Roman" w:hAnsi="Times New Roman" w:cs="Times New Roman"/>
                <w:sz w:val="20"/>
                <w:szCs w:val="20"/>
              </w:rPr>
              <w:br/>
              <w:t>Készítsen sablont.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A táblázatkezelő program használata</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 xml:space="preserve">Tudjon programot indítani, testre szabni. </w:t>
            </w:r>
            <w:r>
              <w:rPr>
                <w:rFonts w:ascii="Times New Roman" w:hAnsi="Times New Roman" w:cs="Times New Roman"/>
                <w:sz w:val="20"/>
                <w:szCs w:val="20"/>
              </w:rPr>
              <w:br/>
              <w:t xml:space="preserve">Tudjon táblázatot megnyitni, menteni, nyomtatni, küldeni elektronikusan. </w:t>
            </w:r>
            <w:r>
              <w:rPr>
                <w:rFonts w:ascii="Times New Roman" w:hAnsi="Times New Roman" w:cs="Times New Roman"/>
                <w:sz w:val="20"/>
                <w:szCs w:val="20"/>
              </w:rPr>
              <w:br/>
              <w:t>A táblázat elemeit (cellát, tartományt, sort, oszlopot) definiálja.</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Illesszen be és formázzon diagramokat.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Adatok</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61"/>
              <w:rPr>
                <w:rFonts w:ascii="Times New Roman" w:hAnsi="Times New Roman" w:cs="Times New Roman"/>
                <w:sz w:val="20"/>
                <w:szCs w:val="20"/>
              </w:rPr>
            </w:pPr>
            <w:r>
              <w:rPr>
                <w:rFonts w:ascii="Times New Roman" w:hAnsi="Times New Roman" w:cs="Times New Roman"/>
                <w:sz w:val="20"/>
                <w:szCs w:val="20"/>
              </w:rPr>
              <w:t xml:space="preserve">Különböztessen meg adattípusokat, tudja helyesen alkalmazni. </w:t>
            </w:r>
            <w:r>
              <w:rPr>
                <w:rFonts w:ascii="Times New Roman" w:hAnsi="Times New Roman" w:cs="Times New Roman"/>
                <w:sz w:val="20"/>
                <w:szCs w:val="20"/>
              </w:rPr>
              <w:br/>
              <w:t>Végezzen adatbevitelt, -módosítást,  -mozgatást, -másolást,  -keresést,  -cserét.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Alapvető formázási műveletek</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Végezze el cellák, tartományok, sorok, oszlopok formázását, formátum másolását, élőfej és élőláb kialakítását.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Szerkesszen képleteket, használja helyesen a hivatkozástípusokat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Összetett formázási műveletek</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 xml:space="preserve">Ismerje a feltételes formázást. </w:t>
            </w:r>
            <w:r>
              <w:rPr>
                <w:rFonts w:ascii="Times New Roman" w:hAnsi="Times New Roman" w:cs="Times New Roman"/>
                <w:sz w:val="20"/>
                <w:szCs w:val="20"/>
              </w:rPr>
              <w:br/>
              <w:t>Tudjon cellákat zárolni, lapvédelmet alkalmazni, elektronikus űrlapot kialakítani.</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Diagram, grafika a táblázatban</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Jelöljön ki forrásadatokat, hozzon létre diagramot.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 xml:space="preserve">Tudjon forrásadatokat kiválasztani. </w:t>
            </w:r>
            <w:r>
              <w:rPr>
                <w:rFonts w:ascii="Times New Roman" w:hAnsi="Times New Roman" w:cs="Times New Roman"/>
                <w:sz w:val="20"/>
                <w:szCs w:val="20"/>
              </w:rPr>
              <w:br/>
              <w:t>Illesszen be képet, rajzot cellába.</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internet, intranet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 xml:space="preserve">Végezzen elektronikus levelezést. </w:t>
            </w:r>
            <w:r>
              <w:rPr>
                <w:rFonts w:ascii="Times New Roman" w:hAnsi="Times New Roman" w:cs="Times New Roman"/>
                <w:sz w:val="20"/>
                <w:szCs w:val="20"/>
              </w:rPr>
              <w:br/>
              <w:t>Tudjon elvégezni adatkeresést, adatelérést adott hálózati útvonalon.</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 xml:space="preserve">Használjon keresőrendszereket, töltsön le állományokat. </w:t>
            </w:r>
            <w:r>
              <w:rPr>
                <w:rFonts w:ascii="Times New Roman" w:hAnsi="Times New Roman" w:cs="Times New Roman"/>
                <w:sz w:val="20"/>
                <w:szCs w:val="20"/>
              </w:rPr>
              <w:br/>
              <w:t xml:space="preserve">Kommunikáljon az interneten: használjon fórumokat. </w:t>
            </w:r>
            <w:r>
              <w:rPr>
                <w:rFonts w:ascii="Times New Roman" w:hAnsi="Times New Roman" w:cs="Times New Roman"/>
                <w:sz w:val="20"/>
                <w:szCs w:val="20"/>
              </w:rPr>
              <w:br/>
              <w:t xml:space="preserve">Végezzen adatelérést a hálózaton: csatlakoztassa, válassza le a hálózati meghajtót, állítsa be a hozzáférési jogokat. </w:t>
            </w:r>
            <w:r>
              <w:rPr>
                <w:rFonts w:ascii="Times New Roman" w:hAnsi="Times New Roman" w:cs="Times New Roman"/>
                <w:sz w:val="20"/>
                <w:szCs w:val="20"/>
              </w:rPr>
              <w:br/>
              <w:t>Végezzen belső levelezést, szervezzen találkozót.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b/>
                <w:bCs/>
                <w:sz w:val="20"/>
                <w:szCs w:val="20"/>
              </w:rPr>
              <w:t>3. Szakmai ismeretek</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b/>
                <w:bCs/>
                <w:sz w:val="20"/>
                <w:szCs w:val="20"/>
              </w:rPr>
            </w:pP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b/>
                <w:bCs/>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b/>
                <w:bCs/>
                <w:sz w:val="20"/>
                <w:szCs w:val="20"/>
              </w:rPr>
            </w:pPr>
            <w:r>
              <w:rPr>
                <w:rFonts w:ascii="Times New Roman" w:hAnsi="Times New Roman" w:cs="Times New Roman"/>
                <w:b/>
                <w:bCs/>
                <w:sz w:val="20"/>
                <w:szCs w:val="20"/>
              </w:rPr>
              <w:t>3.1. Kommunikatív készségek</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b/>
                <w:bCs/>
                <w:i/>
                <w:iCs/>
                <w:sz w:val="20"/>
                <w:szCs w:val="20"/>
              </w:rPr>
            </w:pP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b/>
                <w:bCs/>
                <w:i/>
                <w:iCs/>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Beszédkészség/kommunikációs készség</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A kifejtendő tételeknél tudjon összefüggően beszélni a témáról.</w:t>
            </w:r>
          </w:p>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Alkalmazza a szakmai szaknyelvet.</w:t>
            </w:r>
          </w:p>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A szituációs gyakorlatokban is a szakmai nyelv alkalmazásával, megfelelő stílusban oldja meg feladatát.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Folytasson beszélgetést a szakmai témához kapcsolódóan. Jelenítsen meg valós kommunikációs szándékokat. Álláspontját, véleményét legyen képes kifejteni. Érvényesítse a nyelvhelyességi szempontokat.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Egyéb készségek</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A feladatot az emelt szintű érettségi tartalmi és nyelvi szintnek megfelelően oldja meg. Mutassa be, hogy az ahhoz szükséges készségei kialakultak.</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b/>
                <w:bCs/>
                <w:sz w:val="20"/>
                <w:szCs w:val="20"/>
              </w:rPr>
            </w:pPr>
            <w:r>
              <w:rPr>
                <w:rFonts w:ascii="Times New Roman" w:hAnsi="Times New Roman" w:cs="Times New Roman"/>
                <w:b/>
                <w:bCs/>
                <w:sz w:val="20"/>
                <w:szCs w:val="20"/>
              </w:rPr>
              <w:t>3.2. Nyelvi kompetencia</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 xml:space="preserve">Tudja a kommunikációs szándékot értelmezni, közvetíteni. </w:t>
            </w:r>
            <w:r>
              <w:rPr>
                <w:rFonts w:ascii="Times New Roman" w:hAnsi="Times New Roman" w:cs="Times New Roman"/>
                <w:sz w:val="20"/>
                <w:szCs w:val="20"/>
              </w:rPr>
              <w:br/>
              <w:t xml:space="preserve">A különböző kommunikációs </w:t>
            </w:r>
            <w:r>
              <w:rPr>
                <w:rFonts w:ascii="Times New Roman" w:hAnsi="Times New Roman" w:cs="Times New Roman"/>
                <w:sz w:val="20"/>
                <w:szCs w:val="20"/>
              </w:rPr>
              <w:lastRenderedPageBreak/>
              <w:t>szándékok kifejezésekor az emelt szintnek megfelelő nyelvi eszközöket használja.</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b/>
                <w:bCs/>
                <w:sz w:val="20"/>
                <w:szCs w:val="20"/>
              </w:rPr>
            </w:pPr>
            <w:r>
              <w:rPr>
                <w:rFonts w:ascii="Times New Roman" w:hAnsi="Times New Roman" w:cs="Times New Roman"/>
                <w:b/>
                <w:bCs/>
                <w:sz w:val="20"/>
                <w:szCs w:val="20"/>
              </w:rPr>
              <w:lastRenderedPageBreak/>
              <w:t>3.3. Témakörök</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Gazdálkodási ismeretek</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Ismertesse a termelési tényezőket, a piac, a kereslet-kínálat fogalmát.</w:t>
            </w:r>
          </w:p>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Ismertesse a különböző vállalkozási formákat, az egyéni vállalkozás és a gazdasági társaságok fő jellemzőit.</w:t>
            </w:r>
          </w:p>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Ismertesse a pénz fogalmát, kialakulását, a pénzforgalom irányait.</w:t>
            </w:r>
          </w:p>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Ismertesse az EU felépítését, röviden a kialakulását, hazánk részvételét az EU-ban.</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Jogi ismeretek</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Mutassa be a jog fogalmát, a magyar jogrendszert, jogalkotást, jogforrásokat.</w:t>
            </w:r>
          </w:p>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Ismertesse a polgári jog lényegét, a jogág területeit.</w:t>
            </w:r>
          </w:p>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Minta alapján ismerje fel a különböző polgári jogon alapuló üzleti iratokat és ismertesse tartalmi, formai követelményeit.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Munkavállalás</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Ismerje a munkaviszony jogi szabályozásának kereteit.</w:t>
            </w:r>
          </w:p>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Ismertesse a munkaviszony keletkezésének, megszűnésének eseteit.</w:t>
            </w:r>
          </w:p>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Ismertesse a munkavégzés szabályait, a munkaidőre, pihenőidőre és díjazásra vonatkozó szabályokat.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Rendelkezzen a munkakör betöltésével kapcsolatos alapvető ismeretekkel (pl. mutasson be egyszerűbb szövegezésű álláshirdetést, plakátot, közleményt, önéletrajzot stb.).</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Munkahelyi környezet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Ismertesse a korszerű iroda ismérveit, lehetséges berendezését, szükséges technikai eszközeit.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Nevezze meg a titkárság berendezési tárgyait, irodai berendezéseit, a legfontosabb irodai gépeket és eszközöket.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Programszervezés, kapcsolattartás</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Ismertesse a vendégfogadás fő szabályait</w:t>
            </w:r>
          </w:p>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Szituációban adjon számot a programszervezési ismereteiről.</w:t>
            </w:r>
          </w:p>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Szituációs gyakorlat során mutassa be a vendéglátás alapvető szabályait.</w:t>
            </w:r>
          </w:p>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Szituációs gyakorlat során mutassa be protokollismereteit.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Mutassa be alapvető szakszókincsét a vendégfogadás, szakmai és szabadidős program időponti egyeztetése a vendéggel, éttermi vendéglátás témákban.</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Hivatalos levelezés</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Minták alapján mutassa be a különböző hivatalos és üzleti levelek alaki, tartalmi jellemzőit.</w:t>
            </w:r>
          </w:p>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Ismertesse az ügyiratkezeléssel kapcsolatos tudnivalókat.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20"/>
                <w:szCs w:val="20"/>
              </w:rPr>
            </w:pPr>
            <w:r>
              <w:rPr>
                <w:rFonts w:ascii="Times New Roman" w:hAnsi="Times New Roman" w:cs="Times New Roman"/>
                <w:sz w:val="20"/>
                <w:szCs w:val="20"/>
              </w:rPr>
              <w:t>Mutassa be alapvető szakszókincsét a külső és belső levelezés kapcsán, a következő levéltípusoknál: cég bemutatkozó levele, ajánlatkérés és ajánlat, mely a titkárságra beszerzendő áruval, lehetséges szolgáltatásokkal függ össze, egyszerű programszervezéssel összefüggő levél.</w:t>
            </w: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pageBreakBefore/>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KERESKEDELMI ÉS MARKETING ALAPISMERETEK</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ind w:left="720"/>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left="720"/>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A kereskedelmi és marketing alapismeretek érettségi vizsga célja, </w:t>
      </w:r>
      <w:r>
        <w:rPr>
          <w:rFonts w:ascii="Times New Roman" w:hAnsi="Times New Roman" w:cs="Times New Roman"/>
          <w:sz w:val="20"/>
          <w:szCs w:val="20"/>
        </w:rPr>
        <w:t>hogy a vizsgázó</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Gazdálkodási ismeretekből</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vállalkozási formák közös és sajátos jellemzőit, alapításuk és megszüntetésük gyakorlati teendőit,</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tájékozott-e a vállalkozás működtetéséhez szükséges személyi és tárgyi feltételekről, valamint a személyi és tárgyi feltételek biztosításához szükséges gyakorlati teendőkről,</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vállalkozás erőforrásait,</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vállalkozás mérlegének szerkezetét, a mérleg tételeit,</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mérlegadatokból következtetéseket levonni, döntési alternatívákat átgondolni,</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vállalkozás eredményére ható tényezőket, a nyereségképződés folyamatát,</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vállalkozás eredménykimutatásából következtetéseket levonni, döntési alternatívákat átgondolni,</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vállalkozás tevékenységének elemzésére, mutatószámok alkalmazására, a likviditás vizsgálatára,</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vállalkozás finanszírozásának formáit,</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az üzleti terv szerkezetét, készítésének folyamatát,</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üzleti tervet készíteni,</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tájékozott-e az Európai Unióról, Magyarország és az Európai Unió kapcsolatáról, a hazai vállalkozásokat érintő uniós szabályokról. </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Marketingből</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marketing jelentőségét, eszközeit,</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marketingkommunikáció folyamatát, jelentőségét, elemeit,</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vállalati termékpolitika lényegét, az életgörbe különböző szakaszaihoz rendelt marketing-stratégiát,</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tájékozott-e az árak kialakításának elveiről, az árstratégia szükségességéről, az értékesítési csatornák kiválasztásának szempontjairól,</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tájékozott-e a piac megismerésének módszereiről, a fogyasztói magatartásról,</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vállalati image fogalmát, szükségességét, a vállalati arculat kialakításának fontosságát,</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vevőszolgálat, a márka, a védjegy, a design, a választék szerepét, a szponzorálás célját, módjait,</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különböző forrásokból származó információk megszerzésére és feldolgozására,</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felismerni a piac jelentőségét, összefüggéseit.</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Közgazdaságtanból (csak emelt szinten)</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piacgazdaság működését, a keresletre és a kínálatra ható tényezőket,</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vállalkozások környezetét, a vállalkozások költségeit, profitkategóriáit,</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makrogazdasági szereplőket, a vállalkozások kapcsolatát a háztartásokkal, az állammal, a külfölddel és a köztük végbemenő jövedelemáramlásokat,</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makrogazdaság problémáit és az állam lehetséges szerepét a folyamatok befolyásolásában,</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vállalatok külpiaci kapcsolatait,</w:t>
      </w: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közgazdaságtan felsorolt témaköreiben számítási, ábrázolási feladatok megoldására.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sectPr w:rsidR="004C2997">
          <w:pgSz w:w="11906" w:h="16838"/>
          <w:pgMar w:top="1134" w:right="1134" w:bottom="1134" w:left="1134" w:header="708" w:footer="708" w:gutter="0"/>
          <w:cols w:space="708"/>
          <w:noEndnote/>
        </w:sect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left="360" w:hanging="360"/>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Gazdálkodási ismeretek</w:t>
      </w: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04"/>
        <w:gridCol w:w="4904"/>
        <w:gridCol w:w="4904"/>
      </w:tblGrid>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4904" w:type="dxa"/>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Követelmének középszinten</w:t>
            </w:r>
          </w:p>
        </w:tc>
        <w:tc>
          <w:tcPr>
            <w:tcW w:w="4904" w:type="dxa"/>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Vállalkozási formák</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az egyéni és társas vállalkozások jellemzőit, alapításának, megszüntetésének jogi feltételeit, gyakorlati teendőit.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vállalkozások alapításával és megszüntetésével kapcsolatos adatszolgáltatási kötelezettségeket, a vállalkozások kapcsolatát a hatóságokkal, pénzintézetekkel.</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vállalkozási formák közötti választás szempontjait.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tájékozódni a vállalkozási formákról a vonatkozó jogszabályokban.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európai uniós társasági formákat.</w:t>
            </w: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vállalkozás tárgyi feltételei</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tevékenységformának megfelelő telephely kiválasztásának üzleti szempontjait.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tevékenységhez szükséges felszerelési, berendezési tárgyakat és tudjon megalapozott döntést hozni beszerzésükről.</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áru- és vagyonvédelem eszközeit.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alapterület hatékony kihasználásának meghatározó tényezőit.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vállalkozás belső és külső képe kialakításának üzleti és biztonsági előírásait.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vállalkozás személyi feltételei</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tevékenységformának megfelelő munkakörök kialakításának üzleti szempontjait.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optimális létszám meghatározásának szükségességét, módját.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munkaköri leírások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munkaerő felvételhez, a munkaviszony létesítéséhez és megszüntetéséhez kapcsolódó gyakorlati teendőket.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munkaerő alkalmazásának gazdasági/pénzügyi vonatkozásait.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kiszámítani a bérgazdálkodás mutatószámait.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bérszámfejtést végezni.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jövedelem összetételét.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béren kívüli juttatások rendszerét, motiváló szerepét.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adóbevalláshoz szükséges dokumentumokat és az adóbevallás készítésének folyamatát.</w:t>
            </w: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vállalkozások erőforrásai és vagyona</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vállalkozások erőforrásait.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vállalkozás vagyonának tagolását a számviteli törvény mérlegtételei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egyszerűsített mérleg szerkezetét.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következtetéseket levonni a mérleg adataiból.</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vállalkozások nyereségérdekeltsége, az eredmény keletkezése</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vállalatok lehetséges céljait.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eredmény keletkezését és szerkezetét a számviteli törvény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vállalkozások nyereségképződésének folyamatát.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számításokat végezni a vállalkozás eredményére vonatkozóan.</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vállalkozásokat érintő adókat.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vállalkozások tevékenységének elemzése, a mutatószámok alkalmazása, a likviditás figyelése</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árbevétel alakulását meghatározó tényezőket, az eladási ár összetételét.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költségek fajtáit, csoportosítását.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elemezni a vállalkozás hatékonyságát, jövedelmezőségét, fizetőképességét.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vállalkozás cash-flow-jának szerepét, elemeit, lényegét.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költségfüggvényeket, tudjon számításokat végezni erre vonatkozóan.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a vállalkozás cash-flow-jával kapcsolatos számításokat végezni és elemzést készíteni.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ÁFA szerepét, tudjon azzal kapcsolatos számításokat végezni.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vállalkozások finanszírozási formái</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vállalkozás tőkeszükségletét befolyásoló tényezőket.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finanszírozás lehetőségeit, lényegét,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finanszírozási formák közötti választás üzleti szempontjait.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értékpapírokkal kapcsolatos számításokat végezni.</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üzleti terv jelentősége, fejezetei</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üzleti terv jelentőségét, elkészítésének szükségességét. Ismerje az üzleti terv fejezeteit, szerkezetét.</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üzleti terv készítésének folyamata, az üzleti terv összeállítása</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egy mikro-, illetve kisvállalkozás pénzügyi és marketing tervének elkészítésére megadott adatok alapján.</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Legyen képes egy mikro-, illetve kisvállalkozás üzleti tervének elkészítésére megadott adatok alapján, számítások segítségével.</w:t>
            </w: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Európai Unió</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Európai Unió történetét, intézményeit, szerződéseit, a maastrichti és a koppenhágai kritériumokat, az Unió céljait.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Magyarország és az Európai Unió kapcsolatát.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schengeni övezet célját.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az uniós vállalkozási formákat. </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és értse az euró magyarországi bevezetésének korlátait, a bevezetéssel járó előnyöket, hátrányokat.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hazai vállalkozásokra vonatkozó európai uniós szabályokat.</w:t>
            </w:r>
          </w:p>
        </w:tc>
      </w:tr>
    </w:tbl>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Marketing</w:t>
      </w:r>
    </w:p>
    <w:p w:rsidR="004C2997" w:rsidRDefault="004C2997" w:rsidP="004C2997">
      <w:pPr>
        <w:autoSpaceDE w:val="0"/>
        <w:autoSpaceDN w:val="0"/>
        <w:adjustRightInd w:val="0"/>
        <w:spacing w:after="0" w:line="240" w:lineRule="auto"/>
        <w:ind w:left="360"/>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04"/>
        <w:gridCol w:w="4904"/>
        <w:gridCol w:w="4904"/>
      </w:tblGrid>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4904" w:type="dxa"/>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Követelmének középszinten</w:t>
            </w:r>
          </w:p>
        </w:tc>
        <w:tc>
          <w:tcPr>
            <w:tcW w:w="4904" w:type="dxa"/>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 emelt szinten</w:t>
            </w: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marketing története, alapfogalmai, fejlődése</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 marketing történetét, fogalmát és alkalmazási </w:t>
            </w:r>
            <w:r>
              <w:rPr>
                <w:rFonts w:ascii="Times New Roman" w:hAnsi="Times New Roman" w:cs="Times New Roman"/>
                <w:sz w:val="20"/>
                <w:szCs w:val="20"/>
              </w:rPr>
              <w:lastRenderedPageBreak/>
              <w:t>területeit.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marketing-mix összetevőit.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 kereskedelmi marketing, a szolgáltatásmarketing sajátosságait. </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Értelmezze a marketingkoncepció tartalmát. Ismerje fel a </w:t>
            </w:r>
            <w:r>
              <w:rPr>
                <w:rFonts w:ascii="Times New Roman" w:hAnsi="Times New Roman" w:cs="Times New Roman"/>
                <w:sz w:val="20"/>
                <w:szCs w:val="20"/>
              </w:rPr>
              <w:lastRenderedPageBreak/>
              <w:t>marketingorientáció érvényesülését.</w:t>
            </w: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piac, a piaci környezet elemzése</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vállalat mikro- és makrokörnyezetét.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Definiálja a piac fogalmát és kategóriáit. Mutassa be a piac szerkezetét és a piaci formákat. Jellemezze a piaci szereplőket és a piactípusokat. </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marketingstratégiák típusait, a marketing hadviselés formáit és megvalósításának elveit.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Fogyasztói vásárlói magatartás</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fogyasztói magatartás modelljét és a fogyasztói magatartást befolyásoló tényezőket.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vásárlói döntéseket befolyásoló tényezőket.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Sorolja fel a vásárlási folyamat szakaszait.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Elemezze a vásárlási magatartás típusait.</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Elemezze a vásárlási folyamat befolyásolásának marketing módszereit.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motívumkutatások tapasztalatait.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szervezeti vásárlók beszerzési magatartását befolyásoló tényezőket.</w:t>
            </w: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célpiaci marketing, piacszegmentálás.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célpiacok kiválasztása</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differenciálatlan és a differenciált marketing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célpiaci marketing lényegét és kialakulását.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piacszegmentáció lényegét.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célpiacok kiválasztását. Ismerje a termék pozicionálását.</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piac szegmentálásának ismérveit.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szervezeti vásárlók piacszegmentációját.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marketing információs rendszer</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marketing információszükségletét.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az információs rendszer funkcióit.</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piackutatás fajtái, módszerei</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marketing és a piackutatás kapcsolatát.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Jellemezze a piackutatás funkcióit, a piackutatás folyamatát, módszereit.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piackutatáshoz szükséges információk beszerzését.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piackutatási módokat.</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kutatási módszerek csoportosítását.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Szerkesszen mintavételi tervet.</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Tervezzen meg egyszerűbb piackutatási eljárást.</w:t>
            </w: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piackutatás felhasználási területei</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Ismertesse a piackutatási eredmények értékelését. </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termékpolitika, termékfejlesztés</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termék fogalmát.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termék osztályozását, a fejlesztési típusokat.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termékpiaci stratégiák jelentőségét.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Elemezze a termék piaci életgörbéjének és az életgörbe egyes szakaszainak jellemzőit.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termékpiaci stratégiák meghatározását, a termékportfóliót.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Határozza meg az új termékek értékesítésének előrejelzési módszereit.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jellemezni az ötletkeresési technikákat.</w:t>
            </w: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Árpolitika, árstratégia</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ár fogalmát és szerepét, az árképzési rendszereket.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árpolitika lényegét, célkitűzéseit.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Jellemezze az árdifferenciálást és az árdiszkriminációt.</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Ábrázolja grafikonon az optimális árhoz tartozó mennyiség meghatározását.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fedezeti pont meghatározását.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fogyasztói árelfogadást és árérzékenységet befolyásoló tényezőket.</w:t>
            </w: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Az értékesítéspolitika, az értékesítési csatornák kiválasztása</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értékesítési rendszer logisztikai és áruforgalmat elősegítő funkcióit.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kereskedelem helyét és szerepét a piacgazdaságban.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marketing és az elosztási csatornák közötti összefüggést.</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nemzetgazdaság értékesítési rendszerét.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Magyarázza el a hagyományos és a vertikális marketingrendszerek szervezeti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 franchise jellemzőit. </w:t>
            </w: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kommunikációs politika</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kommunikáció fogalmát és fajtáit.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kommunikációs folyamatot.</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marketingkommunikáció eszközrendszere</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Határozza meg a marketingkommunikáció lényegét.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kommunikációs mix elemeit.</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reklám szerepe és fejlődése</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reklám fogalmát és szerepét.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reklám fejlődését.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Jellemezze a reklám fajtáit.</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reklám vállalati funkciói</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vállalati reklámcélokat.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reklámot a fogyasztók mindennapi életében</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reklámeszközök és reklámhordozók</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reklámeszközöket.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reklámhordozók szerepét. Azonosítsa a reklámeszközöket és a reklámhordozókat.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Elemezze a reklámhatás vizsgálatát.</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reklám tervezése, szervezése</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reklámtervezés folyamatát.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médiatervezés szempontjait.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Mutassa be, hogyan érvényesülnek a reklámszabályozás normái az Európai Egyezményben.  </w:t>
            </w: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public relations</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public relations fogalmát, jellemzőit.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Sorolja fel a PR területeit. Ismertesse a külső és belső PR-t.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Jellemezze a PR akciókat és a szponzorálást.</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eladásösztönzés, a személyes eladás</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eladásösztönzés fogalmát, funkcióit.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az SP módszereket.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személyes eladás fogalmát, jellemzőit, előnyeit.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PS területeit.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eladóval szemben támasztott követelményeket.</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Jellemezze az eladási magatartás és az értékesítési mód kapcsolatát</w:t>
            </w: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image és az egyedi vállalati arculat</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image lényegét, fajtáit.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vállalati arculatot befolyásoló tényezőket.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Jellemezze a CI összetevőit: formai és tartalmi elemeit.</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image fajtáit, a CI (corporate identity) kialakítását.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egyéb piacbefolyásolási eszközök</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védjegy funkcióit, típusait.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márkaépítés folyamatát és a márkahűséget.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Határozza meg a csomagolás funkcióit és típusait.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Ismertesse a vevőszolgálat szerepét, lényegét.</w:t>
            </w:r>
          </w:p>
        </w:tc>
        <w:tc>
          <w:tcPr>
            <w:tcW w:w="4904"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tabs>
          <w:tab w:val="left" w:pos="360"/>
        </w:tabs>
        <w:autoSpaceDE w:val="0"/>
        <w:autoSpaceDN w:val="0"/>
        <w:adjustRightInd w:val="0"/>
        <w:spacing w:after="0" w:line="240" w:lineRule="auto"/>
        <w:ind w:left="360" w:hanging="360"/>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Közgazdaságtan (csak emelt szinten)</w:t>
      </w:r>
    </w:p>
    <w:p w:rsidR="004C2997" w:rsidRDefault="004C2997" w:rsidP="004C2997">
      <w:pPr>
        <w:autoSpaceDE w:val="0"/>
        <w:autoSpaceDN w:val="0"/>
        <w:adjustRightInd w:val="0"/>
        <w:spacing w:after="0" w:line="240" w:lineRule="auto"/>
        <w:ind w:left="360"/>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90"/>
        <w:gridCol w:w="4961"/>
      </w:tblGrid>
      <w:tr w:rsidR="004C2997">
        <w:tblPrEx>
          <w:tblCellMar>
            <w:top w:w="0" w:type="dxa"/>
            <w:bottom w:w="0" w:type="dxa"/>
          </w:tblCellMar>
        </w:tblPrEx>
        <w:tc>
          <w:tcPr>
            <w:tcW w:w="4890" w:type="dxa"/>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4961" w:type="dxa"/>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emelt szinten</w:t>
            </w:r>
          </w:p>
        </w:tc>
      </w:tr>
      <w:tr w:rsidR="004C2997">
        <w:tblPrEx>
          <w:tblCellMar>
            <w:top w:w="0" w:type="dxa"/>
            <w:bottom w:w="0" w:type="dxa"/>
          </w:tblCellMar>
        </w:tblPrEx>
        <w:tc>
          <w:tcPr>
            <w:tcW w:w="489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közgazdaságtudomány</w:t>
            </w:r>
          </w:p>
        </w:tc>
        <w:tc>
          <w:tcPr>
            <w:tcW w:w="496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közgazdaságtan alapfogalmait, alapkérdéseit.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értelmezni a piac elemeit, a keresleti-, kínálati függvényeket.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jellemezni Marshall-kereszt segítségével egy termék piacát.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ábrázolni a Marshall-keresztet, ismertetni a piaci egyensúlytalanság eseteit.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számításokat végezni a keresleti és kínálati függvény ismeretében.</w:t>
            </w:r>
          </w:p>
        </w:tc>
      </w:tr>
      <w:tr w:rsidR="004C2997">
        <w:tblPrEx>
          <w:tblCellMar>
            <w:top w:w="0" w:type="dxa"/>
            <w:bottom w:w="0" w:type="dxa"/>
          </w:tblCellMar>
        </w:tblPrEx>
        <w:tc>
          <w:tcPr>
            <w:tcW w:w="489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vállalat és a termelői magatartás</w:t>
            </w:r>
          </w:p>
        </w:tc>
        <w:tc>
          <w:tcPr>
            <w:tcW w:w="496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és értse a vállalat fogalmát, környezetét.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és értse a technikai és gazdasági hatékonyság fogalmát.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gazdasági időtávokat.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költségek különféle szempontok szerinti csoportosítását.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költségeket és profitokat számítani.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költségfüggvények és a termelési függvény közötti összefüggést és tudjon ezekkel kapcsolatos számításokat végezni.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az egyes profitkategóriákat megkülönböztetni, ismerje összefüggésüket.</w:t>
            </w:r>
          </w:p>
        </w:tc>
      </w:tr>
      <w:tr w:rsidR="004C2997">
        <w:tblPrEx>
          <w:tblCellMar>
            <w:top w:w="0" w:type="dxa"/>
            <w:bottom w:w="0" w:type="dxa"/>
          </w:tblCellMar>
        </w:tblPrEx>
        <w:tc>
          <w:tcPr>
            <w:tcW w:w="489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vállalat kínálata és a piac jellege</w:t>
            </w:r>
          </w:p>
        </w:tc>
        <w:tc>
          <w:tcPr>
            <w:tcW w:w="496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egyes piacformákat.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profitmaximum elérésének feltételét tökéletes verseny esetén.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és értse az üzemszüneti és fedezeti pont, a veszteségminimalizálás fogalmát és tartalmát. Tudjon számításokat végezni ezekre vonatkozóan.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Hasonlítsa össze a tökéletesen versenyző iparágat és a monopóliumot.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és ábrázolja a profitmaximum elérésének feltételeit tökéletes verseny, ill. monopólium esetén.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Elemezze a fogyasztói többlet és a holtteher-veszteség alakulását, számítsa ki nagyságukat.</w:t>
            </w:r>
          </w:p>
        </w:tc>
      </w:tr>
      <w:tr w:rsidR="004C2997">
        <w:tblPrEx>
          <w:tblCellMar>
            <w:top w:w="0" w:type="dxa"/>
            <w:bottom w:w="0" w:type="dxa"/>
          </w:tblCellMar>
        </w:tblPrEx>
        <w:tc>
          <w:tcPr>
            <w:tcW w:w="489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vállalatok a nemzetközi piacon</w:t>
            </w:r>
          </w:p>
        </w:tc>
        <w:tc>
          <w:tcPr>
            <w:tcW w:w="496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nemzeti piac – belpiac (EU) – külpiac – világpiac fogalmát.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külső gazdasági hatások szerepét.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komparatív előnyök elméletét, kihasználását.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vállalatok külpiacra lépésének formáit, fokozatait.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Magyarázza el a termékek versenyét a külpiacon.</w:t>
            </w:r>
          </w:p>
        </w:tc>
      </w:tr>
      <w:tr w:rsidR="004C2997">
        <w:tblPrEx>
          <w:tblCellMar>
            <w:top w:w="0" w:type="dxa"/>
            <w:bottom w:w="0" w:type="dxa"/>
          </w:tblCellMar>
        </w:tblPrEx>
        <w:tc>
          <w:tcPr>
            <w:tcW w:w="489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makroökonómia alapösszefüggései</w:t>
            </w:r>
          </w:p>
        </w:tc>
        <w:tc>
          <w:tcPr>
            <w:tcW w:w="496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mikro- és makroszemlélet különbségét.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Ismertesse a makrogazdaság szereplőit és a közöttük végbemenő jövedelemáramlásokat. </w:t>
            </w:r>
          </w:p>
        </w:tc>
      </w:tr>
      <w:tr w:rsidR="004C2997">
        <w:tblPrEx>
          <w:tblCellMar>
            <w:top w:w="0" w:type="dxa"/>
            <w:bottom w:w="0" w:type="dxa"/>
          </w:tblCellMar>
        </w:tblPrEx>
        <w:tc>
          <w:tcPr>
            <w:tcW w:w="489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makrofolyamatok befolyásolhatósága, a gazdaságpolitika elméleti alapjai és gyakorlata</w:t>
            </w:r>
          </w:p>
        </w:tc>
        <w:tc>
          <w:tcPr>
            <w:tcW w:w="496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állam feladatait, az állami beavatkozás okait és a lehetséges megoldásokat.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monetáris és a fiskális politika előnyeit és hátrányait. Ismertesse a beavatkozás korlátait.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makrogazdaság főbb kihívásait, problémáit.</w:t>
            </w: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sectPr w:rsidR="004C2997">
          <w:type w:val="nextColumn"/>
          <w:pgSz w:w="16838" w:h="11906" w:orient="landscape"/>
          <w:pgMar w:top="1418" w:right="1701" w:bottom="1418" w:left="1134" w:header="708" w:footer="708" w:gutter="0"/>
          <w:cols w:space="708"/>
          <w:noEndnote/>
        </w:sect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VENDÉGLÁTÁS-IDEGENFORGALMI ALAPISMERETEK</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90" w:line="240" w:lineRule="auto"/>
        <w:ind w:left="150" w:right="150" w:firstLine="240"/>
        <w:rPr>
          <w:rFonts w:ascii="Times New Roman" w:hAnsi="Times New Roman" w:cs="Times New Roman"/>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p>
    <w:p w:rsidR="004C2997" w:rsidRDefault="004C2997" w:rsidP="004C2997">
      <w:pPr>
        <w:autoSpaceDE w:val="0"/>
        <w:autoSpaceDN w:val="0"/>
        <w:adjustRightInd w:val="0"/>
        <w:spacing w:after="90" w:line="240" w:lineRule="auto"/>
        <w:ind w:left="150" w:right="150" w:firstLine="240"/>
        <w:rPr>
          <w:rFonts w:ascii="Times New Roman" w:hAnsi="Times New Roman" w:cs="Times New Roman"/>
          <w:b/>
          <w:bCs/>
          <w:sz w:val="20"/>
          <w:szCs w:val="20"/>
        </w:rPr>
      </w:pPr>
      <w:r>
        <w:rPr>
          <w:rFonts w:ascii="Times New Roman" w:hAnsi="Times New Roman" w:cs="Times New Roman"/>
          <w:b/>
          <w:bCs/>
          <w:sz w:val="20"/>
          <w:szCs w:val="20"/>
        </w:rPr>
        <w:t>A vendéglátás-idegenforgalom alapismeretek érettségi vizsga célja  annak megállapítása, hogy a vizsgázó:</w:t>
      </w:r>
    </w:p>
    <w:p w:rsidR="004C2997" w:rsidRDefault="004C2997" w:rsidP="004C2997">
      <w:pPr>
        <w:autoSpaceDE w:val="0"/>
        <w:autoSpaceDN w:val="0"/>
        <w:adjustRightInd w:val="0"/>
        <w:spacing w:before="90"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Vendéglátó és turizmus alapismeretekből</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az idegenforgalommal és vendéglátással kapcsolatos fogalmakat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 vendéglátás tevékenységét és jellemzőit, kínálati oldalának elemeit és struktúráját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 turizmus tevékenységét, formáit, a tevékenység feltételrendszerét, szervezeti struktúráját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tájékozott-e a turizmus és vendéglátás az egyéni és társadalmi szükségletek kielégítésében játszott szerepéről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 turizmus és vendéglátás fejlesztése és a különböző gazdasági ágak közötti összefüggéseket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tájékozott-e a turizmus és vendéglátás nemzetgazdasági és nemzetközi gazdasági kapcsolatok rendszerében elfoglalt helyéről és jelentőségéről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képes-e elemezni, értékelni a jelenlegi turisztikai piaci helyzetet, fejlődését befolyásoló tényezőket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tudja-e értékelni a gazdasági verseny fogalmát, elemezni jelentőségét, feltételeit és területeit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 turizmus és vendéglátás alapvető ügyviteli feladatait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az üzleti levelezés szabályait , bizonylatokat tud-e kiállítani.</w:t>
      </w:r>
    </w:p>
    <w:p w:rsidR="004C2997" w:rsidRDefault="004C2997" w:rsidP="004C2997">
      <w:pPr>
        <w:autoSpaceDE w:val="0"/>
        <w:autoSpaceDN w:val="0"/>
        <w:adjustRightInd w:val="0"/>
        <w:spacing w:before="90" w:after="0" w:line="240" w:lineRule="auto"/>
        <w:ind w:left="150" w:right="150" w:firstLine="240"/>
        <w:rPr>
          <w:rFonts w:ascii="Times New Roman" w:hAnsi="Times New Roman" w:cs="Times New Roman"/>
          <w:sz w:val="20"/>
          <w:szCs w:val="20"/>
        </w:rPr>
      </w:pPr>
      <w:r>
        <w:rPr>
          <w:rFonts w:ascii="Times New Roman" w:hAnsi="Times New Roman" w:cs="Times New Roman"/>
          <w:i/>
          <w:iCs/>
          <w:sz w:val="20"/>
          <w:szCs w:val="20"/>
        </w:rPr>
        <w:t>Szállodai alapismeretekből</w:t>
      </w:r>
    </w:p>
    <w:p w:rsidR="004C2997" w:rsidRDefault="004C2997" w:rsidP="004C2997">
      <w:pPr>
        <w:autoSpaceDE w:val="0"/>
        <w:autoSpaceDN w:val="0"/>
        <w:adjustRightInd w:val="0"/>
        <w:spacing w:after="0" w:line="240" w:lineRule="auto"/>
        <w:ind w:left="147" w:right="147" w:firstLine="238"/>
        <w:rPr>
          <w:rFonts w:ascii="Times New Roman" w:hAnsi="Times New Roman" w:cs="Times New Roman"/>
          <w:sz w:val="20"/>
          <w:szCs w:val="20"/>
        </w:rPr>
      </w:pPr>
      <w:r>
        <w:rPr>
          <w:rFonts w:ascii="Times New Roman" w:hAnsi="Times New Roman" w:cs="Times New Roman"/>
          <w:sz w:val="20"/>
          <w:szCs w:val="20"/>
        </w:rPr>
        <w:t>- ismeri-e a szállodák és kereskedelmi szálláshelyek fogalmát és tevékenységét és működési feltételeit ,</w:t>
      </w:r>
    </w:p>
    <w:p w:rsidR="004C2997" w:rsidRDefault="004C2997" w:rsidP="004C2997">
      <w:pPr>
        <w:autoSpaceDE w:val="0"/>
        <w:autoSpaceDN w:val="0"/>
        <w:adjustRightInd w:val="0"/>
        <w:spacing w:after="0" w:line="240" w:lineRule="auto"/>
        <w:ind w:left="147" w:right="147" w:firstLine="238"/>
        <w:rPr>
          <w:rFonts w:ascii="Times New Roman" w:hAnsi="Times New Roman" w:cs="Times New Roman"/>
          <w:sz w:val="20"/>
          <w:szCs w:val="20"/>
        </w:rPr>
      </w:pPr>
      <w:r>
        <w:rPr>
          <w:rFonts w:ascii="Times New Roman" w:hAnsi="Times New Roman" w:cs="Times New Roman"/>
          <w:sz w:val="20"/>
          <w:szCs w:val="20"/>
        </w:rPr>
        <w:t>- tájékozott-e a szálláshely értékesítési tevékenység munkafolyamatainak rendszeréről és összefüggéseiről ,</w:t>
      </w:r>
    </w:p>
    <w:p w:rsidR="004C2997" w:rsidRDefault="004C2997" w:rsidP="004C2997">
      <w:pPr>
        <w:autoSpaceDE w:val="0"/>
        <w:autoSpaceDN w:val="0"/>
        <w:adjustRightInd w:val="0"/>
        <w:spacing w:after="0" w:line="240" w:lineRule="auto"/>
        <w:ind w:left="147" w:right="147" w:firstLine="238"/>
        <w:rPr>
          <w:rFonts w:ascii="Times New Roman" w:hAnsi="Times New Roman" w:cs="Times New Roman"/>
          <w:sz w:val="20"/>
          <w:szCs w:val="20"/>
        </w:rPr>
      </w:pPr>
      <w:r>
        <w:rPr>
          <w:rFonts w:ascii="Times New Roman" w:hAnsi="Times New Roman" w:cs="Times New Roman"/>
          <w:sz w:val="20"/>
          <w:szCs w:val="20"/>
        </w:rPr>
        <w:t>- tudja-e a szállodai vendéglátó tevékenység összefüggéseit, a vendég ellátásával kapcsolatos munkafolyamatokat ,</w:t>
      </w:r>
    </w:p>
    <w:p w:rsidR="004C2997" w:rsidRDefault="004C2997" w:rsidP="004C2997">
      <w:pPr>
        <w:autoSpaceDE w:val="0"/>
        <w:autoSpaceDN w:val="0"/>
        <w:adjustRightInd w:val="0"/>
        <w:spacing w:after="0" w:line="240" w:lineRule="auto"/>
        <w:ind w:left="147" w:right="147" w:firstLine="238"/>
        <w:rPr>
          <w:rFonts w:ascii="Times New Roman" w:hAnsi="Times New Roman" w:cs="Times New Roman"/>
          <w:sz w:val="20"/>
          <w:szCs w:val="20"/>
        </w:rPr>
      </w:pPr>
      <w:r>
        <w:rPr>
          <w:rFonts w:ascii="Times New Roman" w:hAnsi="Times New Roman" w:cs="Times New Roman"/>
          <w:sz w:val="20"/>
          <w:szCs w:val="20"/>
        </w:rPr>
        <w:t>- ismeri-e a szállodai szolgáltatások körét, munkafolyamatait, a szolgáltatási formákat ,</w:t>
      </w:r>
    </w:p>
    <w:p w:rsidR="004C2997" w:rsidRDefault="004C2997" w:rsidP="004C2997">
      <w:pPr>
        <w:autoSpaceDE w:val="0"/>
        <w:autoSpaceDN w:val="0"/>
        <w:adjustRightInd w:val="0"/>
        <w:spacing w:after="0" w:line="240" w:lineRule="auto"/>
        <w:ind w:left="147" w:right="147" w:firstLine="238"/>
        <w:rPr>
          <w:rFonts w:ascii="Times New Roman" w:hAnsi="Times New Roman" w:cs="Times New Roman"/>
          <w:sz w:val="20"/>
          <w:szCs w:val="20"/>
        </w:rPr>
      </w:pPr>
      <w:r>
        <w:rPr>
          <w:rFonts w:ascii="Times New Roman" w:hAnsi="Times New Roman" w:cs="Times New Roman"/>
          <w:sz w:val="20"/>
          <w:szCs w:val="20"/>
        </w:rPr>
        <w:t>- rendelkezik-e megfelelő ismeretekkel a szállodai üzem- és munkaszervezés alapkérdéseiről, a szállodai üzemeltetés munkafolyamatairól ,</w:t>
      </w:r>
    </w:p>
    <w:p w:rsidR="004C2997" w:rsidRDefault="004C2997" w:rsidP="004C2997">
      <w:pPr>
        <w:autoSpaceDE w:val="0"/>
        <w:autoSpaceDN w:val="0"/>
        <w:adjustRightInd w:val="0"/>
        <w:spacing w:after="0" w:line="240" w:lineRule="auto"/>
        <w:ind w:left="147" w:right="147" w:firstLine="238"/>
        <w:rPr>
          <w:rFonts w:ascii="Times New Roman" w:hAnsi="Times New Roman" w:cs="Times New Roman"/>
          <w:sz w:val="20"/>
          <w:szCs w:val="20"/>
        </w:rPr>
      </w:pPr>
      <w:r>
        <w:rPr>
          <w:rFonts w:ascii="Times New Roman" w:hAnsi="Times New Roman" w:cs="Times New Roman"/>
          <w:sz w:val="20"/>
          <w:szCs w:val="20"/>
        </w:rPr>
        <w:t>- ismeri-e a szállodaüzem irányítási rendszerét, a feladat- és felelősségi körök összefüggéseit ,</w:t>
      </w:r>
    </w:p>
    <w:p w:rsidR="004C2997" w:rsidRDefault="004C2997" w:rsidP="004C2997">
      <w:pPr>
        <w:autoSpaceDE w:val="0"/>
        <w:autoSpaceDN w:val="0"/>
        <w:adjustRightInd w:val="0"/>
        <w:spacing w:after="0" w:line="240" w:lineRule="auto"/>
        <w:ind w:left="147" w:right="147" w:firstLine="238"/>
        <w:rPr>
          <w:rFonts w:ascii="Times New Roman" w:hAnsi="Times New Roman" w:cs="Times New Roman"/>
          <w:sz w:val="20"/>
          <w:szCs w:val="20"/>
        </w:rPr>
      </w:pPr>
      <w:r>
        <w:rPr>
          <w:rFonts w:ascii="Times New Roman" w:hAnsi="Times New Roman" w:cs="Times New Roman"/>
          <w:sz w:val="20"/>
          <w:szCs w:val="20"/>
        </w:rPr>
        <w:t>- ismeri-e a szobafoglalási rendszer fogalmát és funkcióját ,</w:t>
      </w:r>
    </w:p>
    <w:p w:rsidR="004C2997" w:rsidRDefault="004C2997" w:rsidP="004C2997">
      <w:pPr>
        <w:autoSpaceDE w:val="0"/>
        <w:autoSpaceDN w:val="0"/>
        <w:adjustRightInd w:val="0"/>
        <w:spacing w:after="0" w:line="240" w:lineRule="auto"/>
        <w:ind w:left="147" w:right="147" w:firstLine="238"/>
        <w:rPr>
          <w:rFonts w:ascii="Times New Roman" w:hAnsi="Times New Roman" w:cs="Times New Roman"/>
          <w:sz w:val="20"/>
          <w:szCs w:val="20"/>
        </w:rPr>
      </w:pPr>
      <w:r>
        <w:rPr>
          <w:rFonts w:ascii="Times New Roman" w:hAnsi="Times New Roman" w:cs="Times New Roman"/>
          <w:sz w:val="20"/>
          <w:szCs w:val="20"/>
        </w:rPr>
        <w:t>- tájékozott-e a szállodai tevékenységgel járó felelősség jogi kérdéseiről ,</w:t>
      </w:r>
    </w:p>
    <w:p w:rsidR="004C2997" w:rsidRDefault="004C2997" w:rsidP="004C2997">
      <w:pPr>
        <w:autoSpaceDE w:val="0"/>
        <w:autoSpaceDN w:val="0"/>
        <w:adjustRightInd w:val="0"/>
        <w:spacing w:after="0" w:line="240" w:lineRule="auto"/>
        <w:ind w:left="147" w:right="147" w:firstLine="238"/>
        <w:rPr>
          <w:rFonts w:ascii="Times New Roman" w:hAnsi="Times New Roman" w:cs="Times New Roman"/>
          <w:sz w:val="20"/>
          <w:szCs w:val="20"/>
        </w:rPr>
      </w:pPr>
      <w:r>
        <w:rPr>
          <w:rFonts w:ascii="Times New Roman" w:hAnsi="Times New Roman" w:cs="Times New Roman"/>
          <w:sz w:val="20"/>
          <w:szCs w:val="20"/>
        </w:rPr>
        <w:t>- ismeri-e a szállodai gazdálkodással kapcsolatos gazdasági, pénzügyi és számviteli feladatokat ,</w:t>
      </w:r>
    </w:p>
    <w:p w:rsidR="004C2997" w:rsidRDefault="004C2997" w:rsidP="004C2997">
      <w:pPr>
        <w:autoSpaceDE w:val="0"/>
        <w:autoSpaceDN w:val="0"/>
        <w:adjustRightInd w:val="0"/>
        <w:spacing w:after="0" w:line="240" w:lineRule="auto"/>
        <w:ind w:left="147" w:right="147" w:firstLine="238"/>
        <w:rPr>
          <w:rFonts w:ascii="Times New Roman" w:hAnsi="Times New Roman" w:cs="Times New Roman"/>
          <w:sz w:val="20"/>
          <w:szCs w:val="20"/>
        </w:rPr>
      </w:pPr>
      <w:r>
        <w:rPr>
          <w:rFonts w:ascii="Times New Roman" w:hAnsi="Times New Roman" w:cs="Times New Roman"/>
          <w:sz w:val="20"/>
          <w:szCs w:val="20"/>
        </w:rPr>
        <w:t>- ismeri-e a szállodai tevékenység során elvárandó magatartási szabályokat és követelményeket .</w:t>
      </w:r>
    </w:p>
    <w:p w:rsidR="004C2997" w:rsidRDefault="004C2997" w:rsidP="004C2997">
      <w:pPr>
        <w:autoSpaceDE w:val="0"/>
        <w:autoSpaceDN w:val="0"/>
        <w:adjustRightInd w:val="0"/>
        <w:spacing w:before="90"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Marketing alapismeretekből</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 marketing történeti kialakulását, jelentőségét, eszközeit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 marketingkommunikáció folyamatát, jelentőségét és eszközrendszerét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tudja-e a piac, a termék és az ár összefüggési rendszerét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az árstratégia fogalmát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tájékozott-e az árkialakítás elveiről és módszereiről, az értékesítési csatornák, a piaci szegmensek kiválasztásának szempontjairól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 vállalati image fogalmát, lényegét, a vállalati arculat kialakításának fontosságát, tartalmi és formai elemeit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 reklám fogalmát, funkcióit, a reklám társadalmi és gazdasági szerepét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képes-e reklámüzenet megfogalmazására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r>
        <w:rPr>
          <w:rFonts w:ascii="Times New Roman" w:hAnsi="Times New Roman" w:cs="Times New Roman"/>
          <w:sz w:val="20"/>
          <w:szCs w:val="20"/>
        </w:rPr>
        <w:t>- ismeri-e a PR fogalmát, eszközeit, a vállalkozás és környezete kapcsolatszervezési folyamatát .</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b/>
          <w:bCs/>
          <w:sz w:val="20"/>
          <w:szCs w:val="20"/>
        </w:rPr>
      </w:pPr>
      <w:r>
        <w:rPr>
          <w:rFonts w:ascii="Times New Roman" w:hAnsi="Times New Roman" w:cs="Times New Roman"/>
          <w:b/>
          <w:bCs/>
          <w:sz w:val="20"/>
          <w:szCs w:val="20"/>
        </w:rPr>
        <w:t>Tartalmi követelmények</w:t>
      </w:r>
    </w:p>
    <w:p w:rsidR="004C2997" w:rsidRDefault="004C2997" w:rsidP="004C2997">
      <w:pPr>
        <w:autoSpaceDE w:val="0"/>
        <w:autoSpaceDN w:val="0"/>
        <w:adjustRightInd w:val="0"/>
        <w:spacing w:after="0" w:line="240" w:lineRule="auto"/>
        <w:ind w:left="150" w:right="150" w:firstLine="240"/>
        <w:rPr>
          <w:rFonts w:ascii="Times New Roman" w:hAnsi="Times New Roman" w:cs="Times New Roman"/>
          <w:b/>
          <w:bCs/>
          <w:sz w:val="20"/>
          <w:szCs w:val="20"/>
        </w:rPr>
      </w:pPr>
    </w:p>
    <w:tbl>
      <w:tblPr>
        <w:tblW w:w="0" w:type="auto"/>
        <w:tblInd w:w="-38" w:type="dxa"/>
        <w:tblLayout w:type="fixed"/>
        <w:tblCellMar>
          <w:left w:w="70" w:type="dxa"/>
          <w:right w:w="70" w:type="dxa"/>
        </w:tblCellMar>
        <w:tblLook w:val="0000" w:firstRow="0" w:lastRow="0" w:firstColumn="0" w:lastColumn="0" w:noHBand="0" w:noVBand="0"/>
      </w:tblPr>
      <w:tblGrid>
        <w:gridCol w:w="3272"/>
        <w:gridCol w:w="3272"/>
        <w:gridCol w:w="3272"/>
      </w:tblGrid>
      <w:tr w:rsidR="004C2997">
        <w:tblPrEx>
          <w:tblCellMar>
            <w:top w:w="0" w:type="dxa"/>
            <w:bottom w:w="0" w:type="dxa"/>
          </w:tblCellMar>
        </w:tblPrEx>
        <w:tc>
          <w:tcPr>
            <w:tcW w:w="3272" w:type="dxa"/>
            <w:tcBorders>
              <w:top w:val="nil"/>
              <w:left w:val="nil"/>
              <w:bottom w:val="nil"/>
              <w:right w:val="nil"/>
            </w:tcBorders>
            <w:vAlign w:val="center"/>
          </w:tcPr>
          <w:p w:rsidR="004C2997" w:rsidRDefault="004C2997">
            <w:pPr>
              <w:autoSpaceDE w:val="0"/>
              <w:autoSpaceDN w:val="0"/>
              <w:adjustRightInd w:val="0"/>
              <w:spacing w:after="0" w:line="240" w:lineRule="auto"/>
              <w:jc w:val="center"/>
              <w:rPr>
                <w:rFonts w:ascii="Times New Roman" w:hAnsi="Times New Roman" w:cs="Times New Roman"/>
                <w:b/>
                <w:bCs/>
                <w:sz w:val="19"/>
                <w:szCs w:val="19"/>
              </w:rPr>
            </w:pPr>
            <w:r>
              <w:rPr>
                <w:rFonts w:ascii="Times New Roman" w:hAnsi="Times New Roman" w:cs="Times New Roman"/>
                <w:b/>
                <w:bCs/>
                <w:sz w:val="19"/>
                <w:szCs w:val="19"/>
              </w:rPr>
              <w:t>Témakörök</w:t>
            </w:r>
          </w:p>
        </w:tc>
        <w:tc>
          <w:tcPr>
            <w:tcW w:w="3272" w:type="dxa"/>
            <w:tcBorders>
              <w:top w:val="nil"/>
              <w:left w:val="nil"/>
              <w:bottom w:val="nil"/>
              <w:right w:val="nil"/>
            </w:tcBorders>
            <w:vAlign w:val="center"/>
          </w:tcPr>
          <w:p w:rsidR="004C2997" w:rsidRDefault="004C2997">
            <w:pPr>
              <w:autoSpaceDE w:val="0"/>
              <w:autoSpaceDN w:val="0"/>
              <w:adjustRightInd w:val="0"/>
              <w:spacing w:after="0" w:line="240" w:lineRule="auto"/>
              <w:jc w:val="center"/>
              <w:rPr>
                <w:rFonts w:ascii="Times New Roman" w:hAnsi="Times New Roman" w:cs="Times New Roman"/>
                <w:b/>
                <w:bCs/>
                <w:sz w:val="19"/>
                <w:szCs w:val="19"/>
              </w:rPr>
            </w:pPr>
            <w:r>
              <w:rPr>
                <w:rFonts w:ascii="Times New Roman" w:hAnsi="Times New Roman" w:cs="Times New Roman"/>
                <w:b/>
                <w:bCs/>
                <w:sz w:val="19"/>
                <w:szCs w:val="19"/>
              </w:rPr>
              <w:t>Követelmények középszinten</w:t>
            </w:r>
          </w:p>
        </w:tc>
        <w:tc>
          <w:tcPr>
            <w:tcW w:w="3272" w:type="dxa"/>
            <w:tcBorders>
              <w:top w:val="nil"/>
              <w:left w:val="nil"/>
              <w:bottom w:val="nil"/>
              <w:right w:val="nil"/>
            </w:tcBorders>
            <w:vAlign w:val="center"/>
          </w:tcPr>
          <w:p w:rsidR="004C2997" w:rsidRDefault="004C2997">
            <w:pPr>
              <w:autoSpaceDE w:val="0"/>
              <w:autoSpaceDN w:val="0"/>
              <w:adjustRightInd w:val="0"/>
              <w:spacing w:after="0" w:line="240" w:lineRule="auto"/>
              <w:jc w:val="center"/>
              <w:rPr>
                <w:rFonts w:ascii="Times New Roman" w:hAnsi="Times New Roman" w:cs="Times New Roman"/>
                <w:b/>
                <w:bCs/>
                <w:sz w:val="19"/>
                <w:szCs w:val="19"/>
              </w:rPr>
            </w:pPr>
            <w:r>
              <w:rPr>
                <w:rFonts w:ascii="Times New Roman" w:hAnsi="Times New Roman" w:cs="Times New Roman"/>
                <w:b/>
                <w:bCs/>
                <w:sz w:val="19"/>
                <w:szCs w:val="19"/>
              </w:rPr>
              <w:t>Követelmények kiegészítése emelt szinten</w:t>
            </w:r>
          </w:p>
        </w:tc>
      </w:tr>
      <w:tr w:rsidR="004C2997">
        <w:tblPrEx>
          <w:tblCellMar>
            <w:top w:w="0" w:type="dxa"/>
            <w:bottom w:w="0" w:type="dxa"/>
          </w:tblCellMar>
        </w:tblPrEx>
        <w:tc>
          <w:tcPr>
            <w:tcW w:w="9816" w:type="dxa"/>
            <w:gridSpan w:val="3"/>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b/>
                <w:bCs/>
                <w:sz w:val="19"/>
                <w:szCs w:val="19"/>
              </w:rPr>
            </w:pPr>
            <w:r>
              <w:rPr>
                <w:rFonts w:ascii="Times New Roman" w:hAnsi="Times New Roman" w:cs="Times New Roman"/>
                <w:b/>
                <w:bCs/>
                <w:sz w:val="19"/>
                <w:szCs w:val="19"/>
              </w:rPr>
              <w:t>Vendéglátó és turizmus ismeretek</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vendéglátás alapjai</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a vendéglátás történeti kialakulásának és fejlődésének hazai szakaszait, azok jellegzetességeit ismertetni.</w:t>
            </w:r>
            <w:r>
              <w:rPr>
                <w:rFonts w:ascii="Times New Roman" w:hAnsi="Times New Roman" w:cs="Times New Roman"/>
                <w:sz w:val="19"/>
                <w:szCs w:val="19"/>
              </w:rPr>
              <w:br/>
            </w:r>
            <w:r>
              <w:rPr>
                <w:rFonts w:ascii="Times New Roman" w:hAnsi="Times New Roman" w:cs="Times New Roman"/>
                <w:sz w:val="19"/>
                <w:szCs w:val="19"/>
              </w:rPr>
              <w:lastRenderedPageBreak/>
              <w:t>Legyen képes a vendéglátás fogalmának meghatározására.</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lastRenderedPageBreak/>
              <w:t xml:space="preserve"> A vendéglátás tevékenységi körei</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vendéglátás feladatkörét.</w:t>
            </w:r>
            <w:r>
              <w:rPr>
                <w:rFonts w:ascii="Times New Roman" w:hAnsi="Times New Roman" w:cs="Times New Roman"/>
                <w:sz w:val="19"/>
                <w:szCs w:val="19"/>
              </w:rPr>
              <w:br/>
              <w:t>Legyen képes a vendéglátás tárgyi és személyi feltételeinek meghatározására.</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vendéglátás dolgozóival szemben támasztott követelményeket.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munkahelyi kommunikáció szabályait.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az élelmiszerromlás és élelmiszerfertőzés megelőzésének feladatait.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vendéglátás és a környezetvédelem összefüggéseit. Legyen képes folyamatszemléletben gondolkodni, rendelkezzen a feladatok szervezési részéhez tartozó alapvető ismeretekkel.</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vendéglátás üzlethálózata</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vendéglátó üzletek szakjelleg szerinti csoportosítását.</w:t>
            </w:r>
            <w:r>
              <w:rPr>
                <w:rFonts w:ascii="Times New Roman" w:hAnsi="Times New Roman" w:cs="Times New Roman"/>
                <w:sz w:val="19"/>
                <w:szCs w:val="19"/>
              </w:rPr>
              <w:br/>
              <w:t>Üzletkörök, üzlettípusok jellemzőit.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vendéglátóüzletek kategorizálásának szempontjait, tudja a kategorizálás menetét megszervezni.</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 xml:space="preserve"> A turizmus alapjai</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értelmezni a turizmus fogalmát.</w:t>
            </w:r>
            <w:r>
              <w:rPr>
                <w:rFonts w:ascii="Times New Roman" w:hAnsi="Times New Roman" w:cs="Times New Roman"/>
                <w:sz w:val="19"/>
                <w:szCs w:val="19"/>
              </w:rPr>
              <w:br/>
              <w:t>Legyen képes bemutatni a turizmus kialakulásának főbb történeti szakaszait és azok jellegzetességeit.</w:t>
            </w:r>
            <w:r>
              <w:rPr>
                <w:rFonts w:ascii="Times New Roman" w:hAnsi="Times New Roman" w:cs="Times New Roman"/>
                <w:sz w:val="19"/>
                <w:szCs w:val="19"/>
              </w:rPr>
              <w:br/>
              <w:t>Ismerje a turizmus helyét a nemzetgazdaságban.</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értékelni a turizmus gazdasági és társadalmi jelentőségét, ismerje a turizmus összefüggéseit a nemzetgazdaság egyéb ágaival.</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 xml:space="preserve"> A turizmus tevékenysége, tevékenységi formái, fajtái</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értelmezni az aktív és passzív turizmus fogalmának lényegét.</w:t>
            </w:r>
            <w:r>
              <w:rPr>
                <w:rFonts w:ascii="Times New Roman" w:hAnsi="Times New Roman" w:cs="Times New Roman"/>
                <w:sz w:val="19"/>
                <w:szCs w:val="19"/>
              </w:rPr>
              <w:br/>
              <w:t>Legyen képes meghatározni az aktív és passzív turizmus feltételrendszerét.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Tudjon az aktív és passzív turizmushoz kapcsolódó programokat tervezni.</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turizmus és a környezet összefüggései</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turizmushoz kapcsolódó legfontosabb természetföldrajzi tényezőket.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turizmus és környezetvédelem összefüggéseit.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vendéglátás és a turizmus kapcsolata</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vendéglátás és a turizmus fogalmi összefüggései, kapcsolódási pontjaik.</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19"/>
                <w:szCs w:val="19"/>
              </w:rPr>
            </w:pPr>
            <w:r>
              <w:rPr>
                <w:rFonts w:ascii="Times New Roman" w:hAnsi="Times New Roman" w:cs="Times New Roman"/>
                <w:sz w:val="19"/>
                <w:szCs w:val="19"/>
              </w:rPr>
              <w:t>Jellemezze a kapcsolódások lehetőségeit. Ismerje a turizmus és vendéglátás nemzetközi trendjeit, hatását a hazai turisztikai piac alakulására.</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turizmus, mint tevékenység feltételrendszere</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felsorolni a turizmust lebonyolító szervezeteket és jellemzőiket.</w:t>
            </w:r>
            <w:r>
              <w:rPr>
                <w:rFonts w:ascii="Times New Roman" w:hAnsi="Times New Roman" w:cs="Times New Roman"/>
                <w:sz w:val="19"/>
                <w:szCs w:val="19"/>
              </w:rPr>
              <w:br/>
              <w:t>Legyen képes felsorolni a turizmus tárgyi és személyi feltételeit, a dolgozókkal szemben támasztott követelményeket.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19"/>
                <w:szCs w:val="19"/>
              </w:rPr>
            </w:pPr>
            <w:r>
              <w:rPr>
                <w:rFonts w:ascii="Times New Roman" w:hAnsi="Times New Roman" w:cs="Times New Roman"/>
                <w:sz w:val="19"/>
                <w:szCs w:val="19"/>
              </w:rPr>
              <w:t>Ismerje a turizmust lebonyolító szervezetek működési feltételeit, a működésre vonatkozó legfontosabb jogszabályokat.</w:t>
            </w:r>
            <w:r>
              <w:rPr>
                <w:rFonts w:ascii="Times New Roman" w:hAnsi="Times New Roman" w:cs="Times New Roman"/>
                <w:sz w:val="19"/>
                <w:szCs w:val="19"/>
              </w:rPr>
              <w:br/>
              <w:t>Ismerje a turizmus szervezetei közötti kapcsolatrendszer lényegét. Legyen tájékozott a gazdasági integráció fogalmáról, az integráció turizmusra gyakorolt hatásáról és érzékelhető jelenségeiről.</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turizmus piaca</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piac fogalmi meghatározását, ismerje a piac elemeinek fogalmi meghatározását (kereslet, kínálat, ár) és azok összefüggéseit. Ismerje az árképzés és a turisztikai piac szempontjából a valuta, deviza, vám szabályait.</w:t>
            </w:r>
            <w:r>
              <w:rPr>
                <w:rFonts w:ascii="Times New Roman" w:hAnsi="Times New Roman" w:cs="Times New Roman"/>
                <w:sz w:val="19"/>
                <w:szCs w:val="19"/>
              </w:rPr>
              <w:br/>
              <w:t>Legyen képes bemutatni a turisztikai piac jellemzőit.</w:t>
            </w:r>
            <w:r>
              <w:rPr>
                <w:rFonts w:ascii="Times New Roman" w:hAnsi="Times New Roman" w:cs="Times New Roman"/>
                <w:sz w:val="19"/>
                <w:szCs w:val="19"/>
              </w:rPr>
              <w:br/>
              <w:t>Ismerje a turisztikai piac alakulására ható tényezőket.</w:t>
            </w:r>
            <w:r>
              <w:rPr>
                <w:rFonts w:ascii="Times New Roman" w:hAnsi="Times New Roman" w:cs="Times New Roman"/>
                <w:sz w:val="19"/>
                <w:szCs w:val="19"/>
              </w:rPr>
              <w:br/>
              <w:t>Legyen képes meghatározni a gazdasági verseny fogalmát, feltételeit.</w:t>
            </w:r>
            <w:r>
              <w:rPr>
                <w:rFonts w:ascii="Times New Roman" w:hAnsi="Times New Roman" w:cs="Times New Roman"/>
                <w:sz w:val="19"/>
                <w:szCs w:val="19"/>
              </w:rPr>
              <w:br/>
              <w:t>Legyen képes elemezni a piaci kockázat lényegét.</w:t>
            </w:r>
            <w:r>
              <w:rPr>
                <w:rFonts w:ascii="Times New Roman" w:hAnsi="Times New Roman" w:cs="Times New Roman"/>
                <w:sz w:val="19"/>
                <w:szCs w:val="19"/>
              </w:rPr>
              <w:br/>
              <w:t>Ismerje az árképzést a turizmusban.</w:t>
            </w:r>
            <w:r>
              <w:rPr>
                <w:rFonts w:ascii="Times New Roman" w:hAnsi="Times New Roman" w:cs="Times New Roman"/>
                <w:sz w:val="19"/>
                <w:szCs w:val="19"/>
              </w:rPr>
              <w:br/>
              <w:t>Legyen képes vázolni a hazai turizmus fejlesztési lehetőségeit.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Ismertesse a turisztikai fogadóképesség fogalmát és a turizmus kínálatát.</w:t>
            </w:r>
            <w:r>
              <w:rPr>
                <w:rFonts w:ascii="Times New Roman" w:hAnsi="Times New Roman" w:cs="Times New Roman"/>
                <w:sz w:val="19"/>
                <w:szCs w:val="19"/>
              </w:rPr>
              <w:br/>
              <w:t>Ismertesse a turisztikai keresletet befolyásoló tényezőket.</w:t>
            </w:r>
            <w:r>
              <w:rPr>
                <w:rFonts w:ascii="Times New Roman" w:hAnsi="Times New Roman" w:cs="Times New Roman"/>
                <w:sz w:val="19"/>
                <w:szCs w:val="19"/>
              </w:rPr>
              <w:br/>
              <w:t>Legyen képes meghatározni a gazdasági verseny fogalmát a turizmus piacán.</w:t>
            </w:r>
            <w:r>
              <w:rPr>
                <w:rFonts w:ascii="Times New Roman" w:hAnsi="Times New Roman" w:cs="Times New Roman"/>
                <w:sz w:val="19"/>
                <w:szCs w:val="19"/>
              </w:rPr>
              <w:br/>
              <w:t>Ismerje a piaci kockázat fogalmát és lényegét.</w:t>
            </w:r>
            <w:r>
              <w:rPr>
                <w:rFonts w:ascii="Times New Roman" w:hAnsi="Times New Roman" w:cs="Times New Roman"/>
                <w:sz w:val="19"/>
                <w:szCs w:val="19"/>
              </w:rPr>
              <w:br/>
              <w:t>Ismertesse a beutaztatás és kiutaztatás árképzési szempontjait.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vendéglátás piaca</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vendéglátás piacának általános jellemzőit.</w:t>
            </w:r>
            <w:r>
              <w:rPr>
                <w:rFonts w:ascii="Times New Roman" w:hAnsi="Times New Roman" w:cs="Times New Roman"/>
                <w:sz w:val="19"/>
                <w:szCs w:val="19"/>
              </w:rPr>
              <w:br/>
              <w:t xml:space="preserve">Ismerje a vendéglátás piacára ható </w:t>
            </w:r>
            <w:r>
              <w:rPr>
                <w:rFonts w:ascii="Times New Roman" w:hAnsi="Times New Roman" w:cs="Times New Roman"/>
                <w:sz w:val="19"/>
                <w:szCs w:val="19"/>
              </w:rPr>
              <w:lastRenderedPageBreak/>
              <w:t>tényezőket.</w:t>
            </w:r>
            <w:r>
              <w:rPr>
                <w:rFonts w:ascii="Times New Roman" w:hAnsi="Times New Roman" w:cs="Times New Roman"/>
                <w:sz w:val="19"/>
                <w:szCs w:val="19"/>
              </w:rPr>
              <w:br/>
              <w:t>Legyen képes jellemezni a hazai vendéglátás fejlesztési lehetőségeit.</w:t>
            </w:r>
            <w:r>
              <w:rPr>
                <w:rFonts w:ascii="Times New Roman" w:hAnsi="Times New Roman" w:cs="Times New Roman"/>
                <w:sz w:val="19"/>
                <w:szCs w:val="19"/>
              </w:rPr>
              <w:br/>
              <w:t>Ismerje az árképzést a vendéglátásban.</w:t>
            </w:r>
          </w:p>
          <w:p w:rsidR="004C2997" w:rsidRDefault="004C2997">
            <w:pPr>
              <w:autoSpaceDE w:val="0"/>
              <w:autoSpaceDN w:val="0"/>
              <w:adjustRightInd w:val="0"/>
              <w:spacing w:after="0" w:line="240" w:lineRule="auto"/>
              <w:rPr>
                <w:rFonts w:ascii="Times New Roman" w:hAnsi="Times New Roman" w:cs="Times New Roman"/>
                <w:color w:val="0000FF"/>
                <w:sz w:val="19"/>
                <w:szCs w:val="19"/>
              </w:rPr>
            </w:pPr>
            <w:r>
              <w:rPr>
                <w:rFonts w:ascii="Times New Roman" w:hAnsi="Times New Roman" w:cs="Times New Roman"/>
                <w:sz w:val="19"/>
                <w:szCs w:val="19"/>
              </w:rPr>
              <w:t>Legyen képes a termeléshez szükséges gazdasági ismeretek alkalmazására.</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lastRenderedPageBreak/>
              <w:t>Ismerje a vendéglátás iránti keresletet befolyásoló tényezőket.</w:t>
            </w:r>
            <w:r>
              <w:rPr>
                <w:rFonts w:ascii="Times New Roman" w:hAnsi="Times New Roman" w:cs="Times New Roman"/>
                <w:sz w:val="19"/>
                <w:szCs w:val="19"/>
              </w:rPr>
              <w:br/>
              <w:t xml:space="preserve">Legyen képes a vendéglátás kínálatának </w:t>
            </w:r>
            <w:r>
              <w:rPr>
                <w:rFonts w:ascii="Times New Roman" w:hAnsi="Times New Roman" w:cs="Times New Roman"/>
                <w:sz w:val="19"/>
                <w:szCs w:val="19"/>
              </w:rPr>
              <w:lastRenderedPageBreak/>
              <w:t>tervezésére, marketingszemléletű árképzésre.</w:t>
            </w:r>
            <w:r>
              <w:rPr>
                <w:rFonts w:ascii="Times New Roman" w:hAnsi="Times New Roman" w:cs="Times New Roman"/>
                <w:sz w:val="19"/>
                <w:szCs w:val="19"/>
              </w:rPr>
              <w:br/>
              <w:t>Legyen képes ismertetni a gazdasági verseny helyzetét a vendéglátás piacán.</w:t>
            </w:r>
            <w:r>
              <w:rPr>
                <w:rFonts w:ascii="Times New Roman" w:hAnsi="Times New Roman" w:cs="Times New Roman"/>
                <w:sz w:val="19"/>
                <w:szCs w:val="19"/>
              </w:rPr>
              <w:br/>
              <w:t>Legyen képes elemezni a kockázati formákat és tényezőket a vendéglátás piacán.</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lastRenderedPageBreak/>
              <w:t>Általános ügyviteli alapismeretek</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az ügyvitel fogalmi meghatározását.</w:t>
            </w:r>
            <w:r>
              <w:rPr>
                <w:rFonts w:ascii="Times New Roman" w:hAnsi="Times New Roman" w:cs="Times New Roman"/>
                <w:sz w:val="19"/>
                <w:szCs w:val="19"/>
              </w:rPr>
              <w:br/>
              <w:t>Legyen képes csoportosítani az ügyviteli feladatokat.</w:t>
            </w:r>
            <w:r>
              <w:rPr>
                <w:rFonts w:ascii="Times New Roman" w:hAnsi="Times New Roman" w:cs="Times New Roman"/>
                <w:sz w:val="19"/>
                <w:szCs w:val="19"/>
              </w:rPr>
              <w:br/>
              <w:t>Ismerje az elszámolás és elszámoltatás lényegi meghatározását.</w:t>
            </w:r>
            <w:r>
              <w:rPr>
                <w:rFonts w:ascii="Times New Roman" w:hAnsi="Times New Roman" w:cs="Times New Roman"/>
                <w:sz w:val="19"/>
                <w:szCs w:val="19"/>
              </w:rPr>
              <w:br/>
              <w:t>Legyen képes értelmezni az ellenőrzés fogalmát, ismertetni fajtáit.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szakmai kommunikáció szabályait.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pénzügyi és banki műveleteket, legyen képes ezek intézésére.</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19"/>
                <w:szCs w:val="19"/>
              </w:rPr>
            </w:pPr>
            <w:r>
              <w:rPr>
                <w:rFonts w:ascii="Times New Roman" w:hAnsi="Times New Roman" w:cs="Times New Roman"/>
                <w:sz w:val="19"/>
                <w:szCs w:val="19"/>
              </w:rPr>
              <w:t>Képes a turizmus és vendéglátás ügyviteli feladatainak átlátására, a bizonylati fegyelem fontosságának értékelésére.</w:t>
            </w:r>
          </w:p>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turizmus és a vendéglátás ügyvitele</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Tudja felsorolni a turizmus és a vendéglátás ügyviteli feladatait.</w:t>
            </w:r>
            <w:r>
              <w:rPr>
                <w:rFonts w:ascii="Times New Roman" w:hAnsi="Times New Roman" w:cs="Times New Roman"/>
                <w:sz w:val="19"/>
                <w:szCs w:val="19"/>
              </w:rPr>
              <w:br/>
              <w:t>Legyen képes az éttermi kínálat tervezését elvégezni.</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bizonylat fogalmi meghatározását bizonylat fogalmát, fajtáit, a kiállítás szabályait.</w:t>
            </w:r>
            <w:r>
              <w:rPr>
                <w:rFonts w:ascii="Times New Roman" w:hAnsi="Times New Roman" w:cs="Times New Roman"/>
                <w:sz w:val="19"/>
                <w:szCs w:val="19"/>
              </w:rPr>
              <w:br/>
              <w:t>Ismerje az üzleti levelezés szabályait, formai és tartalmi követelményeit, a kezelési szabályait.</w:t>
            </w:r>
            <w:r>
              <w:rPr>
                <w:rFonts w:ascii="Times New Roman" w:hAnsi="Times New Roman" w:cs="Times New Roman"/>
                <w:sz w:val="19"/>
                <w:szCs w:val="19"/>
              </w:rPr>
              <w:br/>
              <w:t>Ismerje a leltár fogalmi meghatározást, fajtáit, szabályait.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a tevékenység szervezési feladatait ellátni.</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jegyzőkönyv tartalmi és formai elemeit, tudjon egyszerű statisztikákat, kimutatásokat készíteni.</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19"/>
                <w:szCs w:val="19"/>
              </w:rPr>
            </w:pPr>
            <w:r>
              <w:rPr>
                <w:rFonts w:ascii="Times New Roman" w:hAnsi="Times New Roman" w:cs="Times New Roman"/>
                <w:sz w:val="19"/>
                <w:szCs w:val="19"/>
              </w:rPr>
              <w:t>Ismerje a turizmushoz és a vendéglátáshoz kapcsolódó elszámolási és elszámoltatási kötelezettségek teljesítésének és ellenőrzésének feladatait és legyen képes ezek végrehajtására.</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Tudjon üzleti levelet készíteni. Tudjon forgatókönyvet készíteni a turizmus és a vendéglátás területén.</w:t>
            </w:r>
            <w:r>
              <w:rPr>
                <w:rFonts w:ascii="Times New Roman" w:hAnsi="Times New Roman" w:cs="Times New Roman"/>
                <w:sz w:val="19"/>
                <w:szCs w:val="19"/>
              </w:rPr>
              <w:br/>
            </w:r>
          </w:p>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bottom w:w="0" w:type="dxa"/>
          </w:tblCellMar>
        </w:tblPrEx>
        <w:tc>
          <w:tcPr>
            <w:tcW w:w="9816" w:type="dxa"/>
            <w:gridSpan w:val="3"/>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Szállodai alapismeretek</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Szálláshelyek, szállodák</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Tudja a szálláshely fogalmát definiálni, fajtáit ismertetni.</w:t>
            </w:r>
            <w:r>
              <w:rPr>
                <w:rFonts w:ascii="Times New Roman" w:hAnsi="Times New Roman" w:cs="Times New Roman"/>
                <w:sz w:val="19"/>
                <w:szCs w:val="19"/>
              </w:rPr>
              <w:br/>
              <w:t>Legyen képes ismertetni a szálláshelyek, szállodák kínálati elemeit.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Tudja a szállodák kategorizálásának elveit, ismerje a kategóriák közti különbségeket.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szálloda működésének tárgyi feltételei</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szálloda telepítésének szempontjait.</w:t>
            </w:r>
            <w:r>
              <w:rPr>
                <w:rFonts w:ascii="Times New Roman" w:hAnsi="Times New Roman" w:cs="Times New Roman"/>
                <w:sz w:val="19"/>
                <w:szCs w:val="19"/>
              </w:rPr>
              <w:br/>
              <w:t>Ismerje a szálloda működésének tárgyi feltételeit.</w:t>
            </w:r>
            <w:r>
              <w:rPr>
                <w:rFonts w:ascii="Times New Roman" w:hAnsi="Times New Roman" w:cs="Times New Roman"/>
                <w:sz w:val="19"/>
                <w:szCs w:val="19"/>
              </w:rPr>
              <w:br/>
              <w:t>Tudja a szálloda helyiségeit és berendezéseit.</w:t>
            </w:r>
            <w:r>
              <w:rPr>
                <w:rFonts w:ascii="Times New Roman" w:hAnsi="Times New Roman" w:cs="Times New Roman"/>
                <w:sz w:val="19"/>
                <w:szCs w:val="19"/>
              </w:rPr>
              <w:br/>
              <w:t>Legyen képes ismertetni a vendégszoba kialakításának jellemzőit, berendezéseit, felszereléseit.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a kockázati tényezők ismertetésére a szálláshelylétesítés és -értékesítés vonatkozásában.</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szálloda működésének személyi feltételei</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ismertetni a szálloda szervezeti felépítését, a szállodai munkaköröket és az azokhoz kapcsolódó feladatokat.</w:t>
            </w:r>
            <w:r>
              <w:rPr>
                <w:rFonts w:ascii="Times New Roman" w:hAnsi="Times New Roman" w:cs="Times New Roman"/>
                <w:sz w:val="19"/>
                <w:szCs w:val="19"/>
              </w:rPr>
              <w:br/>
              <w:t>Legyen képes a munkaerő gazdálkodás fogalmi meghatározására.</w:t>
            </w:r>
            <w:r>
              <w:rPr>
                <w:rFonts w:ascii="Times New Roman" w:hAnsi="Times New Roman" w:cs="Times New Roman"/>
                <w:sz w:val="19"/>
                <w:szCs w:val="19"/>
              </w:rPr>
              <w:br/>
              <w:t>Tudja a szállodai dolgozóval szemben támasztott alap- és szakmai követelményeket, kommunikációs szabályokat.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19"/>
                <w:szCs w:val="19"/>
              </w:rPr>
            </w:pPr>
            <w:r>
              <w:rPr>
                <w:rFonts w:ascii="Times New Roman" w:hAnsi="Times New Roman" w:cs="Times New Roman"/>
                <w:sz w:val="19"/>
                <w:szCs w:val="19"/>
              </w:rPr>
              <w:t>Legyen képes átlátni a vezetés különböző szintjeinek funkcionális tagozódását, a tevékenységi területeket és az ezekhez kapcsolódó döntési szinteket.</w:t>
            </w:r>
          </w:p>
          <w:p w:rsidR="004C2997" w:rsidRDefault="004C2997">
            <w:pPr>
              <w:autoSpaceDE w:val="0"/>
              <w:autoSpaceDN w:val="0"/>
              <w:adjustRightInd w:val="0"/>
              <w:spacing w:after="0" w:line="240" w:lineRule="auto"/>
              <w:ind w:right="150"/>
              <w:rPr>
                <w:rFonts w:ascii="Times New Roman" w:hAnsi="Times New Roman" w:cs="Times New Roman"/>
                <w:sz w:val="19"/>
                <w:szCs w:val="19"/>
              </w:rPr>
            </w:pPr>
            <w:r>
              <w:rPr>
                <w:rFonts w:ascii="Times New Roman" w:hAnsi="Times New Roman" w:cs="Times New Roman"/>
                <w:sz w:val="19"/>
                <w:szCs w:val="19"/>
              </w:rPr>
              <w:t>Ismeretei alkalmasak arra, hogy meghatározza a szállodai üzem irányításának hierarchikus felépítését, a vezetői munkakörök feladat- és felelősségi köreit.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a reklamációs ügyek intézését megoldani.</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Szállodai ügyvitel</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 xml:space="preserve">Legyen képes meghatározni a szállodai </w:t>
            </w:r>
            <w:r>
              <w:rPr>
                <w:rFonts w:ascii="Times New Roman" w:hAnsi="Times New Roman" w:cs="Times New Roman"/>
                <w:sz w:val="19"/>
                <w:szCs w:val="19"/>
              </w:rPr>
              <w:lastRenderedPageBreak/>
              <w:t>értékesítéshez kapcsolódó ügyviteli feladatokat.</w:t>
            </w:r>
            <w:r>
              <w:rPr>
                <w:rFonts w:ascii="Times New Roman" w:hAnsi="Times New Roman" w:cs="Times New Roman"/>
                <w:sz w:val="19"/>
                <w:szCs w:val="19"/>
              </w:rPr>
              <w:br/>
              <w:t>Ismerje a szálláshelyértékesítés részterületeinek ügyviteli szabályait.</w:t>
            </w:r>
            <w:r>
              <w:rPr>
                <w:rFonts w:ascii="Times New Roman" w:hAnsi="Times New Roman" w:cs="Times New Roman"/>
                <w:sz w:val="19"/>
                <w:szCs w:val="19"/>
              </w:rPr>
              <w:br/>
              <w:t>Tudja a vendég érkeztetésével és elutazásával kapcsolatos adminisztratív feladatokat.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19"/>
                <w:szCs w:val="19"/>
              </w:rPr>
            </w:pPr>
            <w:r>
              <w:rPr>
                <w:rFonts w:ascii="Times New Roman" w:hAnsi="Times New Roman" w:cs="Times New Roman"/>
                <w:sz w:val="19"/>
                <w:szCs w:val="19"/>
              </w:rPr>
              <w:lastRenderedPageBreak/>
              <w:t xml:space="preserve">Ismeri a szállodai ügyvitel tagolódását, </w:t>
            </w:r>
            <w:r>
              <w:rPr>
                <w:rFonts w:ascii="Times New Roman" w:hAnsi="Times New Roman" w:cs="Times New Roman"/>
                <w:sz w:val="19"/>
                <w:szCs w:val="19"/>
              </w:rPr>
              <w:lastRenderedPageBreak/>
              <w:t>a szállodai értékesítés egyes részlegeinek ügyviteli feladatait.</w:t>
            </w:r>
          </w:p>
          <w:p w:rsidR="004C2997" w:rsidRDefault="004C2997">
            <w:pPr>
              <w:autoSpaceDE w:val="0"/>
              <w:autoSpaceDN w:val="0"/>
              <w:adjustRightInd w:val="0"/>
              <w:spacing w:after="0" w:line="240" w:lineRule="auto"/>
              <w:ind w:right="150"/>
              <w:rPr>
                <w:rFonts w:ascii="Times New Roman" w:hAnsi="Times New Roman" w:cs="Times New Roman"/>
                <w:sz w:val="19"/>
                <w:szCs w:val="19"/>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lastRenderedPageBreak/>
              <w:t>A szállodai gazdálkodás</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Tudja a szállodai gazdálkodás tervezésének területeit.</w:t>
            </w:r>
            <w:r>
              <w:rPr>
                <w:rFonts w:ascii="Times New Roman" w:hAnsi="Times New Roman" w:cs="Times New Roman"/>
                <w:sz w:val="19"/>
                <w:szCs w:val="19"/>
              </w:rPr>
              <w:br/>
              <w:t>Legyen képes a bevétel és a költségek csoportosítására.</w:t>
            </w:r>
            <w:r>
              <w:rPr>
                <w:rFonts w:ascii="Times New Roman" w:hAnsi="Times New Roman" w:cs="Times New Roman"/>
                <w:sz w:val="19"/>
                <w:szCs w:val="19"/>
              </w:rPr>
              <w:br/>
              <w:t>Legyen képes a szállodai jövedelmezőség fogalmi meghatározására, az eredménykimutatás és a költséghatékonyság lényegi megfogalmazására.</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19"/>
                <w:szCs w:val="19"/>
              </w:rPr>
            </w:pPr>
            <w:r>
              <w:rPr>
                <w:rFonts w:ascii="Times New Roman" w:hAnsi="Times New Roman" w:cs="Times New Roman"/>
                <w:sz w:val="19"/>
                <w:szCs w:val="19"/>
              </w:rPr>
              <w:t>Ismeri a szállodai bevételelszámolás ellenőrzésének rendjét és feladatait.</w:t>
            </w:r>
          </w:p>
          <w:p w:rsidR="004C2997" w:rsidRDefault="004C2997">
            <w:pPr>
              <w:autoSpaceDE w:val="0"/>
              <w:autoSpaceDN w:val="0"/>
              <w:adjustRightInd w:val="0"/>
              <w:spacing w:after="0" w:line="240" w:lineRule="auto"/>
              <w:rPr>
                <w:rFonts w:ascii="Times New Roman" w:hAnsi="Times New Roman" w:cs="Times New Roman"/>
                <w:color w:val="000000"/>
                <w:sz w:val="19"/>
                <w:szCs w:val="19"/>
              </w:rPr>
            </w:pPr>
            <w:r>
              <w:rPr>
                <w:rFonts w:ascii="Times New Roman" w:hAnsi="Times New Roman" w:cs="Times New Roman"/>
                <w:color w:val="000000"/>
                <w:sz w:val="19"/>
                <w:szCs w:val="19"/>
              </w:rPr>
              <w:t>Tájékozott a szálloda gazdálkodási rendszeréről és ennek a jövedelmezőségre gyakorolt hatásáról.</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Tudja az eredménykimutatás menetét.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szállodai tevékenységhez kapcsolódó legfontosabb speciális jogszabályok, rendeletek és előírások</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Tudja a szálloda biztonsági előírásait.</w:t>
            </w:r>
            <w:r>
              <w:rPr>
                <w:rFonts w:ascii="Times New Roman" w:hAnsi="Times New Roman" w:cs="Times New Roman"/>
                <w:sz w:val="19"/>
                <w:szCs w:val="19"/>
              </w:rPr>
              <w:br/>
              <w:t>Tudja a tűzvédelem szabályait.</w:t>
            </w:r>
            <w:r>
              <w:rPr>
                <w:rFonts w:ascii="Times New Roman" w:hAnsi="Times New Roman" w:cs="Times New Roman"/>
                <w:sz w:val="19"/>
                <w:szCs w:val="19"/>
              </w:rPr>
              <w:br/>
              <w:t>Legyen képes értelmezni a tulajdonvédelem fogalmát, a szálloda kártérítési felelősségét.</w:t>
            </w:r>
            <w:r>
              <w:rPr>
                <w:rFonts w:ascii="Times New Roman" w:hAnsi="Times New Roman" w:cs="Times New Roman"/>
                <w:sz w:val="19"/>
                <w:szCs w:val="19"/>
              </w:rPr>
              <w:br/>
              <w:t>Legyen képes összefoglalni a munkavédelem, egészségügy, környezetvédelem szálláshelyekre jellemző előírásait.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19"/>
                <w:szCs w:val="19"/>
              </w:rPr>
            </w:pPr>
            <w:r>
              <w:rPr>
                <w:rFonts w:ascii="Times New Roman" w:hAnsi="Times New Roman" w:cs="Times New Roman"/>
                <w:sz w:val="19"/>
                <w:szCs w:val="19"/>
              </w:rPr>
              <w:t>Ismeri a munkavédelem, egészségügy, környezetvédelem, biztonságvédelem alapszabályait és összefüggéseit.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Tudja kezelni a vendégpanaszokat.</w:t>
            </w:r>
            <w:r>
              <w:rPr>
                <w:rFonts w:ascii="Times New Roman" w:hAnsi="Times New Roman" w:cs="Times New Roman"/>
                <w:sz w:val="19"/>
                <w:szCs w:val="19"/>
              </w:rPr>
              <w:br/>
              <w:t>Tudjon adott szakmai szituációban döntést hozni, döntését érvekkel alátámasztani.</w:t>
            </w:r>
          </w:p>
        </w:tc>
      </w:tr>
      <w:tr w:rsidR="004C2997">
        <w:tblPrEx>
          <w:tblCellMar>
            <w:top w:w="0" w:type="dxa"/>
            <w:bottom w:w="0" w:type="dxa"/>
          </w:tblCellMar>
        </w:tblPrEx>
        <w:tc>
          <w:tcPr>
            <w:tcW w:w="9816" w:type="dxa"/>
            <w:gridSpan w:val="3"/>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Marketing alapismeretek</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marketing fogalma, fejlődése</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Tudja értelmezni a marketing fogalmát és alkalmazási területeit.</w:t>
            </w:r>
            <w:r>
              <w:rPr>
                <w:rFonts w:ascii="Times New Roman" w:hAnsi="Times New Roman" w:cs="Times New Roman"/>
                <w:sz w:val="19"/>
                <w:szCs w:val="19"/>
              </w:rPr>
              <w:br/>
              <w:t>Tudja a marketing fejlődési fázisait.</w:t>
            </w:r>
            <w:r>
              <w:rPr>
                <w:rFonts w:ascii="Times New Roman" w:hAnsi="Times New Roman" w:cs="Times New Roman"/>
                <w:sz w:val="19"/>
                <w:szCs w:val="19"/>
              </w:rPr>
              <w:br/>
              <w:t>Tudjon különbséget tenni a marketing-mix elemei között.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 xml:space="preserve">Ismerje a marketing folyamatát. </w:t>
            </w:r>
            <w:r>
              <w:rPr>
                <w:rFonts w:ascii="Times New Roman" w:hAnsi="Times New Roman" w:cs="Times New Roman"/>
                <w:color w:val="000000"/>
                <w:sz w:val="19"/>
                <w:szCs w:val="19"/>
              </w:rPr>
              <w:t>Ismeri a marketingstratégiák típusait, a marketingkoncepció kialakításának módját és formáit.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piac, a piaci környezet elemzése</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felismerni a vállalat mikro- és makrokörnyezetét.</w:t>
            </w:r>
            <w:r>
              <w:rPr>
                <w:rFonts w:ascii="Times New Roman" w:hAnsi="Times New Roman" w:cs="Times New Roman"/>
                <w:sz w:val="19"/>
                <w:szCs w:val="19"/>
              </w:rPr>
              <w:br/>
              <w:t>Tudja definiálni a piac fogalmát és kategóriáit.</w:t>
            </w:r>
            <w:r>
              <w:rPr>
                <w:rFonts w:ascii="Times New Roman" w:hAnsi="Times New Roman" w:cs="Times New Roman"/>
                <w:sz w:val="19"/>
                <w:szCs w:val="19"/>
              </w:rPr>
              <w:br/>
              <w:t>Legyen képes bemutatni a piac szerkezetét, a piaci formákat.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Tudja jellemezni a piaci szereplőket és a piactípusokat.</w:t>
            </w:r>
            <w:r>
              <w:rPr>
                <w:rFonts w:ascii="Times New Roman" w:hAnsi="Times New Roman" w:cs="Times New Roman"/>
                <w:sz w:val="19"/>
                <w:szCs w:val="19"/>
              </w:rPr>
              <w:br/>
              <w:t>Ismerje a piac méretének mutatószámait.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fogyasztói magatartás</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Tudja értelmezni a fogyasztói magatartást befolyásoló tényezőket.</w:t>
            </w:r>
            <w:r>
              <w:rPr>
                <w:rFonts w:ascii="Times New Roman" w:hAnsi="Times New Roman" w:cs="Times New Roman"/>
                <w:sz w:val="19"/>
                <w:szCs w:val="19"/>
              </w:rPr>
              <w:br/>
              <w:t>Legyen képes bemutatni a vásárlói döntéseket befolyásoló tényezőket.</w:t>
            </w:r>
            <w:r>
              <w:rPr>
                <w:rFonts w:ascii="Times New Roman" w:hAnsi="Times New Roman" w:cs="Times New Roman"/>
                <w:sz w:val="19"/>
                <w:szCs w:val="19"/>
              </w:rPr>
              <w:br/>
              <w:t>Tudjon különbséget tenni a vásárlási folyamat szakaszai között.</w:t>
            </w:r>
            <w:r>
              <w:rPr>
                <w:rFonts w:ascii="Times New Roman" w:hAnsi="Times New Roman" w:cs="Times New Roman"/>
                <w:sz w:val="19"/>
                <w:szCs w:val="19"/>
              </w:rPr>
              <w:br/>
              <w:t>Legyen képes elemezni a vásárlási magatartás típusait.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személyiségtípusokat, az utastípusokat és a vendégtípusokat a vendéglátás, a turizmus és a szállodaipar területén.</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elemezni a szervezetek beszerzési döntéseinek folyamatát.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piacszegmentálás. A célpiacok kiválasztása</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Tudja értelmezni a célpiaci marketing lényegét és kialakulását.</w:t>
            </w:r>
            <w:r>
              <w:rPr>
                <w:rFonts w:ascii="Times New Roman" w:hAnsi="Times New Roman" w:cs="Times New Roman"/>
                <w:sz w:val="19"/>
                <w:szCs w:val="19"/>
              </w:rPr>
              <w:br/>
              <w:t>Tudja értelmezni a piacszegmentáció lényegét.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bemutatni a célpiacok kiválasztásának elemeit.</w:t>
            </w:r>
            <w:r>
              <w:rPr>
                <w:rFonts w:ascii="Times New Roman" w:hAnsi="Times New Roman" w:cs="Times New Roman"/>
                <w:sz w:val="19"/>
                <w:szCs w:val="19"/>
              </w:rPr>
              <w:br/>
              <w:t>Ismerje a termék-pozicionálást.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marketing információs rendszer</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meghatározni a marketing információszükségletét.</w:t>
            </w:r>
            <w:r>
              <w:rPr>
                <w:rFonts w:ascii="Times New Roman" w:hAnsi="Times New Roman" w:cs="Times New Roman"/>
                <w:sz w:val="19"/>
                <w:szCs w:val="19"/>
              </w:rPr>
              <w:br/>
              <w:t>Legyen képes bemutatni az információs rendszer funkcióit.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Tudja értelmezni a MIR belső rendszerét, működését.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piackutatás fajtái, módszerei, felhasználási területei</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értelmezni a piackutatás funkcióit, folyamatát.</w:t>
            </w:r>
            <w:r>
              <w:rPr>
                <w:rFonts w:ascii="Times New Roman" w:hAnsi="Times New Roman" w:cs="Times New Roman"/>
                <w:sz w:val="19"/>
                <w:szCs w:val="19"/>
              </w:rPr>
              <w:br/>
              <w:t>Tudjon piackutatáshoz szükséges információkat beszerezni.</w:t>
            </w:r>
            <w:r>
              <w:rPr>
                <w:rFonts w:ascii="Times New Roman" w:hAnsi="Times New Roman" w:cs="Times New Roman"/>
                <w:sz w:val="19"/>
                <w:szCs w:val="19"/>
              </w:rPr>
              <w:br/>
              <w:t>Ismerje a piackutatás módszereit.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19"/>
                <w:szCs w:val="19"/>
              </w:rPr>
            </w:pPr>
            <w:r>
              <w:rPr>
                <w:rFonts w:ascii="Times New Roman" w:hAnsi="Times New Roman" w:cs="Times New Roman"/>
                <w:sz w:val="19"/>
                <w:szCs w:val="19"/>
              </w:rPr>
              <w:t>Legyen képes a marketingkutatási statisztikai módszerek alkalmazására, az információk megszerzésére és feldolgozására.</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a piackutatási eredményeket értékelni.</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termékpolitika, termékfejlesztés</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 xml:space="preserve">Tudjon válaszolni a termék fogalmának </w:t>
            </w:r>
            <w:r>
              <w:rPr>
                <w:rFonts w:ascii="Times New Roman" w:hAnsi="Times New Roman" w:cs="Times New Roman"/>
                <w:sz w:val="19"/>
                <w:szCs w:val="19"/>
              </w:rPr>
              <w:lastRenderedPageBreak/>
              <w:t>kérdésére, osztályozását bemutatni.</w:t>
            </w:r>
            <w:r>
              <w:rPr>
                <w:rFonts w:ascii="Times New Roman" w:hAnsi="Times New Roman" w:cs="Times New Roman"/>
                <w:sz w:val="19"/>
                <w:szCs w:val="19"/>
              </w:rPr>
              <w:br/>
              <w:t>Legyen képes a termékfejlesztés lényegét ismertetni.</w:t>
            </w:r>
            <w:r>
              <w:rPr>
                <w:rFonts w:ascii="Times New Roman" w:hAnsi="Times New Roman" w:cs="Times New Roman"/>
                <w:sz w:val="19"/>
                <w:szCs w:val="19"/>
              </w:rPr>
              <w:br/>
              <w:t>Tudja elemezni a termék piaci életgörbéjét és az életgörbe egyes szakaszainak jellemzőit.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lastRenderedPageBreak/>
              <w:t xml:space="preserve">Tudja jellemezni az ötletkeresési </w:t>
            </w:r>
            <w:r>
              <w:rPr>
                <w:rFonts w:ascii="Times New Roman" w:hAnsi="Times New Roman" w:cs="Times New Roman"/>
                <w:sz w:val="19"/>
                <w:szCs w:val="19"/>
              </w:rPr>
              <w:lastRenderedPageBreak/>
              <w:t>technikákat a termékfejlesztésben.</w:t>
            </w:r>
            <w:r>
              <w:rPr>
                <w:rFonts w:ascii="Times New Roman" w:hAnsi="Times New Roman" w:cs="Times New Roman"/>
                <w:sz w:val="19"/>
                <w:szCs w:val="19"/>
              </w:rPr>
              <w:br/>
              <w:t>Ismerje a marketing eszközök alkalmazásának lehetőségeit az életgörbe egyes szakaszaiban.</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color w:val="000000"/>
                <w:sz w:val="19"/>
                <w:szCs w:val="19"/>
              </w:rPr>
              <w:t xml:space="preserve">Ismeretei legyenek alkalmasak marketingterv összeállítására, egyes elemeinek kidolgozására. </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lastRenderedPageBreak/>
              <w:t>Árpolitika, árstratégia</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Tudjon felelni az ár fogalmára és szerepére, ismerje az árképzési elveket.</w:t>
            </w:r>
            <w:r>
              <w:rPr>
                <w:rFonts w:ascii="Times New Roman" w:hAnsi="Times New Roman" w:cs="Times New Roman"/>
                <w:sz w:val="19"/>
                <w:szCs w:val="19"/>
              </w:rPr>
              <w:br/>
              <w:t>Ismerje az árképzés marketingszempontú értelmezését.</w:t>
            </w:r>
            <w:r>
              <w:rPr>
                <w:rFonts w:ascii="Times New Roman" w:hAnsi="Times New Roman" w:cs="Times New Roman"/>
                <w:sz w:val="19"/>
                <w:szCs w:val="19"/>
              </w:rPr>
              <w:br/>
              <w:t>Tudja értelmezni az árak jogi szabályozásának alapelveit.</w:t>
            </w:r>
            <w:r>
              <w:rPr>
                <w:rFonts w:ascii="Times New Roman" w:hAnsi="Times New Roman" w:cs="Times New Roman"/>
                <w:sz w:val="19"/>
                <w:szCs w:val="19"/>
              </w:rPr>
              <w:br/>
              <w:t>Ismerje az árdifferenciálás jelentőségét.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bemutatni a fedezeti pont értelmezését.</w:t>
            </w:r>
            <w:r>
              <w:rPr>
                <w:rFonts w:ascii="Times New Roman" w:hAnsi="Times New Roman" w:cs="Times New Roman"/>
                <w:sz w:val="19"/>
                <w:szCs w:val="19"/>
              </w:rPr>
              <w:br/>
              <w:t>Legyen képes megfogalmazni a fogyasztói árelfogadást és árérzékenységet befolyásoló tényezőket.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Az értékesítéspolitika, értékesítési csatornák kiválasztása</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az értékesítési csatornák fajtáit, tudja azokat jellemezni.</w:t>
            </w:r>
            <w:r>
              <w:rPr>
                <w:rFonts w:ascii="Times New Roman" w:hAnsi="Times New Roman" w:cs="Times New Roman"/>
                <w:sz w:val="19"/>
                <w:szCs w:val="19"/>
              </w:rPr>
              <w:br/>
              <w:t>Legyen képes az értékesítési rendszer logisztikai és áruforgalmat elősegítő funkcióit megfogalmazni.</w:t>
            </w:r>
            <w:r>
              <w:rPr>
                <w:rFonts w:ascii="Times New Roman" w:hAnsi="Times New Roman" w:cs="Times New Roman"/>
                <w:sz w:val="19"/>
                <w:szCs w:val="19"/>
              </w:rPr>
              <w:br/>
              <w:t>Legyen képes bemutatni a marketing és az elosztási csatornák közötti összefüggést.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felismerni a kereskedelem helyét és szerepét a piacgazdaságban.</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marketing-</w:t>
            </w:r>
            <w:r>
              <w:rPr>
                <w:rFonts w:ascii="Times New Roman" w:hAnsi="Times New Roman" w:cs="Times New Roman"/>
                <w:sz w:val="19"/>
                <w:szCs w:val="19"/>
              </w:rPr>
              <w:br/>
              <w:t>kommunikáció eszközrendszere</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kommunikáció elméletét.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megfogalmazni a marketingkommunikáció lényegét.</w:t>
            </w:r>
            <w:r>
              <w:rPr>
                <w:rFonts w:ascii="Times New Roman" w:hAnsi="Times New Roman" w:cs="Times New Roman"/>
                <w:sz w:val="19"/>
                <w:szCs w:val="19"/>
              </w:rPr>
              <w:br/>
              <w:t>Legyen képes bemutatni a kommunikációs mix elemeit.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left="-108"/>
              <w:rPr>
                <w:rFonts w:ascii="Times New Roman" w:hAnsi="Times New Roman" w:cs="Times New Roman"/>
                <w:sz w:val="19"/>
                <w:szCs w:val="19"/>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reklám szerepe, tervezése</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ismertetni a reklám fogalmát és szerepét.</w:t>
            </w:r>
            <w:r>
              <w:rPr>
                <w:rFonts w:ascii="Times New Roman" w:hAnsi="Times New Roman" w:cs="Times New Roman"/>
                <w:sz w:val="19"/>
                <w:szCs w:val="19"/>
              </w:rPr>
              <w:br/>
              <w:t>Tudja jellemezni a reklám fajtáit.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19"/>
                <w:szCs w:val="19"/>
              </w:rPr>
            </w:pPr>
            <w:r>
              <w:rPr>
                <w:rFonts w:ascii="Times New Roman" w:hAnsi="Times New Roman" w:cs="Times New Roman"/>
                <w:sz w:val="19"/>
                <w:szCs w:val="19"/>
              </w:rPr>
              <w:t>Legyen képes a reklámeszközök és reklámhordozók közötti különbség meghatározására.</w:t>
            </w:r>
          </w:p>
          <w:p w:rsidR="004C2997" w:rsidRDefault="004C2997">
            <w:pPr>
              <w:autoSpaceDE w:val="0"/>
              <w:autoSpaceDN w:val="0"/>
              <w:adjustRightInd w:val="0"/>
              <w:spacing w:after="0" w:line="240" w:lineRule="auto"/>
              <w:ind w:right="150"/>
              <w:rPr>
                <w:rFonts w:ascii="Times New Roman" w:hAnsi="Times New Roman" w:cs="Times New Roman"/>
                <w:sz w:val="19"/>
                <w:szCs w:val="19"/>
              </w:rPr>
            </w:pPr>
            <w:r>
              <w:rPr>
                <w:rFonts w:ascii="Times New Roman" w:hAnsi="Times New Roman" w:cs="Times New Roman"/>
                <w:sz w:val="19"/>
                <w:szCs w:val="19"/>
              </w:rPr>
              <w:t>Tudja a reklámterv készítésének technikáját és módszerét. Ismerje a reklámetikai kódexben megfogalmazott alapvető szabályokat.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Public Relations</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Tudjon válaszolni a Public Relations fogalmára, ismerje jellemzőit.</w:t>
            </w:r>
            <w:r>
              <w:rPr>
                <w:rFonts w:ascii="Times New Roman" w:hAnsi="Times New Roman" w:cs="Times New Roman"/>
                <w:sz w:val="19"/>
                <w:szCs w:val="19"/>
              </w:rPr>
              <w:br/>
              <w:t>Legyen képes felsorolni a PR területeit.</w:t>
            </w:r>
            <w:r>
              <w:rPr>
                <w:rFonts w:ascii="Times New Roman" w:hAnsi="Times New Roman" w:cs="Times New Roman"/>
                <w:sz w:val="19"/>
                <w:szCs w:val="19"/>
              </w:rPr>
              <w:br/>
              <w:t>Tudjon különbséget tenni a külső és belső PR között.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Kapcsolatszervezés. Ismerje az etikett és a protokoll általános és speciális szabályait az idegenforgalomban.</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Tudjon különbséget tenni a PR akciók között és ismerje a szponzorálás formáit.</w:t>
            </w: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Az eladásösztönzés és a személyes eladás</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Tudjon válaszolni az eladásösztönzés fogalmára, funkcióira vonatkozó kérdésekre.</w:t>
            </w:r>
            <w:r>
              <w:rPr>
                <w:rFonts w:ascii="Times New Roman" w:hAnsi="Times New Roman" w:cs="Times New Roman"/>
                <w:sz w:val="19"/>
                <w:szCs w:val="19"/>
              </w:rPr>
              <w:br/>
              <w:t>Ismerje az eladásösztönzés módszereit.</w:t>
            </w:r>
            <w:r>
              <w:rPr>
                <w:rFonts w:ascii="Times New Roman" w:hAnsi="Times New Roman" w:cs="Times New Roman"/>
                <w:sz w:val="19"/>
                <w:szCs w:val="19"/>
              </w:rPr>
              <w:br/>
              <w:t>Legyen képes ismertetni a személyes eladás fogalmát, jellemzőit, előnyeit.</w:t>
            </w:r>
            <w:r>
              <w:rPr>
                <w:rFonts w:ascii="Times New Roman" w:hAnsi="Times New Roman" w:cs="Times New Roman"/>
                <w:sz w:val="19"/>
                <w:szCs w:val="19"/>
              </w:rPr>
              <w:br/>
              <w:t>Legyen képes ismertetni az eladóval szemben támasztott követelményeket.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tárgyalási technikákat, a prezentáció elméleti felépítését.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átlátni az eladási magatartás és az értékesítési mód kapcsolatát.</w:t>
            </w:r>
          </w:p>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Az image és az egyedi vállalati arculat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Tudja értelmezni az image lényegét.</w:t>
            </w:r>
            <w:r>
              <w:rPr>
                <w:rFonts w:ascii="Times New Roman" w:hAnsi="Times New Roman" w:cs="Times New Roman"/>
                <w:sz w:val="19"/>
                <w:szCs w:val="19"/>
              </w:rPr>
              <w:br/>
              <w:t>Tudja értelmezni a Corporate Identity lényegét.</w:t>
            </w:r>
          </w:p>
        </w:tc>
        <w:tc>
          <w:tcPr>
            <w:tcW w:w="3272" w:type="dxa"/>
            <w:tcBorders>
              <w:top w:val="nil"/>
              <w:left w:val="nil"/>
              <w:bottom w:val="nil"/>
              <w:right w:val="nil"/>
            </w:tcBorders>
          </w:tcPr>
          <w:p w:rsidR="004C2997" w:rsidRDefault="004C2997">
            <w:pPr>
              <w:autoSpaceDE w:val="0"/>
              <w:autoSpaceDN w:val="0"/>
              <w:adjustRightInd w:val="0"/>
              <w:spacing w:after="0" w:line="240" w:lineRule="auto"/>
              <w:ind w:right="150"/>
              <w:rPr>
                <w:rFonts w:ascii="Times New Roman" w:hAnsi="Times New Roman" w:cs="Times New Roman"/>
                <w:sz w:val="19"/>
                <w:szCs w:val="19"/>
              </w:rPr>
            </w:pPr>
            <w:r>
              <w:rPr>
                <w:rFonts w:ascii="Times New Roman" w:hAnsi="Times New Roman" w:cs="Times New Roman"/>
                <w:sz w:val="19"/>
                <w:szCs w:val="19"/>
              </w:rPr>
              <w:t>Ismeretei alkalmasak a vállalati arculat kialakításnak gyakorlati megvalósítására, az arculati stratégia megfogalmazására.</w:t>
            </w:r>
          </w:p>
          <w:p w:rsidR="004C2997" w:rsidRDefault="004C2997">
            <w:pPr>
              <w:autoSpaceDE w:val="0"/>
              <w:autoSpaceDN w:val="0"/>
              <w:adjustRightInd w:val="0"/>
              <w:spacing w:after="0" w:line="240" w:lineRule="auto"/>
              <w:rPr>
                <w:rFonts w:ascii="Times New Roman" w:hAnsi="Times New Roman" w:cs="Times New Roman"/>
                <w:sz w:val="19"/>
                <w:szCs w:val="19"/>
              </w:rPr>
            </w:pPr>
          </w:p>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bottom w:w="0" w:type="dxa"/>
          </w:tblCellMar>
        </w:tblPrEx>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Az egyéb piacbefolyásolási eszközök</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ismertetni a védjegy funkcióit, típusait.</w:t>
            </w:r>
            <w:r>
              <w:rPr>
                <w:rFonts w:ascii="Times New Roman" w:hAnsi="Times New Roman" w:cs="Times New Roman"/>
                <w:sz w:val="19"/>
                <w:szCs w:val="19"/>
              </w:rPr>
              <w:br/>
              <w:t>Legyen képes meghatározni a csomagolás funkcióit és típusait.</w:t>
            </w:r>
            <w:r>
              <w:rPr>
                <w:rFonts w:ascii="Times New Roman" w:hAnsi="Times New Roman" w:cs="Times New Roman"/>
                <w:sz w:val="19"/>
                <w:szCs w:val="19"/>
              </w:rPr>
              <w:br/>
              <w:t>Legyen képes ismertetni a direkt marketing lényegét.</w:t>
            </w:r>
          </w:p>
        </w:tc>
        <w:tc>
          <w:tcPr>
            <w:tcW w:w="3272" w:type="dxa"/>
            <w:tcBorders>
              <w:top w:val="nil"/>
              <w:left w:val="nil"/>
              <w:bottom w:val="nil"/>
              <w:right w:val="nil"/>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Tudja értelmezni a márkaépítés folyamatát és a márkahűséget.</w:t>
            </w:r>
            <w:r>
              <w:rPr>
                <w:rFonts w:ascii="Times New Roman" w:hAnsi="Times New Roman" w:cs="Times New Roman"/>
                <w:sz w:val="19"/>
                <w:szCs w:val="19"/>
              </w:rPr>
              <w:br/>
              <w:t>Ismertesse a direkt marketing fő csatornáit.</w:t>
            </w:r>
            <w:r>
              <w:rPr>
                <w:rFonts w:ascii="Times New Roman" w:hAnsi="Times New Roman" w:cs="Times New Roman"/>
                <w:sz w:val="19"/>
                <w:szCs w:val="19"/>
              </w:rPr>
              <w:br/>
              <w:t xml:space="preserve">Tudjon válaszolni a vevőszolgálat szerepére és lényegére vonatkozó </w:t>
            </w:r>
            <w:r>
              <w:rPr>
                <w:rFonts w:ascii="Times New Roman" w:hAnsi="Times New Roman" w:cs="Times New Roman"/>
                <w:sz w:val="19"/>
                <w:szCs w:val="19"/>
              </w:rPr>
              <w:lastRenderedPageBreak/>
              <w:t>kérdésekre.</w:t>
            </w:r>
            <w:r>
              <w:rPr>
                <w:rFonts w:ascii="Times New Roman" w:hAnsi="Times New Roman" w:cs="Times New Roman"/>
                <w:sz w:val="19"/>
                <w:szCs w:val="19"/>
              </w:rPr>
              <w:br/>
              <w:t>Ismerje az online marketing jelentőségét.</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RENDÉSZETI ALAPISMERETEK</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keepNext/>
        <w:autoSpaceDE w:val="0"/>
        <w:autoSpaceDN w:val="0"/>
        <w:adjustRightInd w:val="0"/>
        <w:spacing w:after="8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ind w:firstLine="454"/>
        <w:jc w:val="both"/>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454"/>
        <w:jc w:val="both"/>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ind w:firstLine="454"/>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454"/>
        <w:jc w:val="both"/>
        <w:rPr>
          <w:rFonts w:ascii="Times New Roman" w:hAnsi="Times New Roman" w:cs="Times New Roman"/>
          <w:sz w:val="20"/>
          <w:szCs w:val="20"/>
        </w:rPr>
      </w:pPr>
    </w:p>
    <w:p w:rsidR="004C2997" w:rsidRDefault="004C2997" w:rsidP="004C2997">
      <w:pPr>
        <w:keepNext/>
        <w:autoSpaceDE w:val="0"/>
        <w:autoSpaceDN w:val="0"/>
        <w:adjustRightInd w:val="0"/>
        <w:spacing w:after="80" w:line="240" w:lineRule="auto"/>
        <w:jc w:val="both"/>
        <w:rPr>
          <w:rFonts w:ascii="Times New Roman" w:hAnsi="Times New Roman" w:cs="Times New Roman"/>
          <w:b/>
          <w:bCs/>
          <w:sz w:val="20"/>
          <w:szCs w:val="20"/>
        </w:rPr>
      </w:pPr>
      <w:r>
        <w:rPr>
          <w:rFonts w:ascii="Times New Roman" w:hAnsi="Times New Roman" w:cs="Times New Roman"/>
          <w:b/>
          <w:bCs/>
          <w:sz w:val="20"/>
          <w:szCs w:val="20"/>
        </w:rPr>
        <w:t>A rendészeti alapismeretek érettségi vizsga célja</w:t>
      </w:r>
    </w:p>
    <w:p w:rsidR="004C2997" w:rsidRDefault="004C2997" w:rsidP="004C2997">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rendészeti alapismeretek érettségi vizsga</w:t>
      </w:r>
      <w:r>
        <w:rPr>
          <w:rFonts w:ascii="Times New Roman" w:hAnsi="Times New Roman" w:cs="Times New Roman"/>
          <w:b/>
          <w:bCs/>
          <w:sz w:val="20"/>
          <w:szCs w:val="20"/>
        </w:rPr>
        <w:t xml:space="preserve"> </w:t>
      </w:r>
      <w:r>
        <w:rPr>
          <w:rFonts w:ascii="Times New Roman" w:hAnsi="Times New Roman" w:cs="Times New Roman"/>
          <w:sz w:val="20"/>
          <w:szCs w:val="20"/>
        </w:rPr>
        <w:t>komplex vizsgatárgy</w:t>
      </w:r>
      <w:r>
        <w:rPr>
          <w:rFonts w:ascii="Times New Roman" w:hAnsi="Times New Roman" w:cs="Times New Roman"/>
          <w:b/>
          <w:bCs/>
          <w:sz w:val="20"/>
          <w:szCs w:val="20"/>
        </w:rPr>
        <w:t xml:space="preserve">, </w:t>
      </w:r>
      <w:r>
        <w:rPr>
          <w:rFonts w:ascii="Times New Roman" w:hAnsi="Times New Roman" w:cs="Times New Roman"/>
          <w:sz w:val="20"/>
          <w:szCs w:val="20"/>
        </w:rPr>
        <w:t>amelynek legfontosabb célja, hogy lehetővé tegye a pályaválasztási döntés megalapozottságának, a szakképesítésekhez szükséges szemlélet kialakulásának elbírálását, mérje fel a szakképzésbe való bekapcsolódást segítő ismeretek elsajátítását.</w:t>
      </w:r>
    </w:p>
    <w:p w:rsidR="004C2997" w:rsidRDefault="004C2997" w:rsidP="004C2997">
      <w:pPr>
        <w:autoSpaceDE w:val="0"/>
        <w:autoSpaceDN w:val="0"/>
        <w:adjustRightInd w:val="0"/>
        <w:spacing w:after="0" w:line="240" w:lineRule="auto"/>
        <w:ind w:firstLine="204"/>
        <w:jc w:val="both"/>
        <w:rPr>
          <w:rFonts w:ascii="Times New Roman" w:hAnsi="Times New Roman" w:cs="Times New Roman"/>
          <w:sz w:val="20"/>
          <w:szCs w:val="20"/>
        </w:rPr>
      </w:pPr>
      <w:r>
        <w:rPr>
          <w:rFonts w:ascii="Times New Roman" w:hAnsi="Times New Roman" w:cs="Times New Roman"/>
          <w:sz w:val="20"/>
          <w:szCs w:val="20"/>
        </w:rPr>
        <w:t>A vizsgakövetelményekben a vizsga mindkét szintjén meghatározó szerepet töltenek be a pszichológiai, szociológiai, jogi ismeretek mellett a szövegértés, az írásbeli és szóbeli szövegalkotás képességei és tevékenységei. Hangsúlyosak azok a szövegfeldolgozási, elemzési és értelmezési szempontok, kommunikációs ismeretek, amelyek szükségesek az önálló tájékozódáshoz, az ítélőképességhez, az érzelmi, a szociális, az intellektuális élmények megéléséhez és kifejezéséhez.</w:t>
      </w:r>
    </w:p>
    <w:p w:rsidR="004C2997" w:rsidRDefault="004C2997" w:rsidP="004C2997">
      <w:pPr>
        <w:autoSpaceDE w:val="0"/>
        <w:autoSpaceDN w:val="0"/>
        <w:adjustRightInd w:val="0"/>
        <w:spacing w:before="120" w:after="120" w:line="240" w:lineRule="auto"/>
        <w:ind w:firstLine="204"/>
        <w:jc w:val="both"/>
        <w:rPr>
          <w:rFonts w:ascii="Times New Roman" w:hAnsi="Times New Roman" w:cs="Times New Roman"/>
          <w:sz w:val="20"/>
          <w:szCs w:val="20"/>
        </w:rPr>
      </w:pPr>
      <w:r>
        <w:rPr>
          <w:rFonts w:ascii="Times New Roman" w:hAnsi="Times New Roman" w:cs="Times New Roman"/>
          <w:sz w:val="20"/>
          <w:szCs w:val="20"/>
        </w:rPr>
        <w:t>Az érettségi vizsga célja annak megállapítása, hogy a vizsgázó</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hogyan képes tudását, gondolatait, véleményét szóban és írásban előadni;</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mennyire ismeretelemző-értékelő gondolkodása, algoritmikus gondolkodása, az önálló ismeretszerzés képessége;</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mennyire ismerte meg, fogadta el a szakmai tevékenységek végzéséhez szükséges magatartási szabályokat, magatartásformákat;</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mennyire tud azonosulni az alapvető erkölcsi értékekkel;</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környezetében történő eligazodásra, a társadalmi beilleszkedésre, a tudatos életvezetésre, van-e reális önismerete;</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milyen szintű együttműködési és problémamegoldó készséggel rendelkezik;</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mennyire ismeri az emberi pszichikum fejlődésének folyamatában meglévő törvényszerűségeket, tulajdonságokat és jellegzetességeket, valamint ezek biológiai és szociális összefüggéseit;</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mennyire ismeri a magyarországi nemzeti és etnikai közösségek legfontosabb vallási előírásait, jellemző hagyományait és ünnepeit;</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toleránsan, előítélet-mentesen tud-e reagálni mások gondolataira, állításaira, következtetéseire;</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szűkebb és tágabb értelemben vett emberi csoportok, közösségekben zajló folyamatok megértésére, a mások iránti tiszteletre;</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élethelyzetek, döntési szituációk, etikai kérdések, gondolatok, érzelmek, magatartások, szociális beállítódások, elvek, eszmék árnyalt bemutatására, értelmezésére;</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érzékeny-e mások problémáira;</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teljesítményében kifejeződik-e önálló gondolkodása, problémalátása, lényegkiemelő és rendszerező képessége, kreativitása;</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logikusan érvelni, következtetéseit, gondolatait világos nyelvi formában előadni, véleményt alkotni;</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deviáns magatartás jellemzőit, tudja-e elemezni az alapvető jogi szabályozásokat, megmagyarázni, hogy a jog milyen eszközökkel kívánja elérni a társadalom által elvárt magatartást;</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csoportosítani a kábítószereket hatásuk, hatásmechanizmusuk alapján és jellemezni azokat;</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drog hatása alatt lévő személyek külső sajátosságait és reakcióit;</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mennyire ismeri a kábítószerekre, pszichotróp anyagokra vonatkozó joghelyzetet Magyarországon, jellemezni a kábítószer-fogyasztás fokozatait;</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fegyveres, rendvédelmi, rendészeti szakterületeken elvárt magatartást;</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társadalmi, személyi, technikai felkészültséggel irodai feladatok ellátásához;</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mennyire ismeri és tudja alkalmazni az ügyiratkezelés fogalmát, feladatait, a törvényesség védelmét, a nyilvántartásokkal szemben támasztott követelményeket, az ügyirat-kezelési rendszereket, az iratok fajtáit, a manuális és a számítógépes ügyiratkezeléseket;</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titokfajtákat, az adatvédelmi törvény előírásait, a minősített iratok kezelésének módját, a titkos ügykezelő feladatait;</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szakterület iratmintáit;</w:t>
      </w:r>
    </w:p>
    <w:p w:rsidR="004C2997" w:rsidRDefault="004C2997" w:rsidP="004C2997">
      <w:pPr>
        <w:tabs>
          <w:tab w:val="left" w:pos="709"/>
        </w:tabs>
        <w:autoSpaceDE w:val="0"/>
        <w:autoSpaceDN w:val="0"/>
        <w:adjustRightInd w:val="0"/>
        <w:spacing w:after="0" w:line="240" w:lineRule="auto"/>
        <w:ind w:left="709" w:hanging="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információs és kommunikációs technológiák önálló alkalmazására.</w:t>
      </w:r>
    </w:p>
    <w:p w:rsidR="004C2997" w:rsidRDefault="004C2997" w:rsidP="004C2997">
      <w:pPr>
        <w:autoSpaceDE w:val="0"/>
        <w:autoSpaceDN w:val="0"/>
        <w:adjustRightInd w:val="0"/>
        <w:spacing w:after="0" w:line="240" w:lineRule="auto"/>
        <w:ind w:left="204"/>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left="204"/>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Az emelt szintű vizsga elsősorban a felsőoktatásban tovább tanulni szándékozó vizsgázó képességeit és ismereteit vizsgálja. Ez a gyakorlatban azt jelenti, hogy a vizsga a jelöltektől a középszintű követelményeket meghaladó bonyolultabb ismeretszerzési eljárásokat, összetettebb rendszerezési, alkalmazási, összehasonlítási és elemzési szempontokat, valamint magasabb fokú gondolkodási, önállóbb ítéletalkotási képességeket vár el, a fogalmi ismeretek, tények, összefüggések tágabb körét kéri számon</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sectPr w:rsidR="004C2997">
          <w:pgSz w:w="11906" w:h="16838"/>
          <w:pgMar w:top="1701" w:right="1418" w:bottom="1134" w:left="1418" w:header="708" w:footer="708" w:gutter="0"/>
          <w:cols w:space="708"/>
          <w:noEndnote/>
        </w:sectPr>
      </w:pPr>
    </w:p>
    <w:p w:rsidR="004C2997" w:rsidRDefault="004C2997" w:rsidP="004C2997">
      <w:pPr>
        <w:keepNext/>
        <w:autoSpaceDE w:val="0"/>
        <w:autoSpaceDN w:val="0"/>
        <w:adjustRightInd w:val="0"/>
        <w:spacing w:after="8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Tartalmi követelmények</w:t>
      </w:r>
    </w:p>
    <w:tbl>
      <w:tblPr>
        <w:tblW w:w="0" w:type="auto"/>
        <w:tblInd w:w="5" w:type="dxa"/>
        <w:tblLayout w:type="fixed"/>
        <w:tblCellMar>
          <w:left w:w="0" w:type="dxa"/>
          <w:right w:w="0" w:type="dxa"/>
        </w:tblCellMar>
        <w:tblLook w:val="0000" w:firstRow="0" w:lastRow="0" w:firstColumn="0" w:lastColumn="0" w:noHBand="0" w:noVBand="0"/>
      </w:tblPr>
      <w:tblGrid>
        <w:gridCol w:w="2155"/>
        <w:gridCol w:w="6209"/>
        <w:gridCol w:w="5643"/>
      </w:tblGrid>
      <w:tr w:rsidR="004C2997">
        <w:tblPrEx>
          <w:tblCellMar>
            <w:top w:w="0" w:type="dxa"/>
            <w:left w:w="0" w:type="dxa"/>
            <w:bottom w:w="0" w:type="dxa"/>
            <w:right w:w="0" w:type="dxa"/>
          </w:tblCellMar>
        </w:tblPrEx>
        <w:tc>
          <w:tcPr>
            <w:tcW w:w="2155" w:type="dxa"/>
            <w:tcBorders>
              <w:top w:val="single" w:sz="4" w:space="0" w:color="auto"/>
              <w:left w:val="single" w:sz="4" w:space="0" w:color="auto"/>
              <w:bottom w:val="single" w:sz="4" w:space="0" w:color="auto"/>
              <w:right w:val="single" w:sz="4" w:space="0" w:color="auto"/>
            </w:tcBorders>
            <w:shd w:val="pct25" w:color="000000"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19"/>
                <w:szCs w:val="19"/>
              </w:rPr>
            </w:pPr>
            <w:r>
              <w:rPr>
                <w:rFonts w:ascii="Times New Roman" w:hAnsi="Times New Roman" w:cs="Times New Roman"/>
                <w:b/>
                <w:bCs/>
                <w:sz w:val="19"/>
                <w:szCs w:val="19"/>
              </w:rPr>
              <w:t>Témakörök</w:t>
            </w:r>
          </w:p>
        </w:tc>
        <w:tc>
          <w:tcPr>
            <w:tcW w:w="6209" w:type="dxa"/>
            <w:tcBorders>
              <w:top w:val="single" w:sz="4" w:space="0" w:color="auto"/>
              <w:left w:val="single" w:sz="4" w:space="0" w:color="auto"/>
              <w:bottom w:val="single" w:sz="4" w:space="0" w:color="auto"/>
              <w:right w:val="single" w:sz="4" w:space="0" w:color="auto"/>
            </w:tcBorders>
            <w:shd w:val="pct25" w:color="000000"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19"/>
                <w:szCs w:val="19"/>
              </w:rPr>
            </w:pPr>
            <w:r>
              <w:rPr>
                <w:rFonts w:ascii="Times New Roman" w:hAnsi="Times New Roman" w:cs="Times New Roman"/>
                <w:b/>
                <w:bCs/>
                <w:sz w:val="19"/>
                <w:szCs w:val="19"/>
              </w:rPr>
              <w:t xml:space="preserve"> Követelmények középszinten</w:t>
            </w:r>
          </w:p>
        </w:tc>
        <w:tc>
          <w:tcPr>
            <w:tcW w:w="5643" w:type="dxa"/>
            <w:tcBorders>
              <w:top w:val="single" w:sz="4" w:space="0" w:color="auto"/>
              <w:left w:val="single" w:sz="4" w:space="0" w:color="auto"/>
              <w:bottom w:val="single" w:sz="4" w:space="0" w:color="auto"/>
              <w:right w:val="single" w:sz="4" w:space="0" w:color="auto"/>
            </w:tcBorders>
            <w:shd w:val="pct25" w:color="000000" w:fill="auto"/>
          </w:tcPr>
          <w:p w:rsidR="004C2997" w:rsidRDefault="004C2997">
            <w:pPr>
              <w:autoSpaceDE w:val="0"/>
              <w:autoSpaceDN w:val="0"/>
              <w:adjustRightInd w:val="0"/>
              <w:spacing w:before="120" w:after="120" w:line="240" w:lineRule="auto"/>
              <w:jc w:val="center"/>
              <w:rPr>
                <w:rFonts w:ascii="Times New Roman" w:hAnsi="Times New Roman" w:cs="Times New Roman"/>
                <w:b/>
                <w:bCs/>
                <w:sz w:val="19"/>
                <w:szCs w:val="19"/>
              </w:rPr>
            </w:pPr>
            <w:r>
              <w:rPr>
                <w:rFonts w:ascii="Times New Roman" w:hAnsi="Times New Roman" w:cs="Times New Roman"/>
                <w:b/>
                <w:bCs/>
                <w:sz w:val="19"/>
                <w:szCs w:val="19"/>
              </w:rPr>
              <w:t>Követelmények kiegészítése emelt szinten</w:t>
            </w:r>
          </w:p>
        </w:tc>
      </w:tr>
      <w:tr w:rsidR="004C2997">
        <w:tblPrEx>
          <w:tblCellMar>
            <w:top w:w="0" w:type="dxa"/>
            <w:left w:w="0" w:type="dxa"/>
            <w:bottom w:w="0" w:type="dxa"/>
            <w:right w:w="0" w:type="dxa"/>
          </w:tblCellMar>
        </w:tblPrEx>
        <w:trPr>
          <w:cantSplit/>
        </w:trPr>
        <w:tc>
          <w:tcPr>
            <w:tcW w:w="14007" w:type="dxa"/>
            <w:gridSpan w:val="3"/>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jc w:val="both"/>
              <w:rPr>
                <w:rFonts w:ascii="Times New Roman" w:hAnsi="Times New Roman" w:cs="Times New Roman"/>
                <w:b/>
                <w:bCs/>
                <w:sz w:val="19"/>
                <w:szCs w:val="19"/>
              </w:rPr>
            </w:pPr>
            <w:r>
              <w:rPr>
                <w:rFonts w:ascii="Times New Roman" w:hAnsi="Times New Roman" w:cs="Times New Roman"/>
                <w:b/>
                <w:bCs/>
                <w:sz w:val="19"/>
                <w:szCs w:val="19"/>
              </w:rPr>
              <w:t>1. Irodai, ügyviteli ismeretek</w:t>
            </w:r>
          </w:p>
        </w:tc>
      </w:tr>
      <w:tr w:rsidR="004C2997">
        <w:tblPrEx>
          <w:tblCellMar>
            <w:top w:w="0" w:type="dxa"/>
            <w:left w:w="0" w:type="dxa"/>
            <w:bottom w:w="0" w:type="dxa"/>
            <w:right w:w="0" w:type="dxa"/>
          </w:tblCellMar>
        </w:tblPrEx>
        <w:tc>
          <w:tcPr>
            <w:tcW w:w="2155"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Ügyviteli munkafolyamatok leírása</w:t>
            </w:r>
          </w:p>
        </w:tc>
        <w:tc>
          <w:tcPr>
            <w:tcW w:w="6209"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Ismertesse az iratok fajtáit, jellemzőit.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Magyarázza el az ügyiratkezelés fogalmát, feladatait.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Sorolja fel a nyilvántartásokkal szemben támasztott követelményeket.</w:t>
            </w:r>
          </w:p>
          <w:p w:rsidR="004C2997" w:rsidRDefault="004C2997">
            <w:pPr>
              <w:autoSpaceDE w:val="0"/>
              <w:autoSpaceDN w:val="0"/>
              <w:adjustRightInd w:val="0"/>
              <w:spacing w:after="0" w:line="240" w:lineRule="auto"/>
              <w:rPr>
                <w:rFonts w:ascii="Times New Roman" w:hAnsi="Times New Roman" w:cs="Times New Roman"/>
                <w:sz w:val="19"/>
                <w:szCs w:val="19"/>
              </w:rPr>
            </w:pPr>
          </w:p>
        </w:tc>
        <w:tc>
          <w:tcPr>
            <w:tcW w:w="5643"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Ismertesse a manuális és számítógépes ügyirat-kezelési technológiák jellemzőit, különbségeit, az egyes megoldások előnyeit, hátrányait.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Az iratkezelés gyakorlata</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Sorolja fel az iratkezelés során végrehajtandó feladatokat, ismertesse az ügyiratok nyilvántartásának szabályait, az iratok jelzéseit.</w:t>
            </w:r>
          </w:p>
          <w:p w:rsidR="004C2997" w:rsidRDefault="004C2997">
            <w:pPr>
              <w:autoSpaceDE w:val="0"/>
              <w:autoSpaceDN w:val="0"/>
              <w:adjustRightInd w:val="0"/>
              <w:spacing w:after="0" w:line="240" w:lineRule="auto"/>
              <w:rPr>
                <w:rFonts w:ascii="Times New Roman" w:hAnsi="Times New Roman" w:cs="Times New Roman"/>
                <w:sz w:val="19"/>
                <w:szCs w:val="19"/>
              </w:rPr>
            </w:pP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szakterület jellemző iratmintái</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Jellemezze a rendészeti szakterület jellemző iratmintáit.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Az archív iratok kezelése</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Ismertesse az irattározás fogalmát, feladatát, az iratok kiadásának szabályait, az iratbetekintés szabályait.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Sorolja fel az iratkezelésre, iratbetekintésre, a selejtezésre vonatkozó szabályokat.</w:t>
            </w:r>
          </w:p>
          <w:p w:rsidR="004C2997" w:rsidRDefault="004C2997">
            <w:pPr>
              <w:autoSpaceDE w:val="0"/>
              <w:autoSpaceDN w:val="0"/>
              <w:adjustRightInd w:val="0"/>
              <w:spacing w:after="0" w:line="240" w:lineRule="auto"/>
              <w:rPr>
                <w:rFonts w:ascii="Times New Roman" w:hAnsi="Times New Roman" w:cs="Times New Roman"/>
                <w:sz w:val="19"/>
                <w:szCs w:val="19"/>
              </w:rPr>
            </w:pP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Ismertesse az irattári terv felépítését, az irattárak ergonómiai és műszaki feltételrendszerének kialakítási módjait.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Titkos ügyiratkezelés</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Sorolja fel a titokfajtákat, ismertesse az adatvédelmi törvény előírásait.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Ismertesse a minősített adatok kezelésének rendjét, fontosabb szabályait.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Ismertesse a személyi adatok védelmére vonatkozó előírásokat.</w:t>
            </w:r>
          </w:p>
          <w:p w:rsidR="004C2997" w:rsidRDefault="004C2997">
            <w:pPr>
              <w:autoSpaceDE w:val="0"/>
              <w:autoSpaceDN w:val="0"/>
              <w:adjustRightInd w:val="0"/>
              <w:spacing w:after="0" w:line="240" w:lineRule="auto"/>
              <w:rPr>
                <w:rFonts w:ascii="Times New Roman" w:hAnsi="Times New Roman" w:cs="Times New Roman"/>
                <w:sz w:val="19"/>
                <w:szCs w:val="19"/>
              </w:rPr>
            </w:pP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Sorolja fel az iratok minősítésére jogosultak körét, ismertesse a minősítési eljárást.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Elemezze a minősített iratok kezelésének módját, ismertesse a titkos ügykezelő feladatait, a titokvédelem felügyeletét.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Ismertesse a minősített adathordozók készítésére, nyilvántartásuk rendjére, sokszorosítására, őrzésére, a feleslegessé vált minősített adathordozók megsemmisítésére vonatkozó előírásokat.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Ügyfélfogadás</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Ismertesse az ügyfelek fogadásának szabályait, jellemezze a kulturált személyes, telefonon történő ügyintézést, tájékoztatást.</w:t>
            </w:r>
          </w:p>
          <w:p w:rsidR="004C2997" w:rsidRDefault="004C2997">
            <w:pPr>
              <w:autoSpaceDE w:val="0"/>
              <w:autoSpaceDN w:val="0"/>
              <w:adjustRightInd w:val="0"/>
              <w:spacing w:after="0" w:line="240" w:lineRule="auto"/>
              <w:rPr>
                <w:rFonts w:ascii="Times New Roman" w:hAnsi="Times New Roman" w:cs="Times New Roman"/>
                <w:sz w:val="19"/>
                <w:szCs w:val="19"/>
              </w:rPr>
            </w:pP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Iratok készítése</w:t>
            </w:r>
          </w:p>
        </w:tc>
        <w:tc>
          <w:tcPr>
            <w:tcW w:w="6209"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különböző ügyiratok előnyomott papíron történő kitöltésére, iratok (ügyiratok és levelek) önálló elkészítésére előírt formai és tartalmi követelményekkel.</w:t>
            </w:r>
          </w:p>
          <w:p w:rsidR="004C2997" w:rsidRDefault="004C2997">
            <w:pPr>
              <w:autoSpaceDE w:val="0"/>
              <w:autoSpaceDN w:val="0"/>
              <w:adjustRightInd w:val="0"/>
              <w:spacing w:after="0" w:line="240" w:lineRule="auto"/>
              <w:rPr>
                <w:rFonts w:ascii="Times New Roman" w:hAnsi="Times New Roman" w:cs="Times New Roman"/>
                <w:sz w:val="19"/>
                <w:szCs w:val="19"/>
              </w:rPr>
            </w:pPr>
          </w:p>
        </w:tc>
        <w:tc>
          <w:tcPr>
            <w:tcW w:w="5643"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Gépírás szövegszerkesztés</w:t>
            </w:r>
          </w:p>
        </w:tc>
        <w:tc>
          <w:tcPr>
            <w:tcW w:w="6209"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helyes test-, kar- és kéztartással összefüggő szövegek másolására írógépbetűs, nyomtatott, kézírással írott szövegről és diktálás után önálló szövegformázással és kiemelésekkel. Legyen képes 10 perc alatt 750 leütést max. 5 hibaponttal másolni. Tudjon körlevelet, borítékot, címkét készíteni számítógéppel. Tudjon körlevelet, borítékot, címkét készíteni számítógéppel.</w:t>
            </w:r>
          </w:p>
          <w:p w:rsidR="004C2997" w:rsidRDefault="004C2997">
            <w:pPr>
              <w:autoSpaceDE w:val="0"/>
              <w:autoSpaceDN w:val="0"/>
              <w:adjustRightInd w:val="0"/>
              <w:spacing w:after="0" w:line="240" w:lineRule="auto"/>
              <w:rPr>
                <w:rFonts w:ascii="Times New Roman" w:hAnsi="Times New Roman" w:cs="Times New Roman"/>
                <w:sz w:val="19"/>
                <w:szCs w:val="19"/>
              </w:rPr>
            </w:pPr>
          </w:p>
          <w:p w:rsidR="004C2997" w:rsidRDefault="004C2997">
            <w:pPr>
              <w:autoSpaceDE w:val="0"/>
              <w:autoSpaceDN w:val="0"/>
              <w:adjustRightInd w:val="0"/>
              <w:spacing w:after="0" w:line="240" w:lineRule="auto"/>
              <w:rPr>
                <w:rFonts w:ascii="Times New Roman" w:hAnsi="Times New Roman" w:cs="Times New Roman"/>
                <w:sz w:val="19"/>
                <w:szCs w:val="19"/>
              </w:rPr>
            </w:pPr>
          </w:p>
          <w:p w:rsidR="004C2997" w:rsidRDefault="004C2997">
            <w:pPr>
              <w:autoSpaceDE w:val="0"/>
              <w:autoSpaceDN w:val="0"/>
              <w:adjustRightInd w:val="0"/>
              <w:spacing w:after="0" w:line="240" w:lineRule="auto"/>
              <w:rPr>
                <w:rFonts w:ascii="Times New Roman" w:hAnsi="Times New Roman" w:cs="Times New Roman"/>
                <w:sz w:val="19"/>
                <w:szCs w:val="19"/>
              </w:rPr>
            </w:pPr>
          </w:p>
        </w:tc>
        <w:tc>
          <w:tcPr>
            <w:tcW w:w="5643" w:type="dxa"/>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rPr>
          <w:cantSplit/>
        </w:trPr>
        <w:tc>
          <w:tcPr>
            <w:tcW w:w="14007" w:type="dxa"/>
            <w:gridSpan w:val="3"/>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sz w:val="19"/>
                <w:szCs w:val="19"/>
              </w:rPr>
            </w:pPr>
            <w:r>
              <w:rPr>
                <w:rFonts w:ascii="Times New Roman" w:hAnsi="Times New Roman" w:cs="Times New Roman"/>
                <w:b/>
                <w:bCs/>
                <w:sz w:val="19"/>
                <w:szCs w:val="19"/>
              </w:rPr>
              <w:lastRenderedPageBreak/>
              <w:t>2. Pszichológiai, szociálpszichológiai alapismeretek</w:t>
            </w:r>
          </w:p>
        </w:tc>
      </w:tr>
      <w:tr w:rsidR="004C2997">
        <w:tblPrEx>
          <w:tblCellMar>
            <w:top w:w="0" w:type="dxa"/>
            <w:left w:w="0" w:type="dxa"/>
            <w:bottom w:w="0" w:type="dxa"/>
            <w:right w:w="0" w:type="dxa"/>
          </w:tblCellMar>
        </w:tblPrEx>
        <w:tc>
          <w:tcPr>
            <w:tcW w:w="2155"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pszichológia alapfogalmai</w:t>
            </w:r>
          </w:p>
        </w:tc>
        <w:tc>
          <w:tcPr>
            <w:tcW w:w="6209"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az alapvető általános és személyiség-lélektani alapfogalmakat, a lelki jelenségeket, megismerési folyamatokat.</w:t>
            </w:r>
          </w:p>
        </w:tc>
        <w:tc>
          <w:tcPr>
            <w:tcW w:w="5643"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Tudja megfigyelni és elemezni az egyéni és társas pszichológiai jelenségeket. Jellemezze a legfontosabb megismerő funkciókat (érzékelés, észlelés, figyelem, emlékezés, gondolkodás, képzelet), ismerje az azokra vonatkozó korszerű kutatási eredményeket.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Személyiséglélektan</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személyiség kialakulását és fejlődését meghatározó tényezőket.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Sorolja fel a szocializáció legfontosabb területeit, tudja megmagyarázni fejlődést befolyásoló szerepét.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Ismertesse az érett személyiség jegyeit, a személyiség belső stabilitásának feltételeit.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Fejlődéslélektan</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Tudja osztályozni az egyes lelki jelenségeket és személyiségdimenziókat, meghatározni az érés és a fejlődés törvényszerűségeit, ismertetni a szenzomotoros és kognitív fejlődés menetét.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szociális meghatározottságú személyiségjellemzőket, a szociális tanulás folyamatát, a szociális szerepeket.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beszéd és a kommunikáció</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Értékelje a verbális és nem verbális kommunikáció legfontosabb jellegzetességeit.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kommunikáció, tömegkommunikáció mai társadalomban betöltött szerepét és hatásait.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kongruens és inkongruens kommunikáció fogalmát, jellemzőit, a hitelességet.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Tudja megkülönböztetni és alkalmazni a kapcsolatteremtésben a köznapi és a hivatalos kommunikációt.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kóros kommunikációs zavarokat, a nyelvi kommunikáció hiányosságait, a kommunikációs gátakat és a kommunikációs zavarok leküzdésének módjait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társas érintkezés meghatározói</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az attitűdöket, a benyomás kialakítás és a benyomáskeltés jellemzőit, az attribúció – énattribúció, kommunikáció, szociabilitás, társas befolyásolás hatásait.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c>
          <w:tcPr>
            <w:tcW w:w="6209"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Legyen képes az egyéni és társas pszichológiai jelenségek szakszerű megfigyelésére.</w:t>
            </w:r>
          </w:p>
        </w:tc>
        <w:tc>
          <w:tcPr>
            <w:tcW w:w="5643"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társas alakzatok legfontosabb jellegzetességeit, a csoport vizsgálatának módszereit.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Lelki egészség és betegség</w:t>
            </w:r>
          </w:p>
        </w:tc>
        <w:tc>
          <w:tcPr>
            <w:tcW w:w="6209"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Értelmezze a testi és lelki egészséget, a normalitás és abnormalitás kulturális meghatározottságát.</w:t>
            </w:r>
          </w:p>
        </w:tc>
        <w:tc>
          <w:tcPr>
            <w:tcW w:w="5643"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19"/>
                <w:szCs w:val="19"/>
              </w:rPr>
            </w:pPr>
          </w:p>
        </w:tc>
        <w:tc>
          <w:tcPr>
            <w:tcW w:w="6209"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Sorolja fel a devianciák, az antiszociális viselkedés és lelki betegségek fajtáit, ismerje feltételezett hátterüket, a korrekció lehetséges módjait.</w:t>
            </w:r>
          </w:p>
        </w:tc>
        <w:tc>
          <w:tcPr>
            <w:tcW w:w="5643"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lelki egyensúly megtartása</w:t>
            </w:r>
          </w:p>
        </w:tc>
        <w:tc>
          <w:tcPr>
            <w:tcW w:w="6209"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 xml:space="preserve">Ismerje a mentálhigiénés alapfogalmakat, a stressz hatásait, a tűrőképesség fejlesztési módjait. </w:t>
            </w:r>
          </w:p>
        </w:tc>
        <w:tc>
          <w:tcPr>
            <w:tcW w:w="5643"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Tudjon önálló véleményt kialakítani pszichológiai kérdésekkel kapcsolatban</w:t>
            </w:r>
          </w:p>
        </w:tc>
      </w:tr>
      <w:tr w:rsidR="004C2997">
        <w:tblPrEx>
          <w:tblCellMar>
            <w:top w:w="0" w:type="dxa"/>
            <w:left w:w="0" w:type="dxa"/>
            <w:bottom w:w="0" w:type="dxa"/>
            <w:right w:w="0" w:type="dxa"/>
          </w:tblCellMar>
        </w:tblPrEx>
        <w:trPr>
          <w:cantSplit/>
        </w:trPr>
        <w:tc>
          <w:tcPr>
            <w:tcW w:w="14007" w:type="dxa"/>
            <w:gridSpan w:val="3"/>
            <w:tcBorders>
              <w:top w:val="single" w:sz="4" w:space="0" w:color="auto"/>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b/>
                <w:bCs/>
                <w:sz w:val="19"/>
                <w:szCs w:val="19"/>
              </w:rPr>
            </w:pPr>
            <w:r>
              <w:rPr>
                <w:rFonts w:ascii="Times New Roman" w:hAnsi="Times New Roman" w:cs="Times New Roman"/>
                <w:b/>
                <w:bCs/>
                <w:sz w:val="19"/>
                <w:szCs w:val="19"/>
              </w:rPr>
              <w:t>3. Társadalomismeret, életmód</w:t>
            </w:r>
          </w:p>
        </w:tc>
      </w:tr>
      <w:tr w:rsidR="004C2997">
        <w:tblPrEx>
          <w:tblCellMar>
            <w:top w:w="0" w:type="dxa"/>
            <w:left w:w="0" w:type="dxa"/>
            <w:bottom w:w="0" w:type="dxa"/>
            <w:right w:w="0" w:type="dxa"/>
          </w:tblCellMar>
        </w:tblPrEx>
        <w:tc>
          <w:tcPr>
            <w:tcW w:w="2155"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Társadalmi szabályok</w:t>
            </w:r>
          </w:p>
        </w:tc>
        <w:tc>
          <w:tcPr>
            <w:tcW w:w="6209"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társadalmi együttélés alapvető szabályait, eredetüket és rendeltetésüket, változásaikat meghatározó tényezőket.</w:t>
            </w:r>
          </w:p>
        </w:tc>
        <w:tc>
          <w:tcPr>
            <w:tcW w:w="5643" w:type="dxa"/>
            <w:tcBorders>
              <w:top w:val="single" w:sz="4" w:space="0" w:color="auto"/>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Elemezze a családi és közösségi élet erkölcsi és jogi dilemmáit.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Elemezze a szokás, a hagyomány, az illem, az erkölcs és a jog közötti viszonyt.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Elemezze a törvények és törvényhozók szerepét.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Közösségek</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 xml:space="preserve">Ismerje a jellemző társadalmi csoportokat a mai Magyarországon, a társadalmi rétegződés, a társadalmi egyenlőtlenségek újratermelődésére ható tényezőket, a </w:t>
            </w:r>
            <w:r>
              <w:rPr>
                <w:rFonts w:ascii="Times New Roman" w:hAnsi="Times New Roman" w:cs="Times New Roman"/>
                <w:sz w:val="19"/>
                <w:szCs w:val="19"/>
              </w:rPr>
              <w:lastRenderedPageBreak/>
              <w:t>társadalmi-területi egyenlőtlenségeket Magyarországon.</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magyarországi nemzeti és etnikai kisebbségek életmódjára jellemző hagyományokat, hiedelem- és hitvilágukat, ünnepeiket, vallási szokásaikat.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Társadalom</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Azonosítsa a társadalmi problémákat.</w:t>
            </w:r>
          </w:p>
        </w:tc>
        <w:tc>
          <w:tcPr>
            <w:tcW w:w="5643"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társadalmi mobilitás folyamatát és az arra ható tényezőket.</w:t>
            </w:r>
          </w:p>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Értelmezze a társadalmi esélyegyenlőtlenség okait és tényezőit.</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 xml:space="preserve">Az életmód átalakulásának </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Ismertesse a civilizációs és környezeti ártalmak jelentését, jelentőségét, a jellemző deviáns magatartásokat.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hatása a testi és lelki egészségre</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kábítószerekkel kapcsolatos fogalmakat, a kábítószer-fogyasztás helyzetét és fokozatait.</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19"/>
                <w:szCs w:val="19"/>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Tudja jellemezni a kábítószereket, felsorolni a drog hatása alatt álló személyek jellemzőit.</w:t>
            </w:r>
          </w:p>
        </w:tc>
        <w:tc>
          <w:tcPr>
            <w:tcW w:w="5643"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jog</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jogokat és kötelességeket, a szerepeket és konfliktusokat  a társadalomban.</w:t>
            </w:r>
          </w:p>
        </w:tc>
        <w:tc>
          <w:tcPr>
            <w:tcW w:w="5643"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A Magyar Honvédség és a rendészeti, rendvédelmi szervek</w:t>
            </w: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Magyarországon a Magyar Honvédség és a rendvédelmi, rendészeti szervek helyét és szerepét, feladatait a társadalomban.</w:t>
            </w:r>
          </w:p>
        </w:tc>
        <w:tc>
          <w:tcPr>
            <w:tcW w:w="5643"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az emberi jogok elismertetésének útjait, az állampolgári, az emberi jogok biztosítását a magyar alkotmányban.</w:t>
            </w:r>
          </w:p>
        </w:tc>
      </w:tr>
      <w:tr w:rsidR="004C2997">
        <w:tblPrEx>
          <w:tblCellMar>
            <w:top w:w="0" w:type="dxa"/>
            <w:left w:w="0" w:type="dxa"/>
            <w:bottom w:w="0" w:type="dxa"/>
            <w:right w:w="0" w:type="dxa"/>
          </w:tblCellMar>
        </w:tblPrEx>
        <w:tc>
          <w:tcPr>
            <w:tcW w:w="2155"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19"/>
                <w:szCs w:val="19"/>
              </w:rPr>
            </w:pPr>
          </w:p>
        </w:tc>
        <w:tc>
          <w:tcPr>
            <w:tcW w:w="6209" w:type="dxa"/>
            <w:tcBorders>
              <w:top w:val="nil"/>
              <w:left w:val="single" w:sz="4" w:space="0" w:color="auto"/>
              <w:bottom w:val="nil"/>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Nevezze meg a Magyar Honvédség, a rendészeti, rendvédelmi szervek tagjaival szembeni erkölcsi-etikai követelményeket.</w:t>
            </w:r>
          </w:p>
        </w:tc>
        <w:tc>
          <w:tcPr>
            <w:tcW w:w="5643" w:type="dxa"/>
            <w:tcBorders>
              <w:top w:val="nil"/>
              <w:left w:val="single" w:sz="4" w:space="0" w:color="auto"/>
              <w:bottom w:val="nil"/>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19"/>
                <w:szCs w:val="19"/>
              </w:rPr>
            </w:pPr>
          </w:p>
        </w:tc>
      </w:tr>
      <w:tr w:rsidR="004C2997">
        <w:tblPrEx>
          <w:tblCellMar>
            <w:top w:w="0" w:type="dxa"/>
            <w:left w:w="0" w:type="dxa"/>
            <w:bottom w:w="0" w:type="dxa"/>
            <w:right w:w="0" w:type="dxa"/>
          </w:tblCellMar>
        </w:tblPrEx>
        <w:tc>
          <w:tcPr>
            <w:tcW w:w="2155" w:type="dxa"/>
            <w:tcBorders>
              <w:top w:val="nil"/>
              <w:left w:val="single" w:sz="4" w:space="0" w:color="auto"/>
              <w:bottom w:val="single" w:sz="4" w:space="0" w:color="auto"/>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19"/>
                <w:szCs w:val="19"/>
              </w:rPr>
            </w:pPr>
          </w:p>
        </w:tc>
        <w:tc>
          <w:tcPr>
            <w:tcW w:w="6209" w:type="dxa"/>
            <w:tcBorders>
              <w:top w:val="nil"/>
              <w:left w:val="single" w:sz="4" w:space="0" w:color="auto"/>
              <w:bottom w:val="single" w:sz="4" w:space="0" w:color="auto"/>
              <w:right w:val="single" w:sz="4" w:space="0" w:color="auto"/>
            </w:tcBorders>
          </w:tcPr>
          <w:p w:rsidR="004C2997" w:rsidRDefault="004C2997">
            <w:pPr>
              <w:autoSpaceDE w:val="0"/>
              <w:autoSpaceDN w:val="0"/>
              <w:adjustRightInd w:val="0"/>
              <w:spacing w:after="0" w:line="240" w:lineRule="auto"/>
              <w:rPr>
                <w:rFonts w:ascii="Times New Roman" w:hAnsi="Times New Roman" w:cs="Times New Roman"/>
                <w:sz w:val="19"/>
                <w:szCs w:val="19"/>
              </w:rPr>
            </w:pPr>
            <w:r>
              <w:rPr>
                <w:rFonts w:ascii="Times New Roman" w:hAnsi="Times New Roman" w:cs="Times New Roman"/>
                <w:sz w:val="19"/>
                <w:szCs w:val="19"/>
              </w:rPr>
              <w:t>Ismerje a Magyar Honvédség, a rendészeti, rendvédelmi szervek működésére és feladatait meghatározó törvényi előírásokat.</w:t>
            </w:r>
          </w:p>
        </w:tc>
        <w:tc>
          <w:tcPr>
            <w:tcW w:w="5643" w:type="dxa"/>
            <w:tcBorders>
              <w:top w:val="nil"/>
              <w:left w:val="single" w:sz="4" w:space="0" w:color="auto"/>
              <w:bottom w:val="single" w:sz="4" w:space="0" w:color="auto"/>
              <w:right w:val="single" w:sz="4" w:space="0" w:color="auto"/>
            </w:tcBorders>
          </w:tcPr>
          <w:p w:rsidR="004C2997" w:rsidRDefault="004C2997">
            <w:pPr>
              <w:keepNext/>
              <w:autoSpaceDE w:val="0"/>
              <w:autoSpaceDN w:val="0"/>
              <w:adjustRightInd w:val="0"/>
              <w:spacing w:after="0" w:line="240" w:lineRule="auto"/>
              <w:rPr>
                <w:rFonts w:ascii="Times New Roman" w:hAnsi="Times New Roman" w:cs="Times New Roman"/>
                <w:sz w:val="19"/>
                <w:szCs w:val="19"/>
              </w:rPr>
            </w:pP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sectPr w:rsidR="004C2997">
          <w:type w:val="nextColumn"/>
          <w:pgSz w:w="16838" w:h="11906" w:orient="landscape"/>
          <w:pgMar w:top="1418" w:right="1701" w:bottom="1418" w:left="1134" w:header="708" w:footer="708" w:gutter="0"/>
          <w:cols w:space="708"/>
          <w:noEndnote/>
        </w:sectPr>
      </w:pP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MEZŐGAZDASÁGI ALAPISMERETEK </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mezőgazdasági alapismeretek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középszintű vizsga célja annak megállapítása, hogy a vizsgázó</w:t>
      </w:r>
    </w:p>
    <w:p w:rsidR="004C2997" w:rsidRDefault="004C2997" w:rsidP="004C2997">
      <w:pPr>
        <w:tabs>
          <w:tab w:val="left" w:pos="1776"/>
        </w:tabs>
        <w:autoSpaceDE w:val="0"/>
        <w:autoSpaceDN w:val="0"/>
        <w:adjustRightInd w:val="0"/>
        <w:spacing w:after="0" w:line="240" w:lineRule="auto"/>
        <w:ind w:left="177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mezőgazdasági termelésre vonatkozó olyan szakmai műveltséggel, amely lehetővé teszi a szakképző évfolyamok tananyagának elsajátítását,</w:t>
      </w:r>
    </w:p>
    <w:p w:rsidR="004C2997" w:rsidRDefault="004C2997" w:rsidP="004C2997">
      <w:pPr>
        <w:tabs>
          <w:tab w:val="left" w:pos="1776"/>
        </w:tabs>
        <w:autoSpaceDE w:val="0"/>
        <w:autoSpaceDN w:val="0"/>
        <w:adjustRightInd w:val="0"/>
        <w:spacing w:after="0" w:line="240" w:lineRule="auto"/>
        <w:ind w:left="177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hatékony szóbeli szakmai kommunikációra,</w:t>
      </w:r>
    </w:p>
    <w:p w:rsidR="004C2997" w:rsidRDefault="004C2997" w:rsidP="004C2997">
      <w:pPr>
        <w:tabs>
          <w:tab w:val="left" w:pos="1776"/>
        </w:tabs>
        <w:autoSpaceDE w:val="0"/>
        <w:autoSpaceDN w:val="0"/>
        <w:adjustRightInd w:val="0"/>
        <w:spacing w:after="0" w:line="240" w:lineRule="auto"/>
        <w:ind w:left="177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az önálló szakmai tanulás készségével,</w:t>
      </w:r>
    </w:p>
    <w:p w:rsidR="004C2997" w:rsidRDefault="004C2997" w:rsidP="004C2997">
      <w:pPr>
        <w:tabs>
          <w:tab w:val="left" w:pos="1776"/>
        </w:tabs>
        <w:autoSpaceDE w:val="0"/>
        <w:autoSpaceDN w:val="0"/>
        <w:adjustRightInd w:val="0"/>
        <w:spacing w:after="0" w:line="240" w:lineRule="auto"/>
        <w:ind w:left="177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mezőgazdasági termelés jelentőségét, főbb ágazatait,</w:t>
      </w:r>
    </w:p>
    <w:p w:rsidR="004C2997" w:rsidRDefault="004C2997" w:rsidP="004C2997">
      <w:pPr>
        <w:tabs>
          <w:tab w:val="left" w:pos="1776"/>
        </w:tabs>
        <w:autoSpaceDE w:val="0"/>
        <w:autoSpaceDN w:val="0"/>
        <w:adjustRightInd w:val="0"/>
        <w:spacing w:after="0" w:line="240" w:lineRule="auto"/>
        <w:ind w:left="177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tájékozott-e a környezet- és természetkímélő, anyag- és energiatakarékos mezőgazdasági termelésről,</w:t>
      </w:r>
    </w:p>
    <w:p w:rsidR="004C2997" w:rsidRDefault="004C2997" w:rsidP="004C2997">
      <w:pPr>
        <w:tabs>
          <w:tab w:val="left" w:pos="1776"/>
        </w:tabs>
        <w:autoSpaceDE w:val="0"/>
        <w:autoSpaceDN w:val="0"/>
        <w:adjustRightInd w:val="0"/>
        <w:spacing w:after="0" w:line="240" w:lineRule="auto"/>
        <w:ind w:left="177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mezőgazdasági termelés ökológiai tényezőit,</w:t>
      </w:r>
    </w:p>
    <w:p w:rsidR="004C2997" w:rsidRDefault="004C2997" w:rsidP="004C2997">
      <w:pPr>
        <w:tabs>
          <w:tab w:val="left" w:pos="1776"/>
        </w:tabs>
        <w:autoSpaceDE w:val="0"/>
        <w:autoSpaceDN w:val="0"/>
        <w:adjustRightInd w:val="0"/>
        <w:spacing w:after="0" w:line="240" w:lineRule="auto"/>
        <w:ind w:left="177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növényi és állati eredetű nyersanyagok előállításának alapjait,</w:t>
      </w:r>
    </w:p>
    <w:p w:rsidR="004C2997" w:rsidRDefault="004C2997" w:rsidP="004C2997">
      <w:pPr>
        <w:tabs>
          <w:tab w:val="left" w:pos="1776"/>
        </w:tabs>
        <w:autoSpaceDE w:val="0"/>
        <w:autoSpaceDN w:val="0"/>
        <w:adjustRightInd w:val="0"/>
        <w:spacing w:after="0" w:line="240" w:lineRule="auto"/>
        <w:ind w:left="177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alkalmas-e - műszaki alapismeretei alapján - a mezőgazdasági géptan elsajátítására,</w:t>
      </w:r>
    </w:p>
    <w:p w:rsidR="004C2997" w:rsidRDefault="004C2997" w:rsidP="004C2997">
      <w:pPr>
        <w:tabs>
          <w:tab w:val="left" w:pos="1776"/>
        </w:tabs>
        <w:autoSpaceDE w:val="0"/>
        <w:autoSpaceDN w:val="0"/>
        <w:adjustRightInd w:val="0"/>
        <w:spacing w:after="0" w:line="240" w:lineRule="auto"/>
        <w:ind w:left="177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 gazdálkodási ismeretei alapján – vállalkozási tevékenységre, majd – szakmai ismeretek birtokában – önálló mezőgazdasági vállalkozásra,</w:t>
      </w:r>
    </w:p>
    <w:p w:rsidR="004C2997" w:rsidRDefault="004C2997" w:rsidP="004C2997">
      <w:pPr>
        <w:tabs>
          <w:tab w:val="left" w:pos="1776"/>
        </w:tabs>
        <w:autoSpaceDE w:val="0"/>
        <w:autoSpaceDN w:val="0"/>
        <w:adjustRightInd w:val="0"/>
        <w:spacing w:after="0" w:line="240" w:lineRule="auto"/>
        <w:ind w:left="177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alkalmazotti munkavállaláshoz szükséges munkavállalói ismeretekkel.</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emelt szintű vizsga célja annak megállapítása, hogy a vizsgázó – a középszintű vizsga céljain túl –</w:t>
      </w:r>
    </w:p>
    <w:p w:rsidR="004C2997" w:rsidRDefault="004C2997" w:rsidP="004C2997">
      <w:pPr>
        <w:tabs>
          <w:tab w:val="left" w:pos="1776"/>
        </w:tabs>
        <w:autoSpaceDE w:val="0"/>
        <w:autoSpaceDN w:val="0"/>
        <w:adjustRightInd w:val="0"/>
        <w:spacing w:after="0" w:line="240" w:lineRule="auto"/>
        <w:ind w:left="177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a szakmai felsőfokú tanulmányokhoz szükséges mezőgazdasági alapismeretekkel,</w:t>
      </w:r>
    </w:p>
    <w:p w:rsidR="004C2997" w:rsidRDefault="004C2997" w:rsidP="004C2997">
      <w:pPr>
        <w:tabs>
          <w:tab w:val="left" w:pos="1776"/>
        </w:tabs>
        <w:autoSpaceDE w:val="0"/>
        <w:autoSpaceDN w:val="0"/>
        <w:adjustRightInd w:val="0"/>
        <w:spacing w:after="0" w:line="240" w:lineRule="auto"/>
        <w:ind w:left="177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felismerni az ismeretanyag belső összefüggéseit, az egyes témakörök közötti kapcsolatokat,</w:t>
      </w:r>
    </w:p>
    <w:p w:rsidR="004C2997" w:rsidRDefault="004C2997" w:rsidP="004C2997">
      <w:pPr>
        <w:tabs>
          <w:tab w:val="left" w:pos="1776"/>
        </w:tabs>
        <w:autoSpaceDE w:val="0"/>
        <w:autoSpaceDN w:val="0"/>
        <w:adjustRightInd w:val="0"/>
        <w:spacing w:after="0" w:line="240" w:lineRule="auto"/>
        <w:ind w:left="1776"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rendelkezik-e több témakör ismeretanyagának logikai összekapcsolását igénylő, összetett feladatok megoldásának képességével.</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vizsgakövetelmények</w:t>
      </w:r>
      <w:r>
        <w:rPr>
          <w:rFonts w:ascii="Times New Roman" w:hAnsi="Times New Roman" w:cs="Times New Roman"/>
          <w:b/>
          <w:bCs/>
          <w:i/>
          <w:iCs/>
          <w:sz w:val="20"/>
          <w:szCs w:val="20"/>
        </w:rPr>
        <w:t xml:space="preserve"> </w:t>
      </w:r>
      <w:r>
        <w:rPr>
          <w:rFonts w:ascii="Times New Roman" w:hAnsi="Times New Roman" w:cs="Times New Roman"/>
          <w:sz w:val="20"/>
          <w:szCs w:val="20"/>
        </w:rPr>
        <w:t>kötelező (1.,2.,3.,4.,5.) és választható (6., 7.) témakörökből állnak. A vizsgázónak a kötelező témakörök mellé egy választható témakört is választania kell.</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59"/>
        <w:gridCol w:w="3259"/>
        <w:gridCol w:w="3260"/>
      </w:tblGrid>
      <w:tr w:rsidR="004C2997">
        <w:tblPrEx>
          <w:tblCellMar>
            <w:top w:w="0" w:type="dxa"/>
            <w:bottom w:w="0" w:type="dxa"/>
          </w:tblCellMar>
        </w:tblPrEx>
        <w:trPr>
          <w:trHeight w:val="491"/>
        </w:trPr>
        <w:tc>
          <w:tcPr>
            <w:tcW w:w="3259" w:type="dxa"/>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tc>
        <w:tc>
          <w:tcPr>
            <w:tcW w:w="3259" w:type="dxa"/>
          </w:tcPr>
          <w:p w:rsidR="004C2997" w:rsidRDefault="004C2997">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középszinten</w:t>
            </w:r>
          </w:p>
        </w:tc>
        <w:tc>
          <w:tcPr>
            <w:tcW w:w="3259" w:type="dxa"/>
          </w:tcPr>
          <w:p w:rsidR="004C2997" w:rsidRDefault="004C2997">
            <w:pPr>
              <w:keepNext/>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 kiegészítése</w:t>
            </w:r>
          </w:p>
          <w:p w:rsidR="004C2997" w:rsidRDefault="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emelt szinten</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 A mezőgazdasági termelés jelentősége,</w:t>
            </w:r>
          </w:p>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főbb ágazatai</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59" w:type="dxa"/>
          </w:tcPr>
          <w:p w:rsidR="004C2997" w:rsidRDefault="004C2997">
            <w:pPr>
              <w:keepNext/>
              <w:autoSpaceDE w:val="0"/>
              <w:autoSpaceDN w:val="0"/>
              <w:adjustRightInd w:val="0"/>
              <w:spacing w:after="0" w:line="240" w:lineRule="auto"/>
              <w:rPr>
                <w:rFonts w:ascii="Times New Roman" w:hAnsi="Times New Roman" w:cs="Times New Roman"/>
                <w:b/>
                <w:bCs/>
                <w:sz w:val="20"/>
                <w:szCs w:val="20"/>
              </w:rPr>
            </w:pP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hazai mezőgazdasági termelés történetét, hagyományait, jelenét.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növénytermesztési, állattenyésztési,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kertészeti ágazatok összetételét, jelentőségét,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termesztett és tenyésztett fajokat.</w:t>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Elemezze egy adott év termelését.</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2. A mezőgazdasági termelés főbb ökológiai tényezői</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mezőgazdasági termelés környezete</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élettelen és élő környezeti tényezők szerepét.</w:t>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Nevezze meg az élettelen és az  élő tényezők okozta károk elleni védekezési lehetőségeket.</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Éghajlattani ismeretek</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éghajlatot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jellemző számértékeket.</w:t>
            </w:r>
            <w:r>
              <w:rPr>
                <w:rFonts w:ascii="Times New Roman" w:hAnsi="Times New Roman" w:cs="Times New Roman"/>
                <w:sz w:val="20"/>
                <w:szCs w:val="20"/>
              </w:rPr>
              <w:br/>
              <w:t>Jellemezze Magyarország éghajlati főkörzeteit.</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Értékelje adott termesztési körzet éghajlatát jellemző alapadatait.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Agrometeorológiai ismeretek</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Definiálja az agrometeorológia feladatát.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Értékelje az időjárási tényezők növények</w:t>
            </w:r>
            <w:r>
              <w:rPr>
                <w:rFonts w:ascii="Times New Roman" w:hAnsi="Times New Roman" w:cs="Times New Roman"/>
                <w:sz w:val="20"/>
                <w:szCs w:val="20"/>
              </w:rPr>
              <w:br/>
              <w:t>életében betöltött szerepét.</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növényfenológia és a kritikus időszak fogalmát.</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Talajtan</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talajok keletkezési folyamatát.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talajok fizikai, kémiai és biológiai tulajdonságait.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Osztályozza és jellemezze a hazai talajok fő típusait.</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talaj fontosabb ásványait.</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keepNext/>
              <w:autoSpaceDE w:val="0"/>
              <w:autoSpaceDN w:val="0"/>
              <w:adjustRightInd w:val="0"/>
              <w:spacing w:after="0" w:line="240" w:lineRule="auto"/>
              <w:rPr>
                <w:rFonts w:ascii="Times New Roman" w:hAnsi="Times New Roman" w:cs="Times New Roman"/>
                <w:sz w:val="20"/>
                <w:szCs w:val="20"/>
              </w:rPr>
            </w:pPr>
          </w:p>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Ábrázolja a fontosabb növényi tápanyagok körforgalmát.</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talajtérképeket.</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Talajjavítás és talajvédelem</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talajjavítás jelentőségét, módjait.</w:t>
            </w:r>
            <w:r>
              <w:rPr>
                <w:rFonts w:ascii="Times New Roman" w:hAnsi="Times New Roman" w:cs="Times New Roman"/>
                <w:sz w:val="20"/>
                <w:szCs w:val="20"/>
              </w:rPr>
              <w:tab/>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Jellemezze a talajpusztulás formáit és az azok elleni védekezés módszereit.</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Mutassa be a savanyú, szikes és a homoktalajok javítását.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talajszennyeződés forrásait és a talajvédelem lehetőségeit.</w:t>
            </w:r>
          </w:p>
        </w:tc>
      </w:tr>
      <w:tr w:rsidR="004C2997">
        <w:tblPrEx>
          <w:tblCellMar>
            <w:top w:w="0" w:type="dxa"/>
            <w:bottom w:w="0" w:type="dxa"/>
          </w:tblCellMar>
        </w:tblPrEx>
        <w:trPr>
          <w:cantSplit/>
        </w:trPr>
        <w:tc>
          <w:tcPr>
            <w:tcW w:w="9778" w:type="dxa"/>
            <w:gridSpan w:val="3"/>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3. Növénytermesztési alapismeretek</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Talajművelés, talajművelési rendszerek</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Különböztesse meg a talajművelési alapműveleteket, a talajművelő eszközök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munkáját.</w:t>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fontosabb talajművelési eljárásokat.</w:t>
            </w:r>
          </w:p>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Határozza meg a talajművelési eljárások megfelelő sorrendjét.</w:t>
            </w:r>
          </w:p>
          <w:p w:rsidR="004C2997" w:rsidRDefault="004C2997">
            <w:pPr>
              <w:keepNext/>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Talajhasználat</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vetésváltás fogalmát, feladatát, jellemzőit.</w:t>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vetésváltás összeállításának irányelveit, valamint a monokultúra jellemzőit.</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Tápanyag-utánpótlás</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tápanyag-utánpótlás jelentőségét.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Csoportosítsa és jellemezze szerves- és műtrágyákat.</w:t>
            </w:r>
            <w:r>
              <w:rPr>
                <w:rFonts w:ascii="Times New Roman" w:hAnsi="Times New Roman" w:cs="Times New Roman"/>
                <w:sz w:val="20"/>
                <w:szCs w:val="20"/>
              </w:rPr>
              <w:tab/>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 trágyaanyagok környezetkímélő felhasználását.</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Szaporítás</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 szántóföldi és a kertészeti növények generatív és fontosabb vegetatív szaporítási módjait. </w:t>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vetési időszakokat, a vetés módját, mélységét és a vetőmag mennyiségét meghatározó tényezőket.</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Növényápolás</w:t>
            </w:r>
            <w:r>
              <w:rPr>
                <w:rFonts w:ascii="Times New Roman" w:hAnsi="Times New Roman" w:cs="Times New Roman"/>
                <w:sz w:val="20"/>
                <w:szCs w:val="20"/>
              </w:rPr>
              <w:tab/>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szántóföldi és a kertészeti növények ápolásának fontosságát, csoportosítsa és nevezze meg a legfontosabb eljárásokat.</w:t>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Jellemezze a növényápolás fogalomkörébe</w:t>
            </w:r>
            <w:r>
              <w:rPr>
                <w:rFonts w:ascii="Times New Roman" w:hAnsi="Times New Roman" w:cs="Times New Roman"/>
                <w:sz w:val="20"/>
                <w:szCs w:val="20"/>
              </w:rPr>
              <w:br/>
              <w:t>tartozó eljárásokat.</w:t>
            </w:r>
          </w:p>
        </w:tc>
      </w:tr>
      <w:tr w:rsidR="004C2997">
        <w:tblPrEx>
          <w:tblCellMar>
            <w:top w:w="0" w:type="dxa"/>
            <w:bottom w:w="0" w:type="dxa"/>
          </w:tblCellMar>
        </w:tblPrEx>
        <w:trPr>
          <w:trHeight w:val="866"/>
        </w:trPr>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Betakarítás, tartósítás, tárolás</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legfontosabb gazdasági növényeink betakarítási módját.</w:t>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tartósítási, tárolási módokat.</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4. Műszaki alapismeretek</w:t>
            </w:r>
          </w:p>
          <w:p w:rsidR="004C2997" w:rsidRDefault="004C2997">
            <w:pPr>
              <w:autoSpaceDE w:val="0"/>
              <w:autoSpaceDN w:val="0"/>
              <w:adjustRightInd w:val="0"/>
              <w:spacing w:after="0" w:line="240" w:lineRule="auto"/>
              <w:rPr>
                <w:rFonts w:ascii="Times New Roman" w:hAnsi="Times New Roman" w:cs="Times New Roman"/>
                <w:b/>
                <w:bCs/>
                <w:sz w:val="20"/>
                <w:szCs w:val="20"/>
              </w:rPr>
            </w:pP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Anyagismeret</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mezőgazdaságban használt fémes és nemfémes anyagokat, valamint az alkalmazott üzem- és kenőanyagokat.</w:t>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Gépelemek</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mezőgazdasági erő- és munkagépeket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felépítő fontosabb gépelemek feladatát, felépítését.</w:t>
            </w:r>
            <w:r>
              <w:rPr>
                <w:rFonts w:ascii="Times New Roman" w:hAnsi="Times New Roman" w:cs="Times New Roman"/>
                <w:sz w:val="20"/>
                <w:szCs w:val="20"/>
              </w:rPr>
              <w:tab/>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értelmezni a műszaki rajzokat.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mozgást átalakító gépelemek működését.</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Belső égésű motorok</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Értse a belső égésű motorok működési elvét, ismerje a főbb szerkezeti elemeiket.</w:t>
            </w:r>
          </w:p>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59" w:type="dxa"/>
          </w:tcPr>
          <w:p w:rsidR="004C2997" w:rsidRDefault="004C2997">
            <w:pPr>
              <w:autoSpaceDE w:val="0"/>
              <w:autoSpaceDN w:val="0"/>
              <w:adjustRightInd w:val="0"/>
              <w:spacing w:after="0" w:line="240" w:lineRule="auto"/>
              <w:ind w:right="56"/>
              <w:rPr>
                <w:rFonts w:ascii="Times New Roman" w:hAnsi="Times New Roman" w:cs="Times New Roman"/>
                <w:sz w:val="20"/>
                <w:szCs w:val="20"/>
              </w:rPr>
            </w:pPr>
            <w:r>
              <w:rPr>
                <w:rFonts w:ascii="Times New Roman" w:hAnsi="Times New Roman" w:cs="Times New Roman"/>
                <w:sz w:val="20"/>
                <w:szCs w:val="20"/>
              </w:rPr>
              <w:t>Ismerje a motorok ellenőrzését és karbantartását.</w:t>
            </w:r>
          </w:p>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és hasonlítsa össze az energiahordozókat energiatakarékossági és környezetvédelmi szempontból.</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Mezőgazdasági erőgépek</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mezőgazdasági erőgépek főbb szerkezeti egységeit.</w:t>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5. Gazdálkodási ismeretek</w:t>
            </w:r>
          </w:p>
        </w:tc>
        <w:tc>
          <w:tcPr>
            <w:tcW w:w="3259" w:type="dxa"/>
          </w:tcPr>
          <w:p w:rsidR="004C2997" w:rsidRDefault="004C2997">
            <w:pPr>
              <w:autoSpaceDE w:val="0"/>
              <w:autoSpaceDN w:val="0"/>
              <w:adjustRightInd w:val="0"/>
              <w:spacing w:after="0" w:line="240" w:lineRule="auto"/>
              <w:rPr>
                <w:rFonts w:ascii="Times New Roman" w:hAnsi="Times New Roman" w:cs="Times New Roman"/>
                <w:i/>
                <w:iCs/>
                <w:sz w:val="20"/>
                <w:szCs w:val="20"/>
              </w:rPr>
            </w:pPr>
          </w:p>
        </w:tc>
        <w:tc>
          <w:tcPr>
            <w:tcW w:w="3259" w:type="dxa"/>
          </w:tcPr>
          <w:p w:rsidR="004C2997" w:rsidRDefault="004C2997">
            <w:pPr>
              <w:keepNext/>
              <w:autoSpaceDE w:val="0"/>
              <w:autoSpaceDN w:val="0"/>
              <w:adjustRightInd w:val="0"/>
              <w:spacing w:after="0" w:line="240" w:lineRule="auto"/>
              <w:rPr>
                <w:rFonts w:ascii="Times New Roman" w:hAnsi="Times New Roman" w:cs="Times New Roman"/>
                <w:i/>
                <w:iCs/>
                <w:sz w:val="20"/>
                <w:szCs w:val="20"/>
              </w:rPr>
            </w:pP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vállalkozás alapjai</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üzleti vállalkozások formáit,</w:t>
            </w:r>
            <w:r>
              <w:rPr>
                <w:rFonts w:ascii="Times New Roman" w:hAnsi="Times New Roman" w:cs="Times New Roman"/>
                <w:sz w:val="20"/>
                <w:szCs w:val="20"/>
              </w:rPr>
              <w:br/>
              <w:t>az alapítás feltételeit, megszüntetésének módjait, valamint az alkalmazotti munkaviszonnyal kapcsolatos szabályokat, előírásokat.</w:t>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mezőgazdasági</w:t>
            </w:r>
          </w:p>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vállalkozásokban folyó jövedelemtermelési folyamatot.</w:t>
            </w:r>
          </w:p>
          <w:p w:rsidR="004C2997" w:rsidRDefault="004C2997">
            <w:pPr>
              <w:keepNext/>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gazdálkodás feltételei</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Csoportosítsa a mezőgazdasági </w:t>
            </w:r>
            <w:r>
              <w:rPr>
                <w:rFonts w:ascii="Times New Roman" w:hAnsi="Times New Roman" w:cs="Times New Roman"/>
                <w:sz w:val="20"/>
                <w:szCs w:val="20"/>
              </w:rPr>
              <w:lastRenderedPageBreak/>
              <w:t>termelés erőforrásait.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Értelmezze a termelés és a piac összefüggéseit, a marketingszemléletet.</w:t>
            </w:r>
            <w:r>
              <w:rPr>
                <w:rFonts w:ascii="Times New Roman" w:hAnsi="Times New Roman" w:cs="Times New Roman"/>
                <w:sz w:val="20"/>
                <w:szCs w:val="20"/>
              </w:rPr>
              <w:tab/>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Ismerje a mezőgazdasági termelés </w:t>
            </w:r>
            <w:r>
              <w:rPr>
                <w:rFonts w:ascii="Times New Roman" w:hAnsi="Times New Roman" w:cs="Times New Roman"/>
                <w:sz w:val="20"/>
                <w:szCs w:val="20"/>
              </w:rPr>
              <w:lastRenderedPageBreak/>
              <w:t>támogatási módjait.</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gazdálkodás eredménye</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ráfordítás, hozam, költség, önköltség, árbevétel, jövedelem fogalmát.</w:t>
            </w:r>
            <w:r>
              <w:rPr>
                <w:rFonts w:ascii="Times New Roman" w:hAnsi="Times New Roman" w:cs="Times New Roman"/>
                <w:sz w:val="20"/>
                <w:szCs w:val="20"/>
              </w:rPr>
              <w:tab/>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Számítson önköltséget. Elemezze a költségek összetevőit és a jövedelem növelésének lehetőségeit.</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6. Állattenyésztési alapismeretek</w:t>
            </w:r>
          </w:p>
        </w:tc>
        <w:tc>
          <w:tcPr>
            <w:tcW w:w="3259"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p>
        </w:tc>
        <w:tc>
          <w:tcPr>
            <w:tcW w:w="3259"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állattenyésztés élettani alapjai</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Nevezze meg a testtájakat.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Ismertesse az egyes fajok emésztőkészülékének faji sajátosságait.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Jellemezze a hím- és a női ivarszervek felépítését, működését.</w:t>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tejtermelés élettanát.</w:t>
            </w: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állattenyésztés alapfogalmai</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az állatok tenyésztésével és </w:t>
            </w:r>
            <w:r>
              <w:rPr>
                <w:rFonts w:ascii="Times New Roman" w:hAnsi="Times New Roman" w:cs="Times New Roman"/>
                <w:sz w:val="20"/>
                <w:szCs w:val="20"/>
              </w:rPr>
              <w:br/>
              <w:t>rendszerezésével kapcsolatos alapfogalmakat.</w:t>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Értékmérő tulajdonságok</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Definiálja a külső és belső értékmérő tulajdonságokat. </w:t>
            </w:r>
            <w:r>
              <w:rPr>
                <w:rFonts w:ascii="Times New Roman" w:hAnsi="Times New Roman" w:cs="Times New Roman"/>
                <w:sz w:val="20"/>
                <w:szCs w:val="20"/>
              </w:rPr>
              <w:tab/>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Számítsa ki az egyes értékmérő tulajdonságok mutatóit.</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tenyésztés folyamata</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tenyészcél kitűzésének, a fajta, típus megválasztásának szempontjait.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Különböztesse meg és ábrázolja a tenyésztési eljárásokat.</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törzskönyvezés folyamatát.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állattenyésztésben alkalmazott tenyészkiválasztás és tenyészértékbecslés (TÉB) módszereit.</w:t>
            </w:r>
            <w:r>
              <w:rPr>
                <w:rFonts w:ascii="Times New Roman" w:hAnsi="Times New Roman" w:cs="Times New Roman"/>
                <w:sz w:val="20"/>
                <w:szCs w:val="20"/>
              </w:rPr>
              <w:br/>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Szaporítás</w:t>
            </w:r>
          </w:p>
        </w:tc>
        <w:tc>
          <w:tcPr>
            <w:tcW w:w="3259" w:type="dxa"/>
          </w:tcPr>
          <w:p w:rsidR="004C2997" w:rsidRDefault="004C2997">
            <w:pPr>
              <w:autoSpaceDE w:val="0"/>
              <w:autoSpaceDN w:val="0"/>
              <w:adjustRightInd w:val="0"/>
              <w:spacing w:after="0" w:line="240" w:lineRule="auto"/>
              <w:ind w:left="33"/>
              <w:rPr>
                <w:rFonts w:ascii="Times New Roman" w:hAnsi="Times New Roman" w:cs="Times New Roman"/>
                <w:sz w:val="20"/>
                <w:szCs w:val="20"/>
              </w:rPr>
            </w:pPr>
            <w:r>
              <w:rPr>
                <w:rFonts w:ascii="Times New Roman" w:hAnsi="Times New Roman" w:cs="Times New Roman"/>
                <w:sz w:val="20"/>
                <w:szCs w:val="20"/>
              </w:rPr>
              <w:t>Ismerje a gazdasági állatok szaporításának alapjait, fontosabb fogalmait.</w:t>
            </w:r>
          </w:p>
          <w:p w:rsidR="004C2997" w:rsidRDefault="004C2997">
            <w:pPr>
              <w:autoSpaceDE w:val="0"/>
              <w:autoSpaceDN w:val="0"/>
              <w:adjustRightInd w:val="0"/>
              <w:spacing w:after="0" w:line="240" w:lineRule="auto"/>
              <w:ind w:left="33"/>
              <w:rPr>
                <w:rFonts w:ascii="Times New Roman" w:hAnsi="Times New Roman" w:cs="Times New Roman"/>
                <w:sz w:val="20"/>
                <w:szCs w:val="20"/>
              </w:rPr>
            </w:pPr>
            <w:r>
              <w:rPr>
                <w:rFonts w:ascii="Times New Roman" w:hAnsi="Times New Roman" w:cs="Times New Roman"/>
                <w:sz w:val="20"/>
                <w:szCs w:val="20"/>
              </w:rPr>
              <w:t>Ismerje az ivarzás tüneteit és a vemhesség jeleit.</w:t>
            </w:r>
          </w:p>
          <w:p w:rsidR="004C2997" w:rsidRDefault="004C2997">
            <w:pPr>
              <w:autoSpaceDE w:val="0"/>
              <w:autoSpaceDN w:val="0"/>
              <w:adjustRightInd w:val="0"/>
              <w:spacing w:after="0" w:line="240" w:lineRule="auto"/>
              <w:ind w:left="33"/>
              <w:rPr>
                <w:rFonts w:ascii="Times New Roman" w:hAnsi="Times New Roman" w:cs="Times New Roman"/>
                <w:sz w:val="20"/>
                <w:szCs w:val="20"/>
              </w:rPr>
            </w:pPr>
            <w:r>
              <w:rPr>
                <w:rFonts w:ascii="Times New Roman" w:hAnsi="Times New Roman" w:cs="Times New Roman"/>
                <w:sz w:val="20"/>
                <w:szCs w:val="20"/>
              </w:rPr>
              <w:t>Csoportosítsa a termékenyítés módszereit.</w:t>
            </w:r>
          </w:p>
          <w:p w:rsidR="004C2997" w:rsidRDefault="004C2997">
            <w:pPr>
              <w:autoSpaceDE w:val="0"/>
              <w:autoSpaceDN w:val="0"/>
              <w:adjustRightInd w:val="0"/>
              <w:spacing w:after="0" w:line="240" w:lineRule="auto"/>
              <w:ind w:left="33"/>
              <w:rPr>
                <w:rFonts w:ascii="Times New Roman" w:hAnsi="Times New Roman" w:cs="Times New Roman"/>
                <w:sz w:val="20"/>
                <w:szCs w:val="20"/>
              </w:rPr>
            </w:pPr>
            <w:r>
              <w:rPr>
                <w:rFonts w:ascii="Times New Roman" w:hAnsi="Times New Roman" w:cs="Times New Roman"/>
                <w:sz w:val="20"/>
                <w:szCs w:val="20"/>
              </w:rPr>
              <w:t>Sorolja fel az ellés szakaszait.</w:t>
            </w:r>
          </w:p>
          <w:p w:rsidR="004C2997" w:rsidRDefault="004C2997">
            <w:pPr>
              <w:autoSpaceDE w:val="0"/>
              <w:autoSpaceDN w:val="0"/>
              <w:adjustRightInd w:val="0"/>
              <w:spacing w:after="0" w:line="240" w:lineRule="auto"/>
              <w:ind w:left="33"/>
              <w:rPr>
                <w:rFonts w:ascii="Times New Roman" w:hAnsi="Times New Roman" w:cs="Times New Roman"/>
                <w:sz w:val="20"/>
                <w:szCs w:val="20"/>
              </w:rPr>
            </w:pPr>
            <w:r>
              <w:rPr>
                <w:rFonts w:ascii="Times New Roman" w:hAnsi="Times New Roman" w:cs="Times New Roman"/>
                <w:sz w:val="20"/>
                <w:szCs w:val="20"/>
              </w:rPr>
              <w:t>Ismerje az ellésre/fialásra történő előkészületeket.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az újszülött és az anya ápolásának feladatait. </w:t>
            </w:r>
          </w:p>
        </w:tc>
        <w:tc>
          <w:tcPr>
            <w:tcW w:w="3259" w:type="dxa"/>
          </w:tcPr>
          <w:p w:rsidR="004C2997" w:rsidRDefault="004C2997">
            <w:pPr>
              <w:autoSpaceDE w:val="0"/>
              <w:autoSpaceDN w:val="0"/>
              <w:adjustRightInd w:val="0"/>
              <w:spacing w:after="0" w:line="240" w:lineRule="auto"/>
              <w:ind w:left="33"/>
              <w:rPr>
                <w:rFonts w:ascii="Times New Roman" w:hAnsi="Times New Roman" w:cs="Times New Roman"/>
                <w:sz w:val="20"/>
                <w:szCs w:val="20"/>
              </w:rPr>
            </w:pPr>
            <w:r>
              <w:rPr>
                <w:rFonts w:ascii="Times New Roman" w:hAnsi="Times New Roman" w:cs="Times New Roman"/>
                <w:sz w:val="20"/>
                <w:szCs w:val="20"/>
              </w:rPr>
              <w:t>Jellemezze a termékenyítés módszereit.</w:t>
            </w:r>
          </w:p>
          <w:p w:rsidR="004C2997" w:rsidRDefault="004C2997">
            <w:pPr>
              <w:autoSpaceDE w:val="0"/>
              <w:autoSpaceDN w:val="0"/>
              <w:adjustRightInd w:val="0"/>
              <w:spacing w:after="0" w:line="240" w:lineRule="auto"/>
              <w:ind w:left="33"/>
              <w:rPr>
                <w:rFonts w:ascii="Times New Roman" w:hAnsi="Times New Roman" w:cs="Times New Roman"/>
                <w:sz w:val="20"/>
                <w:szCs w:val="20"/>
              </w:rPr>
            </w:pPr>
            <w:r>
              <w:rPr>
                <w:rFonts w:ascii="Times New Roman" w:hAnsi="Times New Roman" w:cs="Times New Roman"/>
                <w:sz w:val="20"/>
                <w:szCs w:val="20"/>
              </w:rPr>
              <w:t>Jellemezze az ellés szakaszait.</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Elhelyezés, ápolás</w:t>
            </w:r>
          </w:p>
        </w:tc>
        <w:tc>
          <w:tcPr>
            <w:tcW w:w="3259" w:type="dxa"/>
          </w:tcPr>
          <w:p w:rsidR="004C2997" w:rsidRDefault="004C2997">
            <w:pPr>
              <w:autoSpaceDE w:val="0"/>
              <w:autoSpaceDN w:val="0"/>
              <w:adjustRightInd w:val="0"/>
              <w:spacing w:after="0" w:line="240" w:lineRule="auto"/>
              <w:ind w:left="33"/>
              <w:rPr>
                <w:rFonts w:ascii="Times New Roman" w:hAnsi="Times New Roman" w:cs="Times New Roman"/>
                <w:sz w:val="20"/>
                <w:szCs w:val="20"/>
              </w:rPr>
            </w:pPr>
            <w:r>
              <w:rPr>
                <w:rFonts w:ascii="Times New Roman" w:hAnsi="Times New Roman" w:cs="Times New Roman"/>
                <w:sz w:val="20"/>
                <w:szCs w:val="20"/>
              </w:rPr>
              <w:t>Ismerje gazdasági állataink jellemző elhelyezési formáit és ápolását.</w:t>
            </w:r>
          </w:p>
        </w:tc>
        <w:tc>
          <w:tcPr>
            <w:tcW w:w="3259" w:type="dxa"/>
          </w:tcPr>
          <w:p w:rsidR="004C2997" w:rsidRDefault="004C2997">
            <w:pPr>
              <w:autoSpaceDE w:val="0"/>
              <w:autoSpaceDN w:val="0"/>
              <w:adjustRightInd w:val="0"/>
              <w:spacing w:after="0" w:line="240" w:lineRule="auto"/>
              <w:ind w:left="33"/>
              <w:rPr>
                <w:rFonts w:ascii="Times New Roman" w:hAnsi="Times New Roman" w:cs="Times New Roman"/>
                <w:sz w:val="20"/>
                <w:szCs w:val="20"/>
              </w:rPr>
            </w:pPr>
            <w:r>
              <w:rPr>
                <w:rFonts w:ascii="Times New Roman" w:hAnsi="Times New Roman" w:cs="Times New Roman"/>
                <w:sz w:val="20"/>
                <w:szCs w:val="20"/>
              </w:rPr>
              <w:t>Elemezze a hasznosítási irány és az elhelyezés módja közötti összefüggéseket.</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7. Kertészeti alapismeretek</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Kertészeti növények felépítése, életjelenségei, rendszertana, védelme</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kertészeti növények felépítését.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kertészeti növények fejlődését, szaporítását.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kertészeti növények rendszertanát.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legfontosabb növényeket károsító élő szervezetek életfeltételeit, károsításukat.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növényvédelmi módokat és a környezetvédelem szerepét a növényvédelemben.</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kertészeti növények szöveteinek, szerveinek felhasználási területeit.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kertészeti növények legfontosabb kórokozóit, kártevőit, valamint gyomnövényeit.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növényvédő szerek felhasználásának óvórendszabályait és a környezetre gyakorolt hatásait.</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kertészeti termesztés tárgyi feltételei</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 kertészeti termesztésben előforduló termesztő-berendezéseket, kiegészítő építményeket, termesztőedényeket, kertészeti szerszámokat. </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Felhasználásuk alapján elemezze a kertészeti termesztésben előforduló termesztő-berendezéseket.</w:t>
            </w:r>
          </w:p>
          <w:p w:rsidR="004C2997" w:rsidRDefault="004C2997">
            <w:pPr>
              <w:keepNext/>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Gyümölcstermesztési alapismeretek</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gyümölcstermesztés történetét, jelentőségét, jelenlegi helyzetét.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 gyümölcstermő növények szaporítási módjait, botanikai </w:t>
            </w:r>
            <w:r>
              <w:rPr>
                <w:rFonts w:ascii="Times New Roman" w:hAnsi="Times New Roman" w:cs="Times New Roman"/>
                <w:sz w:val="20"/>
                <w:szCs w:val="20"/>
              </w:rPr>
              <w:lastRenderedPageBreak/>
              <w:t>felépítését, ökológiai igényeit és a termesztés általános folyamatait.</w:t>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Ismerje a termesztett fajokat és azok csoportosítását, termőtájait.</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Szőlőtermesztési alapismeretek</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szőlőtermesztés történetét, jelentőségét, jelenlegi helyzetét.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szőlő szaporítási módjait, botanikai felépítését, ökológiai igényeit és a termesztés általános folyamatait.</w:t>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fajtacsoportokat, a fontosabb fajtákat, valamint a borvidékek kialakulása és a szőlő ökológiai igényei közötti összefüggéseket.</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Zöldségtermesztési alapismeretek</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zöldségtermesztés történetét, jelentőségét, jelenlegi helyzetét.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zöldségnövények szaporítási módjait, botanikai felépítését, ökológiai igényeit és a termesztés általános folyamatait.</w:t>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termesztett fajokat és azok csoportosítását.</w:t>
            </w:r>
          </w:p>
        </w:tc>
      </w:tr>
      <w:tr w:rsidR="004C2997">
        <w:tblPrEx>
          <w:tblCellMar>
            <w:top w:w="0" w:type="dxa"/>
            <w:bottom w:w="0" w:type="dxa"/>
          </w:tblCellMar>
        </w:tblPrEx>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Dísznövény-termesztési alapismeretek</w:t>
            </w:r>
          </w:p>
        </w:tc>
        <w:tc>
          <w:tcPr>
            <w:tcW w:w="325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dísznövénytermesztés történetét, jelentőségét, jelenlegi helyzetét.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dísznövények szaporítási módjait, botanikai felépítését, ökológiai igényeit és a termesztés általános folyamatait.</w:t>
            </w:r>
          </w:p>
        </w:tc>
        <w:tc>
          <w:tcPr>
            <w:tcW w:w="3259" w:type="dxa"/>
          </w:tcPr>
          <w:p w:rsidR="004C2997" w:rsidRDefault="004C2997">
            <w:pPr>
              <w:keepNext/>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legjelentősebb termesztett fajokat és azok csoportosítását.</w:t>
            </w: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pageBreakBefore/>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ÉLELMISZER-IPARI ALAPISMERETEK</w:t>
      </w:r>
    </w:p>
    <w:p w:rsidR="004C2997" w:rsidRDefault="004C2997" w:rsidP="004C2997">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ÉRETTSÉGI VIZSGA ÁLTALÁNOS KÖVETELMÉNYEI</w:t>
      </w:r>
    </w:p>
    <w:p w:rsidR="004C2997" w:rsidRDefault="004C2997" w:rsidP="004C2997">
      <w:pPr>
        <w:autoSpaceDE w:val="0"/>
        <w:autoSpaceDN w:val="0"/>
        <w:adjustRightInd w:val="0"/>
        <w:spacing w:after="0" w:line="240" w:lineRule="auto"/>
        <w:jc w:val="center"/>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tabs>
          <w:tab w:val="left" w:pos="567"/>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Középszinten: írásbeli és szóbeli.</w:t>
      </w:r>
    </w:p>
    <w:p w:rsidR="004C2997" w:rsidRDefault="004C2997" w:rsidP="004C2997">
      <w:pPr>
        <w:tabs>
          <w:tab w:val="left" w:pos="567"/>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Emelt szinten: írásbeli és szóbeli.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 élelmiszeripari alapismeret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középszintű vizsga célja annak megállapítása, hogy a vizsgázó</w:t>
      </w:r>
    </w:p>
    <w:p w:rsidR="004C2997" w:rsidRDefault="004C2997" w:rsidP="004C2997">
      <w:pPr>
        <w:tabs>
          <w:tab w:val="left" w:pos="426"/>
        </w:tabs>
        <w:autoSpaceDE w:val="0"/>
        <w:autoSpaceDN w:val="0"/>
        <w:adjustRightInd w:val="0"/>
        <w:spacing w:after="0" w:line="240" w:lineRule="auto"/>
        <w:ind w:left="426" w:hanging="24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w:t>
      </w:r>
    </w:p>
    <w:p w:rsidR="004C2997" w:rsidRDefault="004C2997" w:rsidP="004C2997">
      <w:pPr>
        <w:tabs>
          <w:tab w:val="left" w:pos="720"/>
          <w:tab w:val="left" w:pos="21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élelmiszeripari iparágak csoportjait,</w:t>
      </w:r>
    </w:p>
    <w:p w:rsidR="004C2997" w:rsidRDefault="004C2997" w:rsidP="004C2997">
      <w:pPr>
        <w:tabs>
          <w:tab w:val="left" w:pos="720"/>
          <w:tab w:val="left" w:pos="21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növényi és állati eredetű nyersanyagokat,</w:t>
      </w:r>
    </w:p>
    <w:p w:rsidR="004C2997" w:rsidRDefault="004C2997" w:rsidP="004C2997">
      <w:pPr>
        <w:tabs>
          <w:tab w:val="left" w:pos="720"/>
          <w:tab w:val="left" w:pos="21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élelmiszeriparban előállított termékeket,</w:t>
      </w:r>
    </w:p>
    <w:p w:rsidR="004C2997" w:rsidRDefault="004C2997" w:rsidP="004C2997">
      <w:pPr>
        <w:tabs>
          <w:tab w:val="left" w:pos="720"/>
          <w:tab w:val="left" w:pos="21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alap, adalék és segédanyagokat,</w:t>
      </w:r>
    </w:p>
    <w:p w:rsidR="004C2997" w:rsidRDefault="004C2997" w:rsidP="004C2997">
      <w:pPr>
        <w:tabs>
          <w:tab w:val="left" w:pos="720"/>
          <w:tab w:val="left" w:pos="21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ivóvizet,</w:t>
      </w:r>
    </w:p>
    <w:p w:rsidR="004C2997" w:rsidRDefault="004C2997" w:rsidP="004C2997">
      <w:pPr>
        <w:tabs>
          <w:tab w:val="left" w:pos="720"/>
          <w:tab w:val="left" w:pos="21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tápanyagokat és élelmiszeripari adalékokat,</w:t>
      </w:r>
    </w:p>
    <w:p w:rsidR="004C2997" w:rsidRDefault="004C2997" w:rsidP="004C2997">
      <w:pPr>
        <w:tabs>
          <w:tab w:val="left" w:pos="720"/>
          <w:tab w:val="left" w:pos="21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környezet és környezetvédelem fogalmát és fajtáit,</w:t>
      </w:r>
    </w:p>
    <w:p w:rsidR="004C2997" w:rsidRDefault="004C2997" w:rsidP="004C2997">
      <w:pPr>
        <w:tabs>
          <w:tab w:val="left" w:pos="720"/>
          <w:tab w:val="left" w:pos="21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áramló közeg jellemzőit és törvényeit,</w:t>
      </w:r>
    </w:p>
    <w:p w:rsidR="004C2997" w:rsidRDefault="004C2997" w:rsidP="004C2997">
      <w:pPr>
        <w:tabs>
          <w:tab w:val="left" w:pos="720"/>
          <w:tab w:val="left" w:pos="2127"/>
          <w:tab w:val="left" w:pos="2307"/>
        </w:tabs>
        <w:autoSpaceDE w:val="0"/>
        <w:autoSpaceDN w:val="0"/>
        <w:adjustRightInd w:val="0"/>
        <w:spacing w:after="0" w:line="240" w:lineRule="auto"/>
        <w:ind w:left="2160" w:hanging="459"/>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folyadékok szállítására alkalmas berendezéseket,</w:t>
      </w:r>
    </w:p>
    <w:p w:rsidR="004C2997" w:rsidRDefault="004C2997" w:rsidP="004C2997">
      <w:pPr>
        <w:tabs>
          <w:tab w:val="left" w:pos="720"/>
          <w:tab w:val="left" w:pos="2127"/>
          <w:tab w:val="left" w:pos="2307"/>
        </w:tabs>
        <w:autoSpaceDE w:val="0"/>
        <w:autoSpaceDN w:val="0"/>
        <w:adjustRightInd w:val="0"/>
        <w:spacing w:after="0" w:line="240" w:lineRule="auto"/>
        <w:ind w:left="2160" w:hanging="459"/>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szétválasztó és homogenizáló műveleteket és berendezéseiket,</w:t>
      </w:r>
    </w:p>
    <w:p w:rsidR="004C2997" w:rsidRDefault="004C2997" w:rsidP="004C2997">
      <w:pPr>
        <w:tabs>
          <w:tab w:val="left" w:pos="720"/>
          <w:tab w:val="left" w:pos="2160"/>
        </w:tabs>
        <w:autoSpaceDE w:val="0"/>
        <w:autoSpaceDN w:val="0"/>
        <w:adjustRightInd w:val="0"/>
        <w:spacing w:after="0" w:line="240" w:lineRule="auto"/>
        <w:ind w:left="2160" w:hanging="459"/>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szemcsés anyagokkal végzett műveleteket és a műveletek végzéséhez szükséges berendezéseket,</w:t>
      </w:r>
    </w:p>
    <w:p w:rsidR="004C2997" w:rsidRDefault="004C2997" w:rsidP="004C2997">
      <w:pPr>
        <w:tabs>
          <w:tab w:val="left" w:pos="720"/>
          <w:tab w:val="left" w:pos="2127"/>
          <w:tab w:val="left" w:pos="2307"/>
        </w:tabs>
        <w:autoSpaceDE w:val="0"/>
        <w:autoSpaceDN w:val="0"/>
        <w:adjustRightInd w:val="0"/>
        <w:spacing w:after="0" w:line="240" w:lineRule="auto"/>
        <w:ind w:left="2160" w:hanging="459"/>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hőtani alapfogalmakat és műveleteket,</w:t>
      </w:r>
    </w:p>
    <w:p w:rsidR="004C2997" w:rsidRDefault="004C2997" w:rsidP="004C2997">
      <w:pPr>
        <w:tabs>
          <w:tab w:val="left" w:pos="720"/>
          <w:tab w:val="left" w:pos="2127"/>
          <w:tab w:val="left" w:pos="2307"/>
        </w:tabs>
        <w:autoSpaceDE w:val="0"/>
        <w:autoSpaceDN w:val="0"/>
        <w:adjustRightInd w:val="0"/>
        <w:spacing w:after="0" w:line="240" w:lineRule="auto"/>
        <w:ind w:left="2160" w:hanging="459"/>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anyagátadási műveleteket.</w:t>
      </w:r>
    </w:p>
    <w:p w:rsidR="004C2997" w:rsidRDefault="004C2997" w:rsidP="004C2997">
      <w:pPr>
        <w:autoSpaceDE w:val="0"/>
        <w:autoSpaceDN w:val="0"/>
        <w:adjustRightInd w:val="0"/>
        <w:spacing w:after="0" w:line="240" w:lineRule="auto"/>
        <w:ind w:left="1701"/>
        <w:jc w:val="both"/>
        <w:rPr>
          <w:rFonts w:ascii="Times New Roman" w:hAnsi="Times New Roman" w:cs="Times New Roman"/>
          <w:sz w:val="20"/>
          <w:szCs w:val="20"/>
        </w:rPr>
      </w:pPr>
    </w:p>
    <w:p w:rsidR="004C2997" w:rsidRDefault="004C2997" w:rsidP="004C2997">
      <w:pPr>
        <w:tabs>
          <w:tab w:val="left" w:pos="426"/>
        </w:tabs>
        <w:autoSpaceDE w:val="0"/>
        <w:autoSpaceDN w:val="0"/>
        <w:adjustRightInd w:val="0"/>
        <w:spacing w:after="0" w:line="240" w:lineRule="auto"/>
        <w:ind w:left="426" w:hanging="24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meg tudja- e határozni:</w:t>
      </w:r>
    </w:p>
    <w:p w:rsidR="004C2997" w:rsidRDefault="004C2997" w:rsidP="004C2997">
      <w:pPr>
        <w:tabs>
          <w:tab w:val="left" w:pos="2127"/>
        </w:tabs>
        <w:autoSpaceDE w:val="0"/>
        <w:autoSpaceDN w:val="0"/>
        <w:adjustRightInd w:val="0"/>
        <w:spacing w:after="0" w:line="240" w:lineRule="auto"/>
        <w:ind w:left="2307" w:hanging="60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áramlás jellegét, a határréteg fogalmát,</w:t>
      </w:r>
    </w:p>
    <w:p w:rsidR="004C2997" w:rsidRDefault="004C2997" w:rsidP="004C2997">
      <w:pPr>
        <w:tabs>
          <w:tab w:val="left" w:pos="2127"/>
        </w:tabs>
        <w:autoSpaceDE w:val="0"/>
        <w:autoSpaceDN w:val="0"/>
        <w:adjustRightInd w:val="0"/>
        <w:spacing w:after="0" w:line="240" w:lineRule="auto"/>
        <w:ind w:left="2307" w:hanging="60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viszkozitás fogalmát,</w:t>
      </w:r>
    </w:p>
    <w:p w:rsidR="004C2997" w:rsidRDefault="004C2997" w:rsidP="004C2997">
      <w:pPr>
        <w:tabs>
          <w:tab w:val="left" w:pos="2127"/>
        </w:tabs>
        <w:autoSpaceDE w:val="0"/>
        <w:autoSpaceDN w:val="0"/>
        <w:adjustRightInd w:val="0"/>
        <w:spacing w:after="0" w:line="240" w:lineRule="auto"/>
        <w:ind w:left="2307" w:hanging="60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szétválasztó és homogenizáló műveletek törvényeit,</w:t>
      </w:r>
    </w:p>
    <w:p w:rsidR="004C2997" w:rsidRDefault="004C2997" w:rsidP="004C2997">
      <w:pPr>
        <w:tabs>
          <w:tab w:val="left" w:pos="2127"/>
        </w:tabs>
        <w:autoSpaceDE w:val="0"/>
        <w:autoSpaceDN w:val="0"/>
        <w:adjustRightInd w:val="0"/>
        <w:spacing w:after="0" w:line="240" w:lineRule="auto"/>
        <w:ind w:left="2307" w:hanging="60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szállítási műveletek paramétereit,</w:t>
      </w:r>
    </w:p>
    <w:p w:rsidR="004C2997" w:rsidRDefault="004C2997" w:rsidP="004C2997">
      <w:pPr>
        <w:tabs>
          <w:tab w:val="left" w:pos="2127"/>
        </w:tabs>
        <w:autoSpaceDE w:val="0"/>
        <w:autoSpaceDN w:val="0"/>
        <w:adjustRightInd w:val="0"/>
        <w:spacing w:after="0" w:line="240" w:lineRule="auto"/>
        <w:ind w:left="2307" w:hanging="60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berendezések működési elvét,</w:t>
      </w:r>
    </w:p>
    <w:p w:rsidR="004C2997" w:rsidRDefault="004C2997" w:rsidP="004C2997">
      <w:pPr>
        <w:tabs>
          <w:tab w:val="left" w:pos="2127"/>
        </w:tabs>
        <w:autoSpaceDE w:val="0"/>
        <w:autoSpaceDN w:val="0"/>
        <w:adjustRightInd w:val="0"/>
        <w:spacing w:after="0" w:line="240" w:lineRule="auto"/>
        <w:ind w:left="2307" w:hanging="60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hő és anyagátadási műveletek törvényeit.</w:t>
      </w:r>
    </w:p>
    <w:p w:rsidR="004C2997" w:rsidRDefault="004C2997" w:rsidP="004C2997">
      <w:pPr>
        <w:autoSpaceDE w:val="0"/>
        <w:autoSpaceDN w:val="0"/>
        <w:adjustRightInd w:val="0"/>
        <w:spacing w:after="0" w:line="240" w:lineRule="auto"/>
        <w:ind w:left="1701"/>
        <w:jc w:val="both"/>
        <w:rPr>
          <w:rFonts w:ascii="Times New Roman" w:hAnsi="Times New Roman" w:cs="Times New Roman"/>
          <w:sz w:val="20"/>
          <w:szCs w:val="20"/>
        </w:rPr>
      </w:pPr>
    </w:p>
    <w:p w:rsidR="004C2997" w:rsidRDefault="004C2997" w:rsidP="004C2997">
      <w:pPr>
        <w:tabs>
          <w:tab w:val="left" w:pos="426"/>
        </w:tabs>
        <w:autoSpaceDE w:val="0"/>
        <w:autoSpaceDN w:val="0"/>
        <w:adjustRightInd w:val="0"/>
        <w:spacing w:after="0" w:line="240" w:lineRule="auto"/>
        <w:ind w:left="426" w:hanging="24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ismeretei alkalmasak-e:</w:t>
      </w:r>
    </w:p>
    <w:p w:rsidR="004C2997" w:rsidRDefault="004C2997" w:rsidP="004C2997">
      <w:pPr>
        <w:tabs>
          <w:tab w:val="left" w:pos="2127"/>
        </w:tabs>
        <w:autoSpaceDE w:val="0"/>
        <w:autoSpaceDN w:val="0"/>
        <w:adjustRightInd w:val="0"/>
        <w:spacing w:after="0" w:line="240" w:lineRule="auto"/>
        <w:ind w:left="2307" w:hanging="60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megfelelő homogenizáló és szétválasztó műveletek kiválasztására,</w:t>
      </w:r>
    </w:p>
    <w:p w:rsidR="004C2997" w:rsidRDefault="004C2997" w:rsidP="004C2997">
      <w:pPr>
        <w:tabs>
          <w:tab w:val="left" w:pos="2127"/>
        </w:tabs>
        <w:autoSpaceDE w:val="0"/>
        <w:autoSpaceDN w:val="0"/>
        <w:adjustRightInd w:val="0"/>
        <w:spacing w:after="0" w:line="240" w:lineRule="auto"/>
        <w:ind w:left="2307" w:hanging="60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hőtani műveletek elemzésére, anyag- és hőmérleg elvének meghatározására,</w:t>
      </w:r>
    </w:p>
    <w:p w:rsidR="004C2997" w:rsidRDefault="004C2997" w:rsidP="004C2997">
      <w:pPr>
        <w:tabs>
          <w:tab w:val="left" w:pos="2127"/>
        </w:tabs>
        <w:autoSpaceDE w:val="0"/>
        <w:autoSpaceDN w:val="0"/>
        <w:adjustRightInd w:val="0"/>
        <w:spacing w:after="0" w:line="240" w:lineRule="auto"/>
        <w:ind w:left="2307" w:hanging="60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anyagátadási műveletek során végbemenő változások magyarázatára,</w:t>
      </w:r>
    </w:p>
    <w:p w:rsidR="004C2997" w:rsidRDefault="004C2997" w:rsidP="004C2997">
      <w:pPr>
        <w:tabs>
          <w:tab w:val="left" w:pos="2127"/>
        </w:tabs>
        <w:autoSpaceDE w:val="0"/>
        <w:autoSpaceDN w:val="0"/>
        <w:adjustRightInd w:val="0"/>
        <w:spacing w:after="0" w:line="240" w:lineRule="auto"/>
        <w:ind w:left="2127" w:hanging="426"/>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egyszerű számítási feladatok megoldására áramló közegeknél, szétválasztó és hőtani műveleteknél.</w:t>
      </w:r>
    </w:p>
    <w:p w:rsidR="004C2997" w:rsidRDefault="004C2997" w:rsidP="004C2997">
      <w:pPr>
        <w:autoSpaceDE w:val="0"/>
        <w:autoSpaceDN w:val="0"/>
        <w:adjustRightInd w:val="0"/>
        <w:spacing w:after="0" w:line="240" w:lineRule="auto"/>
        <w:ind w:left="1701"/>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emelt szintű vizsga célja annak megállapítása, hogy a vizsgázó a középszintű érettségi vizsga követelményein felül:</w:t>
      </w:r>
    </w:p>
    <w:p w:rsidR="004C2997" w:rsidRDefault="004C2997" w:rsidP="004C2997">
      <w:pPr>
        <w:autoSpaceDE w:val="0"/>
        <w:autoSpaceDN w:val="0"/>
        <w:adjustRightInd w:val="0"/>
        <w:spacing w:after="0" w:line="240" w:lineRule="auto"/>
        <w:ind w:left="360" w:hanging="180"/>
        <w:jc w:val="both"/>
        <w:rPr>
          <w:rFonts w:ascii="Times New Roman" w:hAnsi="Times New Roman" w:cs="Times New Roman"/>
          <w:sz w:val="20"/>
          <w:szCs w:val="20"/>
        </w:rPr>
      </w:pPr>
      <w:r>
        <w:rPr>
          <w:rFonts w:ascii="Times New Roman" w:hAnsi="Times New Roman" w:cs="Times New Roman"/>
          <w:sz w:val="20"/>
          <w:szCs w:val="20"/>
        </w:rPr>
        <w:t>- ismeri-e az élelmiszeripari alaptechnológiákat,</w:t>
      </w:r>
    </w:p>
    <w:p w:rsidR="004C2997" w:rsidRDefault="004C2997" w:rsidP="004C2997">
      <w:pPr>
        <w:autoSpaceDE w:val="0"/>
        <w:autoSpaceDN w:val="0"/>
        <w:adjustRightInd w:val="0"/>
        <w:spacing w:after="0" w:line="240" w:lineRule="auto"/>
        <w:ind w:left="360" w:hanging="180"/>
        <w:jc w:val="both"/>
        <w:rPr>
          <w:rFonts w:ascii="Times New Roman" w:hAnsi="Times New Roman" w:cs="Times New Roman"/>
          <w:sz w:val="20"/>
          <w:szCs w:val="20"/>
        </w:rPr>
      </w:pPr>
      <w:r>
        <w:rPr>
          <w:rFonts w:ascii="Times New Roman" w:hAnsi="Times New Roman" w:cs="Times New Roman"/>
          <w:sz w:val="20"/>
          <w:szCs w:val="20"/>
        </w:rPr>
        <w:t>- tudja-e értelmezni a környezetvédelem és gazdaság kapcsolatát, alkalmazni a tanult összefüggéseket áramlástani, szétválasztó, homogenizáló, hőtani, anyagátadási műveletekkel kapcsolatos számításoknál,</w:t>
      </w:r>
    </w:p>
    <w:p w:rsidR="004C2997" w:rsidRDefault="004C2997" w:rsidP="004C2997">
      <w:pPr>
        <w:autoSpaceDE w:val="0"/>
        <w:autoSpaceDN w:val="0"/>
        <w:adjustRightInd w:val="0"/>
        <w:spacing w:after="0" w:line="240" w:lineRule="auto"/>
        <w:ind w:left="360" w:hanging="180"/>
        <w:jc w:val="both"/>
        <w:rPr>
          <w:rFonts w:ascii="Times New Roman" w:hAnsi="Times New Roman" w:cs="Times New Roman"/>
          <w:sz w:val="20"/>
          <w:szCs w:val="20"/>
        </w:rPr>
      </w:pPr>
      <w:r>
        <w:rPr>
          <w:rFonts w:ascii="Times New Roman" w:hAnsi="Times New Roman" w:cs="Times New Roman"/>
          <w:sz w:val="20"/>
          <w:szCs w:val="20"/>
        </w:rPr>
        <w:t>- képes-e következtetéseket levonni, értékelni és összehasonlítani a számítási feladatok során kapott eredményeket.</w:t>
      </w:r>
    </w:p>
    <w:p w:rsidR="004C2997" w:rsidRDefault="004C2997" w:rsidP="004C2997">
      <w:pPr>
        <w:autoSpaceDE w:val="0"/>
        <w:autoSpaceDN w:val="0"/>
        <w:adjustRightInd w:val="0"/>
        <w:spacing w:after="0" w:line="240" w:lineRule="auto"/>
        <w:ind w:left="851" w:hanging="284"/>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sectPr w:rsidR="004C2997">
          <w:type w:val="oddPage"/>
          <w:pgSz w:w="11906" w:h="16838"/>
          <w:pgMar w:top="1134" w:right="1134" w:bottom="1134" w:left="1134" w:header="708" w:footer="708" w:gutter="0"/>
          <w:cols w:space="708"/>
          <w:noEndnote/>
        </w:sect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789"/>
        <w:gridCol w:w="4714"/>
        <w:gridCol w:w="4714"/>
      </w:tblGrid>
      <w:tr w:rsidR="004C2997">
        <w:tblPrEx>
          <w:tblCellMar>
            <w:top w:w="0" w:type="dxa"/>
            <w:bottom w:w="0" w:type="dxa"/>
          </w:tblCellMar>
        </w:tblPrEx>
        <w:tc>
          <w:tcPr>
            <w:tcW w:w="4789" w:type="dxa"/>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Témakörök</w:t>
            </w:r>
          </w:p>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p>
        </w:tc>
        <w:tc>
          <w:tcPr>
            <w:tcW w:w="4714" w:type="dxa"/>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 középszinten</w:t>
            </w:r>
          </w:p>
        </w:tc>
        <w:tc>
          <w:tcPr>
            <w:tcW w:w="4714" w:type="dxa"/>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 kiegészítése emelt szinten</w:t>
            </w:r>
          </w:p>
        </w:tc>
      </w:tr>
      <w:tr w:rsidR="004C2997">
        <w:tblPrEx>
          <w:tblCellMar>
            <w:top w:w="0" w:type="dxa"/>
            <w:bottom w:w="0" w:type="dxa"/>
          </w:tblCellMar>
        </w:tblPrEx>
        <w:tc>
          <w:tcPr>
            <w:tcW w:w="4789"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Nyersanyagok feldolgozása az élelmiszeriparban:</w:t>
            </w:r>
          </w:p>
          <w:p w:rsidR="004C2997" w:rsidRDefault="004C2997">
            <w:pPr>
              <w:autoSpaceDE w:val="0"/>
              <w:autoSpaceDN w:val="0"/>
              <w:adjustRightInd w:val="0"/>
              <w:spacing w:after="0" w:line="240" w:lineRule="auto"/>
              <w:rPr>
                <w:rFonts w:ascii="Times New Roman" w:hAnsi="Times New Roman" w:cs="Times New Roman"/>
                <w:b/>
                <w:bCs/>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Növényi eredetű nyersanyagok és élelmiszerek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Állati eredetű nyersanyagok és élelmiszerek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Víz </w:t>
            </w:r>
          </w:p>
        </w:tc>
        <w:tc>
          <w:tcPr>
            <w:tcW w:w="471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Csoportosítsa az élelmiszeripari iparágakat.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élelmiszer alap-, adalék- és segédanyag fogalmát.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növényi és állati eredetű nyersanyagokat.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növényi és állati nyersanyagokat feldolgozó iparágakat és az előállított élelmiszereket.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ivóvíz jellemzőit.</w:t>
            </w:r>
          </w:p>
        </w:tc>
        <w:tc>
          <w:tcPr>
            <w:tcW w:w="4714"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789"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Élelmiszeripari környezete: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Környezetvédelem</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Környezeti ártalmak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Környezetgazdálkodás</w:t>
            </w:r>
          </w:p>
        </w:tc>
        <w:tc>
          <w:tcPr>
            <w:tcW w:w="471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környezet és környezetvédelem fogalmát, feladatait.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Sorolja fel a környezeti ártalmakat.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Ismerje a talaj-, a víz- és levegővédelem fontosságát, a hulladékgazdálkodást. </w:t>
            </w:r>
          </w:p>
        </w:tc>
        <w:tc>
          <w:tcPr>
            <w:tcW w:w="471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4C2997">
        <w:tblPrEx>
          <w:tblCellMar>
            <w:top w:w="0" w:type="dxa"/>
            <w:bottom w:w="0" w:type="dxa"/>
          </w:tblCellMar>
        </w:tblPrEx>
        <w:tc>
          <w:tcPr>
            <w:tcW w:w="4789"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Tápanyagok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Szénhidrátok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Zsírok</w:t>
            </w:r>
          </w:p>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Fehérjék</w:t>
            </w:r>
          </w:p>
        </w:tc>
        <w:tc>
          <w:tcPr>
            <w:tcW w:w="4714" w:type="dxa"/>
          </w:tcPr>
          <w:p w:rsidR="004C2997" w:rsidRDefault="004C2997">
            <w:pPr>
              <w:autoSpaceDE w:val="0"/>
              <w:autoSpaceDN w:val="0"/>
              <w:adjustRightInd w:val="0"/>
              <w:spacing w:after="0" w:line="240" w:lineRule="auto"/>
              <w:ind w:left="248" w:hanging="248"/>
              <w:rPr>
                <w:rFonts w:ascii="Times New Roman" w:hAnsi="Times New Roman" w:cs="Times New Roman"/>
                <w:sz w:val="20"/>
                <w:szCs w:val="20"/>
              </w:rPr>
            </w:pPr>
            <w:r>
              <w:rPr>
                <w:rFonts w:ascii="Times New Roman" w:hAnsi="Times New Roman" w:cs="Times New Roman"/>
                <w:sz w:val="20"/>
                <w:szCs w:val="20"/>
              </w:rPr>
              <w:t>Ismerje a szénhidrátok, fehérjék és zsírok táplálkozásban betöltött szerepét.</w:t>
            </w:r>
          </w:p>
          <w:p w:rsidR="004C2997" w:rsidRDefault="004C2997">
            <w:pPr>
              <w:autoSpaceDE w:val="0"/>
              <w:autoSpaceDN w:val="0"/>
              <w:adjustRightInd w:val="0"/>
              <w:spacing w:after="0" w:line="240" w:lineRule="auto"/>
              <w:ind w:left="248" w:hanging="248"/>
              <w:rPr>
                <w:rFonts w:ascii="Times New Roman" w:hAnsi="Times New Roman" w:cs="Times New Roman"/>
                <w:sz w:val="20"/>
                <w:szCs w:val="20"/>
              </w:rPr>
            </w:pPr>
            <w:r>
              <w:rPr>
                <w:rFonts w:ascii="Times New Roman" w:hAnsi="Times New Roman" w:cs="Times New Roman"/>
                <w:sz w:val="20"/>
                <w:szCs w:val="20"/>
              </w:rPr>
              <w:t>Ismerje a tápanyagok összetételét, csoportosítását.</w:t>
            </w:r>
          </w:p>
          <w:p w:rsidR="004C2997" w:rsidRDefault="004C2997">
            <w:pPr>
              <w:autoSpaceDE w:val="0"/>
              <w:autoSpaceDN w:val="0"/>
              <w:adjustRightInd w:val="0"/>
              <w:spacing w:after="0" w:line="240" w:lineRule="auto"/>
              <w:ind w:left="248" w:hanging="248"/>
              <w:rPr>
                <w:rFonts w:ascii="Times New Roman" w:hAnsi="Times New Roman" w:cs="Times New Roman"/>
                <w:sz w:val="20"/>
                <w:szCs w:val="20"/>
              </w:rPr>
            </w:pPr>
            <w:r>
              <w:rPr>
                <w:rFonts w:ascii="Times New Roman" w:hAnsi="Times New Roman" w:cs="Times New Roman"/>
                <w:sz w:val="20"/>
                <w:szCs w:val="20"/>
              </w:rPr>
              <w:t xml:space="preserve">Jellemezze tulajdonságaikat. </w:t>
            </w:r>
          </w:p>
        </w:tc>
        <w:tc>
          <w:tcPr>
            <w:tcW w:w="4714" w:type="dxa"/>
          </w:tcPr>
          <w:p w:rsidR="004C2997" w:rsidRDefault="004C2997">
            <w:pPr>
              <w:autoSpaceDE w:val="0"/>
              <w:autoSpaceDN w:val="0"/>
              <w:adjustRightInd w:val="0"/>
              <w:spacing w:after="0" w:line="240" w:lineRule="auto"/>
              <w:ind w:left="211" w:hanging="211"/>
              <w:rPr>
                <w:rFonts w:ascii="Times New Roman" w:hAnsi="Times New Roman" w:cs="Times New Roman"/>
                <w:sz w:val="20"/>
                <w:szCs w:val="20"/>
              </w:rPr>
            </w:pPr>
            <w:r>
              <w:rPr>
                <w:rFonts w:ascii="Times New Roman" w:hAnsi="Times New Roman" w:cs="Times New Roman"/>
                <w:sz w:val="20"/>
                <w:szCs w:val="20"/>
              </w:rPr>
              <w:t>Értékelje a fehérjék táplálkozás-élettani jelentőségét.</w:t>
            </w:r>
          </w:p>
          <w:p w:rsidR="004C2997" w:rsidRDefault="004C2997">
            <w:pPr>
              <w:autoSpaceDE w:val="0"/>
              <w:autoSpaceDN w:val="0"/>
              <w:adjustRightInd w:val="0"/>
              <w:spacing w:after="0" w:line="240" w:lineRule="auto"/>
              <w:ind w:left="211" w:hanging="211"/>
              <w:rPr>
                <w:rFonts w:ascii="Times New Roman" w:hAnsi="Times New Roman" w:cs="Times New Roman"/>
                <w:sz w:val="20"/>
                <w:szCs w:val="20"/>
              </w:rPr>
            </w:pPr>
            <w:r>
              <w:rPr>
                <w:rFonts w:ascii="Times New Roman" w:hAnsi="Times New Roman" w:cs="Times New Roman"/>
                <w:sz w:val="20"/>
                <w:szCs w:val="20"/>
              </w:rPr>
              <w:t>Magyarázza el a túlzott szénhidrátfogyasztás következményeit.</w:t>
            </w:r>
          </w:p>
          <w:p w:rsidR="004C2997" w:rsidRDefault="004C2997">
            <w:pPr>
              <w:autoSpaceDE w:val="0"/>
              <w:autoSpaceDN w:val="0"/>
              <w:adjustRightInd w:val="0"/>
              <w:spacing w:after="0" w:line="240" w:lineRule="auto"/>
              <w:ind w:left="211" w:hanging="211"/>
              <w:rPr>
                <w:rFonts w:ascii="Times New Roman" w:hAnsi="Times New Roman" w:cs="Times New Roman"/>
                <w:sz w:val="20"/>
                <w:szCs w:val="20"/>
              </w:rPr>
            </w:pPr>
          </w:p>
        </w:tc>
      </w:tr>
      <w:tr w:rsidR="004C2997">
        <w:tblPrEx>
          <w:tblCellMar>
            <w:top w:w="0" w:type="dxa"/>
            <w:bottom w:w="0" w:type="dxa"/>
          </w:tblCellMar>
        </w:tblPrEx>
        <w:tc>
          <w:tcPr>
            <w:tcW w:w="4789"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Élelmiszertechnológiai adalékok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Ízesítők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Színezékek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Tartósítószerek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Állományjavítók</w:t>
            </w:r>
          </w:p>
        </w:tc>
        <w:tc>
          <w:tcPr>
            <w:tcW w:w="4714" w:type="dxa"/>
          </w:tcPr>
          <w:p w:rsidR="004C2997" w:rsidRDefault="004C2997">
            <w:pPr>
              <w:autoSpaceDE w:val="0"/>
              <w:autoSpaceDN w:val="0"/>
              <w:adjustRightInd w:val="0"/>
              <w:spacing w:after="0" w:line="240" w:lineRule="auto"/>
              <w:ind w:left="248" w:hanging="248"/>
              <w:rPr>
                <w:rFonts w:ascii="Times New Roman" w:hAnsi="Times New Roman" w:cs="Times New Roman"/>
                <w:sz w:val="20"/>
                <w:szCs w:val="20"/>
              </w:rPr>
            </w:pPr>
            <w:r>
              <w:rPr>
                <w:rFonts w:ascii="Times New Roman" w:hAnsi="Times New Roman" w:cs="Times New Roman"/>
                <w:sz w:val="20"/>
                <w:szCs w:val="20"/>
              </w:rPr>
              <w:t xml:space="preserve">Ismerje az élelmiszeradalékok csoportjait, azok jellemzőit és jelentőségét. </w:t>
            </w:r>
          </w:p>
        </w:tc>
        <w:tc>
          <w:tcPr>
            <w:tcW w:w="4714" w:type="dxa"/>
          </w:tcPr>
          <w:p w:rsidR="004C2997" w:rsidRDefault="004C2997">
            <w:pPr>
              <w:autoSpaceDE w:val="0"/>
              <w:autoSpaceDN w:val="0"/>
              <w:adjustRightInd w:val="0"/>
              <w:spacing w:after="0" w:line="240" w:lineRule="auto"/>
              <w:ind w:left="211" w:hanging="211"/>
              <w:rPr>
                <w:rFonts w:ascii="Times New Roman" w:hAnsi="Times New Roman" w:cs="Times New Roman"/>
                <w:sz w:val="20"/>
                <w:szCs w:val="20"/>
              </w:rPr>
            </w:pPr>
            <w:r>
              <w:rPr>
                <w:rFonts w:ascii="Times New Roman" w:hAnsi="Times New Roman" w:cs="Times New Roman"/>
                <w:sz w:val="20"/>
                <w:szCs w:val="20"/>
              </w:rPr>
              <w:t xml:space="preserve">Magyarázza meg az emberi felelősség szerepét az adalékanyagok kiválasztásában és alkalmazásában. </w:t>
            </w:r>
          </w:p>
        </w:tc>
      </w:tr>
      <w:tr w:rsidR="004C2997">
        <w:tblPrEx>
          <w:tblCellMar>
            <w:top w:w="0" w:type="dxa"/>
            <w:bottom w:w="0" w:type="dxa"/>
          </w:tblCellMar>
        </w:tblPrEx>
        <w:trPr>
          <w:trHeight w:val="663"/>
        </w:trPr>
        <w:tc>
          <w:tcPr>
            <w:tcW w:w="4789"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Mikroorganizmusok hasznos tevékenységei a különböző élelmiszeripari ágazatokban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Irányított erjedések</w:t>
            </w:r>
          </w:p>
        </w:tc>
        <w:tc>
          <w:tcPr>
            <w:tcW w:w="471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mikroorganizmusok okozta hasznos elváltozásokat.</w:t>
            </w:r>
          </w:p>
          <w:p w:rsidR="004C2997" w:rsidRDefault="004C2997">
            <w:pPr>
              <w:autoSpaceDE w:val="0"/>
              <w:autoSpaceDN w:val="0"/>
              <w:adjustRightInd w:val="0"/>
              <w:spacing w:after="0" w:line="240" w:lineRule="auto"/>
              <w:ind w:left="248" w:hanging="248"/>
              <w:rPr>
                <w:rFonts w:ascii="Times New Roman" w:hAnsi="Times New Roman" w:cs="Times New Roman"/>
                <w:sz w:val="20"/>
                <w:szCs w:val="20"/>
              </w:rPr>
            </w:pPr>
          </w:p>
        </w:tc>
        <w:tc>
          <w:tcPr>
            <w:tcW w:w="471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Ismertesse az élelmiszeriparban hasznos mikroorganizmusokat. </w:t>
            </w:r>
          </w:p>
        </w:tc>
      </w:tr>
      <w:tr w:rsidR="004C2997">
        <w:tblPrEx>
          <w:tblCellMar>
            <w:top w:w="0" w:type="dxa"/>
            <w:bottom w:w="0" w:type="dxa"/>
          </w:tblCellMar>
        </w:tblPrEx>
        <w:trPr>
          <w:cantSplit/>
          <w:trHeight w:val="2065"/>
        </w:trPr>
        <w:tc>
          <w:tcPr>
            <w:tcW w:w="4789" w:type="dxa"/>
            <w:tcBorders>
              <w:bottom w:val="nil"/>
            </w:tcBorders>
          </w:tcPr>
          <w:p w:rsidR="004C2997" w:rsidRDefault="004C2997">
            <w:pPr>
              <w:autoSpaceDE w:val="0"/>
              <w:autoSpaceDN w:val="0"/>
              <w:adjustRightInd w:val="0"/>
              <w:spacing w:after="0" w:line="240" w:lineRule="auto"/>
              <w:rPr>
                <w:rFonts w:ascii="Times New Roman" w:hAnsi="Times New Roman" w:cs="Times New Roman"/>
                <w:b/>
                <w:bCs/>
                <w:sz w:val="20"/>
                <w:szCs w:val="20"/>
              </w:rPr>
            </w:pPr>
          </w:p>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Áramlástani alapfogalmak, áramlástani törvények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Közegek fogalma, felosztása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Csővezetékek jellemzői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Folytonossági törvény</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Bernoulli-egyenlet</w:t>
            </w:r>
          </w:p>
          <w:p w:rsidR="004C2997" w:rsidRDefault="004C2997">
            <w:pPr>
              <w:autoSpaceDE w:val="0"/>
              <w:autoSpaceDN w:val="0"/>
              <w:adjustRightInd w:val="0"/>
              <w:spacing w:after="0" w:line="240" w:lineRule="auto"/>
              <w:ind w:left="248" w:hanging="248"/>
              <w:rPr>
                <w:rFonts w:ascii="Times New Roman" w:hAnsi="Times New Roman" w:cs="Times New Roman"/>
                <w:sz w:val="20"/>
                <w:szCs w:val="20"/>
              </w:rPr>
            </w:pPr>
          </w:p>
          <w:p w:rsidR="004C2997" w:rsidRDefault="004C2997">
            <w:pPr>
              <w:autoSpaceDE w:val="0"/>
              <w:autoSpaceDN w:val="0"/>
              <w:adjustRightInd w:val="0"/>
              <w:spacing w:after="0" w:line="240" w:lineRule="auto"/>
              <w:ind w:left="248" w:hanging="248"/>
              <w:rPr>
                <w:rFonts w:ascii="Times New Roman" w:hAnsi="Times New Roman" w:cs="Times New Roman"/>
                <w:sz w:val="20"/>
                <w:szCs w:val="20"/>
              </w:rPr>
            </w:pPr>
          </w:p>
        </w:tc>
        <w:tc>
          <w:tcPr>
            <w:tcW w:w="4714" w:type="dxa"/>
            <w:tcBorders>
              <w:left w:val="nil"/>
              <w:bottom w:val="nil"/>
            </w:tcBorders>
          </w:tcPr>
          <w:p w:rsidR="004C2997" w:rsidRDefault="004C2997">
            <w:pPr>
              <w:autoSpaceDE w:val="0"/>
              <w:autoSpaceDN w:val="0"/>
              <w:adjustRightInd w:val="0"/>
              <w:spacing w:after="0" w:line="240" w:lineRule="auto"/>
              <w:ind w:left="248" w:hanging="248"/>
              <w:rPr>
                <w:rFonts w:ascii="Times New Roman" w:hAnsi="Times New Roman" w:cs="Times New Roman"/>
                <w:sz w:val="20"/>
                <w:szCs w:val="20"/>
              </w:rPr>
            </w:pPr>
            <w:r>
              <w:rPr>
                <w:rFonts w:ascii="Times New Roman" w:hAnsi="Times New Roman" w:cs="Times New Roman"/>
                <w:sz w:val="20"/>
                <w:szCs w:val="20"/>
              </w:rPr>
              <w:t>Ismerje az áramlástanban használt mértékegységeket.</w:t>
            </w:r>
          </w:p>
          <w:p w:rsidR="004C2997" w:rsidRDefault="004C2997">
            <w:pPr>
              <w:autoSpaceDE w:val="0"/>
              <w:autoSpaceDN w:val="0"/>
              <w:adjustRightInd w:val="0"/>
              <w:spacing w:after="0" w:line="240" w:lineRule="auto"/>
              <w:ind w:left="248" w:hanging="248"/>
              <w:rPr>
                <w:rFonts w:ascii="Times New Roman" w:hAnsi="Times New Roman" w:cs="Times New Roman"/>
                <w:sz w:val="20"/>
                <w:szCs w:val="20"/>
              </w:rPr>
            </w:pPr>
            <w:r>
              <w:rPr>
                <w:rFonts w:ascii="Times New Roman" w:hAnsi="Times New Roman" w:cs="Times New Roman"/>
                <w:sz w:val="20"/>
                <w:szCs w:val="20"/>
              </w:rPr>
              <w:t>Ismerje az áramló közeg jellemzőit és törvényeit.</w:t>
            </w:r>
          </w:p>
          <w:p w:rsidR="004C2997" w:rsidRDefault="004C2997">
            <w:pPr>
              <w:autoSpaceDE w:val="0"/>
              <w:autoSpaceDN w:val="0"/>
              <w:adjustRightInd w:val="0"/>
              <w:spacing w:after="0" w:line="240" w:lineRule="auto"/>
              <w:ind w:left="248" w:hanging="248"/>
              <w:rPr>
                <w:rFonts w:ascii="Times New Roman" w:hAnsi="Times New Roman" w:cs="Times New Roman"/>
                <w:sz w:val="20"/>
                <w:szCs w:val="20"/>
              </w:rPr>
            </w:pPr>
            <w:r>
              <w:rPr>
                <w:rFonts w:ascii="Times New Roman" w:hAnsi="Times New Roman" w:cs="Times New Roman"/>
                <w:sz w:val="20"/>
                <w:szCs w:val="20"/>
              </w:rPr>
              <w:t>Jellemezze az ideális és reális közegeket.</w:t>
            </w:r>
          </w:p>
          <w:p w:rsidR="004C2997" w:rsidRDefault="004C2997">
            <w:pPr>
              <w:autoSpaceDE w:val="0"/>
              <w:autoSpaceDN w:val="0"/>
              <w:adjustRightInd w:val="0"/>
              <w:spacing w:after="0" w:line="240" w:lineRule="auto"/>
              <w:ind w:left="248" w:hanging="248"/>
              <w:rPr>
                <w:rFonts w:ascii="Times New Roman" w:hAnsi="Times New Roman" w:cs="Times New Roman"/>
                <w:sz w:val="20"/>
                <w:szCs w:val="20"/>
              </w:rPr>
            </w:pPr>
            <w:r>
              <w:rPr>
                <w:rFonts w:ascii="Times New Roman" w:hAnsi="Times New Roman" w:cs="Times New Roman"/>
                <w:sz w:val="20"/>
                <w:szCs w:val="20"/>
              </w:rPr>
              <w:t>Tudja az áramlás jellegét, a határréteg fogalmát.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Definiálja a viszkozitás fogalmát és típusait.</w:t>
            </w:r>
          </w:p>
          <w:p w:rsidR="004C2997" w:rsidRDefault="004C2997">
            <w:pPr>
              <w:autoSpaceDE w:val="0"/>
              <w:autoSpaceDN w:val="0"/>
              <w:adjustRightInd w:val="0"/>
              <w:spacing w:after="0" w:line="240" w:lineRule="auto"/>
              <w:ind w:left="245" w:hanging="245"/>
              <w:rPr>
                <w:rFonts w:ascii="Times New Roman" w:hAnsi="Times New Roman" w:cs="Times New Roman"/>
                <w:sz w:val="20"/>
                <w:szCs w:val="20"/>
              </w:rPr>
            </w:pPr>
            <w:r>
              <w:rPr>
                <w:rFonts w:ascii="Times New Roman" w:hAnsi="Times New Roman" w:cs="Times New Roman"/>
                <w:sz w:val="20"/>
                <w:szCs w:val="20"/>
              </w:rPr>
              <w:t>Végezzen számításokat a tanult képletek alapján:</w:t>
            </w:r>
          </w:p>
          <w:p w:rsidR="004C2997" w:rsidRDefault="004C2997">
            <w:pPr>
              <w:autoSpaceDE w:val="0"/>
              <w:autoSpaceDN w:val="0"/>
              <w:adjustRightInd w:val="0"/>
              <w:spacing w:after="0" w:line="240" w:lineRule="auto"/>
              <w:ind w:left="323"/>
              <w:rPr>
                <w:rFonts w:ascii="Times New Roman" w:hAnsi="Times New Roman" w:cs="Times New Roman"/>
                <w:sz w:val="20"/>
                <w:szCs w:val="20"/>
              </w:rPr>
            </w:pPr>
            <w:r>
              <w:rPr>
                <w:rFonts w:ascii="Times New Roman" w:hAnsi="Times New Roman" w:cs="Times New Roman"/>
                <w:sz w:val="20"/>
                <w:szCs w:val="20"/>
              </w:rPr>
              <w:t>- átlagos áramlási sebesség,</w:t>
            </w:r>
          </w:p>
          <w:p w:rsidR="004C2997" w:rsidRDefault="004C2997">
            <w:pPr>
              <w:autoSpaceDE w:val="0"/>
              <w:autoSpaceDN w:val="0"/>
              <w:adjustRightInd w:val="0"/>
              <w:spacing w:after="0" w:line="240" w:lineRule="auto"/>
              <w:ind w:left="323"/>
              <w:rPr>
                <w:rFonts w:ascii="Times New Roman" w:hAnsi="Times New Roman" w:cs="Times New Roman"/>
                <w:sz w:val="20"/>
                <w:szCs w:val="20"/>
              </w:rPr>
            </w:pPr>
            <w:r>
              <w:rPr>
                <w:rFonts w:ascii="Times New Roman" w:hAnsi="Times New Roman" w:cs="Times New Roman"/>
                <w:sz w:val="20"/>
                <w:szCs w:val="20"/>
              </w:rPr>
              <w:t>- térfogatáram, tömegáram meghatározására,</w:t>
            </w:r>
          </w:p>
          <w:p w:rsidR="004C2997" w:rsidRDefault="004C2997">
            <w:pPr>
              <w:autoSpaceDE w:val="0"/>
              <w:autoSpaceDN w:val="0"/>
              <w:adjustRightInd w:val="0"/>
              <w:spacing w:after="0" w:line="240" w:lineRule="auto"/>
              <w:ind w:left="323"/>
              <w:rPr>
                <w:rFonts w:ascii="Times New Roman" w:hAnsi="Times New Roman" w:cs="Times New Roman"/>
                <w:sz w:val="20"/>
                <w:szCs w:val="20"/>
              </w:rPr>
            </w:pPr>
            <w:r>
              <w:rPr>
                <w:rFonts w:ascii="Times New Roman" w:hAnsi="Times New Roman" w:cs="Times New Roman"/>
                <w:sz w:val="20"/>
                <w:szCs w:val="20"/>
              </w:rPr>
              <w:t>- a Re szám meghatározására.</w:t>
            </w:r>
          </w:p>
        </w:tc>
        <w:tc>
          <w:tcPr>
            <w:tcW w:w="4714" w:type="dxa"/>
            <w:tcBorders>
              <w:bottom w:val="nil"/>
            </w:tcBorders>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Végezzen számításokat a tanult képletek alapján.</w:t>
            </w:r>
          </w:p>
          <w:p w:rsidR="004C2997" w:rsidRDefault="004C2997">
            <w:pPr>
              <w:autoSpaceDE w:val="0"/>
              <w:autoSpaceDN w:val="0"/>
              <w:adjustRightInd w:val="0"/>
              <w:spacing w:after="0" w:line="240" w:lineRule="auto"/>
              <w:ind w:left="109"/>
              <w:rPr>
                <w:rFonts w:ascii="Times New Roman" w:hAnsi="Times New Roman" w:cs="Times New Roman"/>
                <w:sz w:val="20"/>
                <w:szCs w:val="20"/>
              </w:rPr>
            </w:pPr>
            <w:r>
              <w:rPr>
                <w:rFonts w:ascii="Times New Roman" w:hAnsi="Times New Roman" w:cs="Times New Roman"/>
                <w:sz w:val="20"/>
                <w:szCs w:val="20"/>
              </w:rPr>
              <w:t>- a  p</w:t>
            </w:r>
            <w:r>
              <w:rPr>
                <w:rFonts w:ascii="Times New Roman" w:hAnsi="Times New Roman" w:cs="Times New Roman"/>
                <w:sz w:val="20"/>
                <w:szCs w:val="20"/>
                <w:vertAlign w:val="subscript"/>
              </w:rPr>
              <w:t>s</w:t>
            </w:r>
            <w:r>
              <w:rPr>
                <w:rFonts w:ascii="Times New Roman" w:hAnsi="Times New Roman" w:cs="Times New Roman"/>
                <w:sz w:val="20"/>
                <w:szCs w:val="20"/>
              </w:rPr>
              <w:t>, h</w:t>
            </w:r>
            <w:r>
              <w:rPr>
                <w:rFonts w:ascii="Times New Roman" w:hAnsi="Times New Roman" w:cs="Times New Roman"/>
                <w:sz w:val="20"/>
                <w:szCs w:val="20"/>
                <w:vertAlign w:val="subscript"/>
              </w:rPr>
              <w:t>s</w:t>
            </w:r>
            <w:r>
              <w:rPr>
                <w:rFonts w:ascii="Times New Roman" w:hAnsi="Times New Roman" w:cs="Times New Roman"/>
                <w:sz w:val="20"/>
                <w:szCs w:val="20"/>
              </w:rPr>
              <w:t xml:space="preserve"> meghatározására.</w:t>
            </w:r>
          </w:p>
          <w:p w:rsidR="004C2997" w:rsidRDefault="004C2997">
            <w:pPr>
              <w:autoSpaceDE w:val="0"/>
              <w:autoSpaceDN w:val="0"/>
              <w:adjustRightInd w:val="0"/>
              <w:spacing w:after="0" w:line="240" w:lineRule="auto"/>
              <w:ind w:left="211" w:hanging="211"/>
              <w:rPr>
                <w:rFonts w:ascii="Times New Roman" w:hAnsi="Times New Roman" w:cs="Times New Roman"/>
                <w:sz w:val="20"/>
                <w:szCs w:val="20"/>
              </w:rPr>
            </w:pPr>
            <w:r>
              <w:rPr>
                <w:rFonts w:ascii="Times New Roman" w:hAnsi="Times New Roman" w:cs="Times New Roman"/>
                <w:sz w:val="20"/>
                <w:szCs w:val="20"/>
              </w:rPr>
              <w:t xml:space="preserve">Értékelje, hasonlítsa össze a kapott eredményeket. </w:t>
            </w:r>
          </w:p>
        </w:tc>
      </w:tr>
      <w:tr w:rsidR="004C2997">
        <w:tblPrEx>
          <w:tblCellMar>
            <w:top w:w="0" w:type="dxa"/>
            <w:bottom w:w="0" w:type="dxa"/>
          </w:tblCellMar>
        </w:tblPrEx>
        <w:tc>
          <w:tcPr>
            <w:tcW w:w="4789"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Folyadékok és gázok szállítása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Szivattyúk és léggépek</w:t>
            </w:r>
          </w:p>
        </w:tc>
        <w:tc>
          <w:tcPr>
            <w:tcW w:w="4714" w:type="dxa"/>
          </w:tcPr>
          <w:p w:rsidR="004C2997" w:rsidRDefault="004C2997">
            <w:pPr>
              <w:autoSpaceDE w:val="0"/>
              <w:autoSpaceDN w:val="0"/>
              <w:adjustRightInd w:val="0"/>
              <w:spacing w:after="0" w:line="240" w:lineRule="auto"/>
              <w:ind w:left="-37" w:firstLine="37"/>
              <w:rPr>
                <w:rFonts w:ascii="Times New Roman" w:hAnsi="Times New Roman" w:cs="Times New Roman"/>
                <w:sz w:val="20"/>
                <w:szCs w:val="20"/>
              </w:rPr>
            </w:pPr>
            <w:r>
              <w:rPr>
                <w:rFonts w:ascii="Times New Roman" w:hAnsi="Times New Roman" w:cs="Times New Roman"/>
                <w:sz w:val="20"/>
                <w:szCs w:val="20"/>
              </w:rPr>
              <w:t xml:space="preserve">Ismerje a folyadékok és gázok szállítására alkalmazott gépek elvi működését, felépítését, csoportosítását, alkalmazási területeit. </w:t>
            </w:r>
          </w:p>
        </w:tc>
        <w:tc>
          <w:tcPr>
            <w:tcW w:w="471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Készítsen vázlatrajzot a legjellemzőbb szivattyúkról és léggépekről.</w:t>
            </w:r>
          </w:p>
          <w:p w:rsidR="004C2997" w:rsidRDefault="004C2997">
            <w:pPr>
              <w:autoSpaceDE w:val="0"/>
              <w:autoSpaceDN w:val="0"/>
              <w:adjustRightInd w:val="0"/>
              <w:spacing w:after="0" w:line="240" w:lineRule="auto"/>
              <w:ind w:left="211" w:hanging="211"/>
              <w:rPr>
                <w:rFonts w:ascii="Times New Roman" w:hAnsi="Times New Roman" w:cs="Times New Roman"/>
                <w:sz w:val="20"/>
                <w:szCs w:val="20"/>
              </w:rPr>
            </w:pPr>
            <w:r>
              <w:rPr>
                <w:rFonts w:ascii="Times New Roman" w:hAnsi="Times New Roman" w:cs="Times New Roman"/>
                <w:sz w:val="20"/>
                <w:szCs w:val="20"/>
              </w:rPr>
              <w:t>Határozza meg a szállítóképességet.</w:t>
            </w:r>
          </w:p>
          <w:p w:rsidR="004C2997" w:rsidRDefault="004C2997">
            <w:pPr>
              <w:autoSpaceDE w:val="0"/>
              <w:autoSpaceDN w:val="0"/>
              <w:adjustRightInd w:val="0"/>
              <w:spacing w:after="0" w:line="240" w:lineRule="auto"/>
              <w:ind w:left="211" w:hanging="211"/>
              <w:rPr>
                <w:rFonts w:ascii="Times New Roman" w:hAnsi="Times New Roman" w:cs="Times New Roman"/>
                <w:sz w:val="20"/>
                <w:szCs w:val="20"/>
              </w:rPr>
            </w:pPr>
            <w:r>
              <w:rPr>
                <w:rFonts w:ascii="Times New Roman" w:hAnsi="Times New Roman" w:cs="Times New Roman"/>
                <w:sz w:val="20"/>
                <w:szCs w:val="20"/>
              </w:rPr>
              <w:lastRenderedPageBreak/>
              <w:t xml:space="preserve">Elemezze a szabályozási lehetőségeket. </w:t>
            </w:r>
          </w:p>
        </w:tc>
      </w:tr>
      <w:tr w:rsidR="004C2997">
        <w:tblPrEx>
          <w:tblCellMar>
            <w:top w:w="0" w:type="dxa"/>
            <w:bottom w:w="0" w:type="dxa"/>
          </w:tblCellMar>
        </w:tblPrEx>
        <w:tc>
          <w:tcPr>
            <w:tcW w:w="4789"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Szétválasztó műveletek és gépek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Gravitációs ülepítés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Centrifugális ülepítés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Szűrés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Préselés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Passzírozás</w:t>
            </w:r>
          </w:p>
        </w:tc>
        <w:tc>
          <w:tcPr>
            <w:tcW w:w="471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szétválasztó műveletek fogalmát, az alkalmazás területeit.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a szétválasztó műveletek törvényeit, a szétválasztó műveletek gépeinek működési elvét.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Válassza ki a megfelelő szétválasztó műveletet.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Végezzen számításokat a tanult képletek alapján: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a gravitációs és centrifugális ülepítés idejének, sebességének meghatározására,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centrifuga jelzőszám meghatározására.</w:t>
            </w:r>
          </w:p>
        </w:tc>
        <w:tc>
          <w:tcPr>
            <w:tcW w:w="4714" w:type="dxa"/>
          </w:tcPr>
          <w:p w:rsidR="004C2997" w:rsidRDefault="004C2997">
            <w:pPr>
              <w:autoSpaceDE w:val="0"/>
              <w:autoSpaceDN w:val="0"/>
              <w:adjustRightInd w:val="0"/>
              <w:spacing w:after="0" w:line="240" w:lineRule="auto"/>
              <w:ind w:left="211" w:hanging="211"/>
              <w:rPr>
                <w:rFonts w:ascii="Times New Roman" w:hAnsi="Times New Roman" w:cs="Times New Roman"/>
                <w:sz w:val="20"/>
                <w:szCs w:val="20"/>
              </w:rPr>
            </w:pPr>
            <w:r>
              <w:rPr>
                <w:rFonts w:ascii="Times New Roman" w:hAnsi="Times New Roman" w:cs="Times New Roman"/>
                <w:sz w:val="20"/>
                <w:szCs w:val="20"/>
              </w:rPr>
              <w:t>Végezzen számításokat a tanult képletek alapján.</w:t>
            </w:r>
          </w:p>
          <w:p w:rsidR="004C2997" w:rsidRDefault="004C2997">
            <w:pPr>
              <w:autoSpaceDE w:val="0"/>
              <w:autoSpaceDN w:val="0"/>
              <w:adjustRightInd w:val="0"/>
              <w:spacing w:after="0" w:line="240" w:lineRule="auto"/>
              <w:ind w:left="289" w:hanging="109"/>
              <w:rPr>
                <w:rFonts w:ascii="Times New Roman" w:hAnsi="Times New Roman" w:cs="Times New Roman"/>
                <w:sz w:val="20"/>
                <w:szCs w:val="20"/>
              </w:rPr>
            </w:pPr>
            <w:r>
              <w:rPr>
                <w:rFonts w:ascii="Times New Roman" w:hAnsi="Times New Roman" w:cs="Times New Roman"/>
                <w:sz w:val="20"/>
                <w:szCs w:val="20"/>
              </w:rPr>
              <w:t>- kiülepíthető részecske átmérő, Re</w:t>
            </w:r>
            <w:r>
              <w:rPr>
                <w:rFonts w:ascii="Times New Roman" w:hAnsi="Times New Roman" w:cs="Times New Roman"/>
                <w:sz w:val="20"/>
                <w:szCs w:val="20"/>
                <w:vertAlign w:val="subscript"/>
              </w:rPr>
              <w:t xml:space="preserve">ü </w:t>
            </w:r>
            <w:r>
              <w:rPr>
                <w:rFonts w:ascii="Times New Roman" w:hAnsi="Times New Roman" w:cs="Times New Roman"/>
                <w:sz w:val="20"/>
                <w:szCs w:val="20"/>
              </w:rPr>
              <w:t>szám meghatározására.</w:t>
            </w:r>
          </w:p>
          <w:p w:rsidR="004C2997" w:rsidRDefault="004C2997">
            <w:pPr>
              <w:autoSpaceDE w:val="0"/>
              <w:autoSpaceDN w:val="0"/>
              <w:adjustRightInd w:val="0"/>
              <w:spacing w:after="0" w:line="240" w:lineRule="auto"/>
              <w:ind w:left="208" w:hanging="208"/>
              <w:rPr>
                <w:rFonts w:ascii="Times New Roman" w:hAnsi="Times New Roman" w:cs="Times New Roman"/>
                <w:sz w:val="20"/>
                <w:szCs w:val="20"/>
              </w:rPr>
            </w:pPr>
            <w:r>
              <w:rPr>
                <w:rFonts w:ascii="Times New Roman" w:hAnsi="Times New Roman" w:cs="Times New Roman"/>
                <w:sz w:val="20"/>
                <w:szCs w:val="20"/>
              </w:rPr>
              <w:t>Hasonlítsa össze a különböző műveleteket.</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4789"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Homogenizáló műveletek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Keverés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Emulgeálás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Aprítás műveletei és berendezései</w:t>
            </w:r>
          </w:p>
        </w:tc>
        <w:tc>
          <w:tcPr>
            <w:tcW w:w="4714" w:type="dxa"/>
          </w:tcPr>
          <w:p w:rsidR="004C2997" w:rsidRDefault="004C2997">
            <w:pPr>
              <w:autoSpaceDE w:val="0"/>
              <w:autoSpaceDN w:val="0"/>
              <w:adjustRightInd w:val="0"/>
              <w:spacing w:after="0" w:line="240" w:lineRule="auto"/>
              <w:ind w:left="248" w:hanging="248"/>
              <w:rPr>
                <w:rFonts w:ascii="Times New Roman" w:hAnsi="Times New Roman" w:cs="Times New Roman"/>
                <w:sz w:val="20"/>
                <w:szCs w:val="20"/>
              </w:rPr>
            </w:pPr>
            <w:r>
              <w:rPr>
                <w:rFonts w:ascii="Times New Roman" w:hAnsi="Times New Roman" w:cs="Times New Roman"/>
                <w:sz w:val="20"/>
                <w:szCs w:val="20"/>
              </w:rPr>
              <w:t>Ismerje a műveletek alkalmazási területeit.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homogén anyag fogalmát, a homogenizáló műveletek célját, berendezéseinek működési elvét.</w:t>
            </w:r>
          </w:p>
          <w:p w:rsidR="004C2997" w:rsidRDefault="004C2997">
            <w:pPr>
              <w:autoSpaceDE w:val="0"/>
              <w:autoSpaceDN w:val="0"/>
              <w:adjustRightInd w:val="0"/>
              <w:spacing w:after="0" w:line="240" w:lineRule="auto"/>
              <w:ind w:left="248" w:hanging="248"/>
              <w:rPr>
                <w:rFonts w:ascii="Times New Roman" w:hAnsi="Times New Roman" w:cs="Times New Roman"/>
                <w:sz w:val="20"/>
                <w:szCs w:val="20"/>
              </w:rPr>
            </w:pPr>
            <w:r>
              <w:rPr>
                <w:rFonts w:ascii="Times New Roman" w:hAnsi="Times New Roman" w:cs="Times New Roman"/>
                <w:sz w:val="20"/>
                <w:szCs w:val="20"/>
              </w:rPr>
              <w:t xml:space="preserve">Értse a homogenizálás törvényszerűségeit. </w:t>
            </w:r>
          </w:p>
        </w:tc>
        <w:tc>
          <w:tcPr>
            <w:tcW w:w="471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Végezzen számításokat a tanult képletek alapján.</w:t>
            </w:r>
          </w:p>
          <w:p w:rsidR="004C2997" w:rsidRDefault="004C2997">
            <w:pPr>
              <w:autoSpaceDE w:val="0"/>
              <w:autoSpaceDN w:val="0"/>
              <w:adjustRightInd w:val="0"/>
              <w:spacing w:after="0" w:line="240" w:lineRule="auto"/>
              <w:ind w:left="180"/>
              <w:rPr>
                <w:rFonts w:ascii="Times New Roman" w:hAnsi="Times New Roman" w:cs="Times New Roman"/>
                <w:sz w:val="20"/>
                <w:szCs w:val="20"/>
              </w:rPr>
            </w:pPr>
            <w:r>
              <w:rPr>
                <w:rFonts w:ascii="Times New Roman" w:hAnsi="Times New Roman" w:cs="Times New Roman"/>
                <w:sz w:val="20"/>
                <w:szCs w:val="20"/>
              </w:rPr>
              <w:t>- keverő teljesítményének meghatározására.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Vonjon le következtetéseket az emulzió előállítását és tárolását befolyásoló tényezőkből. </w:t>
            </w:r>
          </w:p>
        </w:tc>
      </w:tr>
      <w:tr w:rsidR="004C2997">
        <w:tblPrEx>
          <w:tblCellMar>
            <w:top w:w="0" w:type="dxa"/>
            <w:bottom w:w="0" w:type="dxa"/>
          </w:tblCellMar>
        </w:tblPrEx>
        <w:tc>
          <w:tcPr>
            <w:tcW w:w="4789"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Hőtani műveletek és gépek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Hőterjedési módok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Hőcserélés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Bepárlás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Hőkezelés, sterilezés, pasztörözés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Előfőzés, főzés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Sütés, pörkölés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Hűtés, fagyasztás</w:t>
            </w:r>
          </w:p>
        </w:tc>
        <w:tc>
          <w:tcPr>
            <w:tcW w:w="471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hőtani alapfogalmakat, a műveletek célját, alkalmazásának lehetőségeit.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 hőtani műveletekhez használt gépek és berendezések működési elvét.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Elemezze a hőtani műveletek folyamatát, a hőcserélés anyag- és hőmérlegét.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számításokat végezni a hővezetés, hőáramlás, hőátbocsátás képleteivel.</w:t>
            </w:r>
          </w:p>
        </w:tc>
        <w:tc>
          <w:tcPr>
            <w:tcW w:w="4714" w:type="dxa"/>
          </w:tcPr>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számolni a hőelvonás energiaszükségletét.</w:t>
            </w:r>
          </w:p>
          <w:p w:rsidR="004C2997" w:rsidRDefault="004C2997">
            <w:pPr>
              <w:autoSpaceDE w:val="0"/>
              <w:autoSpaceDN w:val="0"/>
              <w:adjustRightInd w:val="0"/>
              <w:spacing w:after="0" w:line="240" w:lineRule="auto"/>
              <w:ind w:left="211" w:hanging="211"/>
              <w:rPr>
                <w:rFonts w:ascii="Times New Roman" w:hAnsi="Times New Roman" w:cs="Times New Roman"/>
                <w:sz w:val="20"/>
                <w:szCs w:val="20"/>
              </w:rPr>
            </w:pPr>
            <w:r>
              <w:rPr>
                <w:rFonts w:ascii="Times New Roman" w:hAnsi="Times New Roman" w:cs="Times New Roman"/>
                <w:sz w:val="20"/>
                <w:szCs w:val="20"/>
              </w:rPr>
              <w:t>Tudjon anyag- és hőmérleget készíteni bepárlásra.</w:t>
            </w:r>
          </w:p>
          <w:p w:rsidR="004C2997" w:rsidRDefault="004C2997">
            <w:pPr>
              <w:autoSpaceDE w:val="0"/>
              <w:autoSpaceDN w:val="0"/>
              <w:adjustRightInd w:val="0"/>
              <w:spacing w:after="0" w:line="240" w:lineRule="auto"/>
              <w:ind w:left="211" w:hanging="211"/>
              <w:rPr>
                <w:rFonts w:ascii="Times New Roman" w:hAnsi="Times New Roman" w:cs="Times New Roman"/>
                <w:sz w:val="20"/>
                <w:szCs w:val="20"/>
              </w:rPr>
            </w:pPr>
            <w:r>
              <w:rPr>
                <w:rFonts w:ascii="Times New Roman" w:hAnsi="Times New Roman" w:cs="Times New Roman"/>
                <w:sz w:val="20"/>
                <w:szCs w:val="20"/>
              </w:rPr>
              <w:t>Hasonlítsa össze a különböző fűtési módokat.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Magyarázza a hőtani műveleteket befolyásoló tényezők hatását. </w:t>
            </w:r>
          </w:p>
        </w:tc>
      </w:tr>
      <w:tr w:rsidR="004C2997">
        <w:tblPrEx>
          <w:tblCellMar>
            <w:top w:w="0" w:type="dxa"/>
            <w:bottom w:w="0" w:type="dxa"/>
          </w:tblCellMar>
        </w:tblPrEx>
        <w:trPr>
          <w:trHeight w:val="1956"/>
        </w:trPr>
        <w:tc>
          <w:tcPr>
            <w:tcW w:w="4789" w:type="dxa"/>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Anyagátadási műveletek és gépek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Molekuláris és áramlásos diffúzió</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Állandósult és nem állandósult anyagátadás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Fázisok, fázistörvény</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Szárítás, kondicionálás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Diffúziós lényerés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Kristályosítás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Fermentálás</w:t>
            </w:r>
          </w:p>
        </w:tc>
        <w:tc>
          <w:tcPr>
            <w:tcW w:w="471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Ismerje az anyagátadási műveletek célját, az alkalmazás lehetőségeit.</w:t>
            </w:r>
          </w:p>
          <w:p w:rsidR="004C2997" w:rsidRDefault="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Tudja az anyagátadási műveletek törvényszerűségeit, a berendezések működési elvét.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Magyarázza a műveletek során bekövetkezett változásokat.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Tudja kiszámítani a szárítás anyagmérlegét.</w:t>
            </w:r>
          </w:p>
        </w:tc>
        <w:tc>
          <w:tcPr>
            <w:tcW w:w="4714"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Tudjon vázlatrajzot készíteni az anyagátadási berendezésekről.</w:t>
            </w:r>
          </w:p>
          <w:p w:rsidR="004C2997" w:rsidRDefault="004C2997">
            <w:pPr>
              <w:autoSpaceDE w:val="0"/>
              <w:autoSpaceDN w:val="0"/>
              <w:adjustRightInd w:val="0"/>
              <w:spacing w:after="0" w:line="240" w:lineRule="auto"/>
              <w:ind w:left="211" w:hanging="211"/>
              <w:rPr>
                <w:rFonts w:ascii="Times New Roman" w:hAnsi="Times New Roman" w:cs="Times New Roman"/>
                <w:sz w:val="20"/>
                <w:szCs w:val="20"/>
              </w:rPr>
            </w:pPr>
            <w:r>
              <w:rPr>
                <w:rFonts w:ascii="Times New Roman" w:hAnsi="Times New Roman" w:cs="Times New Roman"/>
                <w:sz w:val="20"/>
                <w:szCs w:val="20"/>
              </w:rPr>
              <w:t>Tudja kiszámítani a szárítás anyag- és hőmérlegét.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Hasonlítsa össze a különböző szárítási módokat gazdaságossági szempontból.</w:t>
            </w:r>
          </w:p>
        </w:tc>
      </w:tr>
    </w:tbl>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sectPr w:rsidR="004C2997">
          <w:type w:val="nextColumn"/>
          <w:pgSz w:w="16840" w:h="11907" w:orient="landscape"/>
          <w:pgMar w:top="1418" w:right="1701" w:bottom="1418" w:left="1134" w:header="708" w:footer="708" w:gutter="0"/>
          <w:cols w:space="708"/>
          <w:noEndnote/>
        </w:sect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NÉPMŰVÉSZET</w:t>
      </w:r>
    </w:p>
    <w:p w:rsidR="004C2997" w:rsidRDefault="004C2997" w:rsidP="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ÉRETTSÉGI VIZSGA ÁLTALÁNOS KÖVETELMÉNYEI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keepNext/>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 formája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454"/>
        <w:jc w:val="both"/>
        <w:rPr>
          <w:rFonts w:ascii="Times New Roman" w:hAnsi="Times New Roman" w:cs="Times New Roman"/>
          <w:sz w:val="20"/>
          <w:szCs w:val="20"/>
        </w:rPr>
      </w:pPr>
      <w:r>
        <w:rPr>
          <w:rFonts w:ascii="Times New Roman" w:hAnsi="Times New Roman" w:cs="Times New Roman"/>
          <w:sz w:val="20"/>
          <w:szCs w:val="20"/>
        </w:rPr>
        <w:t>Középszint: szóbeli vizsga.</w:t>
      </w:r>
    </w:p>
    <w:p w:rsidR="004C2997" w:rsidRDefault="004C2997" w:rsidP="004C2997">
      <w:pPr>
        <w:autoSpaceDE w:val="0"/>
        <w:autoSpaceDN w:val="0"/>
        <w:adjustRightInd w:val="0"/>
        <w:spacing w:after="0" w:line="240" w:lineRule="auto"/>
        <w:ind w:firstLine="454"/>
        <w:jc w:val="both"/>
        <w:rPr>
          <w:rFonts w:ascii="Times New Roman" w:hAnsi="Times New Roman" w:cs="Times New Roman"/>
          <w:sz w:val="20"/>
          <w:szCs w:val="20"/>
        </w:rPr>
      </w:pPr>
      <w:r>
        <w:rPr>
          <w:rFonts w:ascii="Times New Roman" w:hAnsi="Times New Roman" w:cs="Times New Roman"/>
          <w:sz w:val="20"/>
          <w:szCs w:val="20"/>
        </w:rPr>
        <w:t>Emelt szint: szóbeli vizsga.</w:t>
      </w:r>
    </w:p>
    <w:p w:rsidR="004C2997" w:rsidRDefault="004C2997" w:rsidP="004C2997">
      <w:pPr>
        <w:autoSpaceDE w:val="0"/>
        <w:autoSpaceDN w:val="0"/>
        <w:adjustRightInd w:val="0"/>
        <w:spacing w:after="0" w:line="240" w:lineRule="auto"/>
        <w:ind w:firstLine="454"/>
        <w:jc w:val="both"/>
        <w:rPr>
          <w:rFonts w:ascii="Times New Roman" w:hAnsi="Times New Roman" w:cs="Times New Roman"/>
          <w:sz w:val="20"/>
          <w:szCs w:val="20"/>
        </w:rPr>
      </w:pPr>
    </w:p>
    <w:p w:rsidR="004C2997" w:rsidRDefault="004C2997" w:rsidP="004C2997">
      <w:pPr>
        <w:keepNext/>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középszint és az emelt szint viszonya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454"/>
        <w:jc w:val="both"/>
        <w:rPr>
          <w:rFonts w:ascii="Times New Roman" w:hAnsi="Times New Roman" w:cs="Times New Roman"/>
          <w:sz w:val="20"/>
          <w:szCs w:val="20"/>
        </w:rPr>
      </w:pPr>
      <w:r>
        <w:rPr>
          <w:rFonts w:ascii="Times New Roman" w:hAnsi="Times New Roman" w:cs="Times New Roman"/>
          <w:sz w:val="20"/>
          <w:szCs w:val="20"/>
        </w:rPr>
        <w:t>A tanulónak mindkét szinten általános érvényű és értékű tudásról kell tanúbizonyságot tennie. A középszintű vizsga a népi kultúra egyes témaköreiben, azok történeti, társadalmi és gazdasági vonatkozásaiban általános műveltséghez tartozó tájékozottságot követel meg, míg az emelt szintű vizsga ezek összefüggéseinek elmélyültebb és alaposabb ismeretét várja el.</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keepNext/>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tantárgy oktatásának célja</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454"/>
        <w:jc w:val="both"/>
        <w:rPr>
          <w:rFonts w:ascii="Times New Roman" w:hAnsi="Times New Roman" w:cs="Times New Roman"/>
          <w:sz w:val="20"/>
          <w:szCs w:val="20"/>
        </w:rPr>
      </w:pPr>
      <w:r>
        <w:rPr>
          <w:rFonts w:ascii="Times New Roman" w:hAnsi="Times New Roman" w:cs="Times New Roman"/>
          <w:sz w:val="20"/>
          <w:szCs w:val="20"/>
        </w:rPr>
        <w:t>A tantárgy oktatásának célja a kultúra és a társadalom együttes működésének felismertetése. A tantárgy hármas egysége: egy tárgy (kultikus tárgy, használati tárgy vagy emléktárgy) története, használata, kontextusa; és e tárgy készítése, valamint készítőjének, forgalmazójának   használójának műveltsége, világnézete, kultúrája. Ezen keresztül jön létre a népművészet kulturális beágyazottságának és társadalmi környezetének megértése, megértetése. A rendszerezett szakmai és elméleti ismeretek átadásán túl a tantárgy elsősorban az érdeklődés felkeltését, a további tájékozódáshoz szükséges és lehetséges utak bemutatását szolgálja.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keepNext/>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tantárgy általános fejlesztési követelményei</w:t>
      </w: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454"/>
        <w:jc w:val="both"/>
        <w:rPr>
          <w:rFonts w:ascii="Times New Roman" w:hAnsi="Times New Roman" w:cs="Times New Roman"/>
          <w:sz w:val="20"/>
          <w:szCs w:val="20"/>
        </w:rPr>
      </w:pPr>
      <w:r>
        <w:rPr>
          <w:rFonts w:ascii="Times New Roman" w:hAnsi="Times New Roman" w:cs="Times New Roman"/>
          <w:sz w:val="20"/>
          <w:szCs w:val="20"/>
        </w:rPr>
        <w:t>A tanulók ismerjék</w:t>
      </w:r>
    </w:p>
    <w:p w:rsidR="004C2997" w:rsidRDefault="004C2997" w:rsidP="004C2997">
      <w:pPr>
        <w:tabs>
          <w:tab w:val="left" w:pos="709"/>
          <w:tab w:val="left" w:pos="814"/>
        </w:tabs>
        <w:autoSpaceDE w:val="0"/>
        <w:autoSpaceDN w:val="0"/>
        <w:adjustRightInd w:val="0"/>
        <w:spacing w:after="0" w:line="240" w:lineRule="auto"/>
        <w:ind w:left="738"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közösségek, a társadalmak és civilizációk kialakulásának és működésének főbb vonalait és a munkák specializálódásának nagyobb állomásait;</w:t>
      </w:r>
    </w:p>
    <w:p w:rsidR="004C2997" w:rsidRDefault="004C2997" w:rsidP="004C2997">
      <w:pPr>
        <w:tabs>
          <w:tab w:val="left" w:pos="709"/>
          <w:tab w:val="left" w:pos="814"/>
        </w:tabs>
        <w:autoSpaceDE w:val="0"/>
        <w:autoSpaceDN w:val="0"/>
        <w:adjustRightInd w:val="0"/>
        <w:spacing w:after="0" w:line="240" w:lineRule="auto"/>
        <w:ind w:left="738"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kultúrák és a társadalmak szerkezetének kapcsolatait;</w:t>
      </w:r>
    </w:p>
    <w:p w:rsidR="004C2997" w:rsidRDefault="004C2997" w:rsidP="004C2997">
      <w:pPr>
        <w:tabs>
          <w:tab w:val="left" w:pos="709"/>
          <w:tab w:val="left" w:pos="814"/>
        </w:tabs>
        <w:autoSpaceDE w:val="0"/>
        <w:autoSpaceDN w:val="0"/>
        <w:adjustRightInd w:val="0"/>
        <w:spacing w:after="0" w:line="240" w:lineRule="auto"/>
        <w:ind w:left="738"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egyén, a közösség és a kultúra viszonyait.</w:t>
      </w:r>
    </w:p>
    <w:p w:rsidR="004C2997" w:rsidRDefault="004C2997" w:rsidP="004C2997">
      <w:pPr>
        <w:autoSpaceDE w:val="0"/>
        <w:autoSpaceDN w:val="0"/>
        <w:adjustRightInd w:val="0"/>
        <w:spacing w:after="0" w:line="240" w:lineRule="auto"/>
        <w:ind w:firstLine="454"/>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454"/>
        <w:jc w:val="both"/>
        <w:rPr>
          <w:rFonts w:ascii="Times New Roman" w:hAnsi="Times New Roman" w:cs="Times New Roman"/>
          <w:sz w:val="20"/>
          <w:szCs w:val="20"/>
        </w:rPr>
      </w:pPr>
      <w:r>
        <w:rPr>
          <w:rFonts w:ascii="Times New Roman" w:hAnsi="Times New Roman" w:cs="Times New Roman"/>
          <w:sz w:val="20"/>
          <w:szCs w:val="20"/>
        </w:rPr>
        <w:t>A tanulók legyenek képesek</w:t>
      </w:r>
    </w:p>
    <w:p w:rsidR="004C2997" w:rsidRDefault="004C2997" w:rsidP="004C2997">
      <w:pPr>
        <w:tabs>
          <w:tab w:val="left" w:pos="709"/>
          <w:tab w:val="left" w:pos="814"/>
        </w:tabs>
        <w:autoSpaceDE w:val="0"/>
        <w:autoSpaceDN w:val="0"/>
        <w:adjustRightInd w:val="0"/>
        <w:spacing w:after="0" w:line="240" w:lineRule="auto"/>
        <w:ind w:left="738"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tárgyat és megnyilatkozást annak létrehozójával együtt korába és környezetébe beilleszteni és azzal együtt értelmezni;</w:t>
      </w:r>
    </w:p>
    <w:p w:rsidR="004C2997" w:rsidRDefault="004C2997" w:rsidP="004C2997">
      <w:pPr>
        <w:tabs>
          <w:tab w:val="left" w:pos="709"/>
          <w:tab w:val="left" w:pos="814"/>
        </w:tabs>
        <w:autoSpaceDE w:val="0"/>
        <w:autoSpaceDN w:val="0"/>
        <w:adjustRightInd w:val="0"/>
        <w:spacing w:after="0" w:line="240" w:lineRule="auto"/>
        <w:ind w:left="738"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megértés igényével viszonyulni saját környezetük és az eltérő, távoli vagy idegen csoportok és kultúrák megnyilvánulásaihoz egyaránt.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 NÉPMŰVÉSZET TANTÁRGY SZÓBELI ÉRETTSÉGI VIZSGA KÖVETELMÉNYRENDSZERE</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062"/>
        <w:gridCol w:w="3062"/>
        <w:gridCol w:w="3062"/>
      </w:tblGrid>
      <w:tr w:rsidR="004C2997">
        <w:tblPrEx>
          <w:tblCellMar>
            <w:top w:w="0" w:type="dxa"/>
            <w:left w:w="0" w:type="dxa"/>
            <w:bottom w:w="0" w:type="dxa"/>
            <w:right w:w="0" w:type="dxa"/>
          </w:tblCellMar>
        </w:tblPrEx>
        <w:trPr>
          <w:cantSplit/>
        </w:trPr>
        <w:tc>
          <w:tcPr>
            <w:tcW w:w="3062" w:type="dxa"/>
            <w:shd w:val="pct25" w:color="000000" w:fill="auto"/>
          </w:tcPr>
          <w:p w:rsidR="004C2997" w:rsidRDefault="004C2997">
            <w:pPr>
              <w:autoSpaceDE w:val="0"/>
              <w:autoSpaceDN w:val="0"/>
              <w:adjustRightInd w:val="0"/>
              <w:spacing w:before="120" w:after="120" w:line="240" w:lineRule="auto"/>
              <w:ind w:left="57" w:right="57"/>
              <w:jc w:val="center"/>
              <w:rPr>
                <w:rFonts w:ascii="Times New Roman" w:hAnsi="Times New Roman" w:cs="Times New Roman"/>
                <w:b/>
                <w:bCs/>
                <w:sz w:val="20"/>
                <w:szCs w:val="20"/>
              </w:rPr>
            </w:pPr>
            <w:r>
              <w:rPr>
                <w:rFonts w:ascii="Times New Roman" w:hAnsi="Times New Roman" w:cs="Times New Roman"/>
                <w:b/>
                <w:bCs/>
                <w:sz w:val="20"/>
                <w:szCs w:val="20"/>
              </w:rPr>
              <w:t>Témakör</w:t>
            </w:r>
          </w:p>
        </w:tc>
        <w:tc>
          <w:tcPr>
            <w:tcW w:w="3062" w:type="dxa"/>
            <w:shd w:val="pct25" w:color="000000" w:fill="auto"/>
          </w:tcPr>
          <w:p w:rsidR="004C2997" w:rsidRDefault="004C2997">
            <w:pPr>
              <w:autoSpaceDE w:val="0"/>
              <w:autoSpaceDN w:val="0"/>
              <w:adjustRightInd w:val="0"/>
              <w:spacing w:before="120" w:after="120" w:line="240" w:lineRule="auto"/>
              <w:ind w:left="57" w:right="57"/>
              <w:jc w:val="center"/>
              <w:rPr>
                <w:rFonts w:ascii="Times New Roman" w:hAnsi="Times New Roman" w:cs="Times New Roman"/>
                <w:b/>
                <w:bCs/>
                <w:sz w:val="20"/>
                <w:szCs w:val="20"/>
              </w:rPr>
            </w:pPr>
            <w:r>
              <w:rPr>
                <w:rFonts w:ascii="Times New Roman" w:hAnsi="Times New Roman" w:cs="Times New Roman"/>
                <w:b/>
                <w:bCs/>
                <w:sz w:val="20"/>
                <w:szCs w:val="20"/>
              </w:rPr>
              <w:t>Középszint</w:t>
            </w:r>
          </w:p>
        </w:tc>
        <w:tc>
          <w:tcPr>
            <w:tcW w:w="3062" w:type="dxa"/>
            <w:shd w:val="pct25" w:color="000000" w:fill="auto"/>
          </w:tcPr>
          <w:p w:rsidR="004C2997" w:rsidRDefault="004C2997">
            <w:pPr>
              <w:autoSpaceDE w:val="0"/>
              <w:autoSpaceDN w:val="0"/>
              <w:adjustRightInd w:val="0"/>
              <w:spacing w:before="120" w:after="120" w:line="240" w:lineRule="auto"/>
              <w:ind w:left="57" w:right="57"/>
              <w:jc w:val="center"/>
              <w:rPr>
                <w:rFonts w:ascii="Times New Roman" w:hAnsi="Times New Roman" w:cs="Times New Roman"/>
                <w:b/>
                <w:bCs/>
                <w:sz w:val="20"/>
                <w:szCs w:val="20"/>
              </w:rPr>
            </w:pPr>
            <w:r>
              <w:rPr>
                <w:rFonts w:ascii="Times New Roman" w:hAnsi="Times New Roman" w:cs="Times New Roman"/>
                <w:b/>
                <w:bCs/>
                <w:sz w:val="20"/>
                <w:szCs w:val="20"/>
              </w:rPr>
              <w:t>Emelt szint</w:t>
            </w:r>
          </w:p>
        </w:tc>
      </w:tr>
      <w:tr w:rsidR="004C2997">
        <w:tblPrEx>
          <w:tblCellMar>
            <w:top w:w="0" w:type="dxa"/>
            <w:left w:w="0" w:type="dxa"/>
            <w:bottom w:w="0" w:type="dxa"/>
            <w:right w:w="0" w:type="dxa"/>
          </w:tblCellMar>
        </w:tblPrEx>
        <w:trPr>
          <w:cantSplit/>
        </w:trPr>
        <w:tc>
          <w:tcPr>
            <w:tcW w:w="3062" w:type="dxa"/>
            <w:tcBorders>
              <w:bottom w:val="nil"/>
            </w:tcBorders>
          </w:tcPr>
          <w:p w:rsidR="004C2997" w:rsidRDefault="004C2997">
            <w:pPr>
              <w:autoSpaceDE w:val="0"/>
              <w:autoSpaceDN w:val="0"/>
              <w:adjustRightInd w:val="0"/>
              <w:spacing w:before="60" w:after="60" w:line="240" w:lineRule="auto"/>
              <w:ind w:left="57" w:right="57"/>
              <w:rPr>
                <w:rFonts w:ascii="Times New Roman" w:hAnsi="Times New Roman" w:cs="Times New Roman"/>
                <w:sz w:val="20"/>
                <w:szCs w:val="20"/>
              </w:rPr>
            </w:pPr>
            <w:r>
              <w:rPr>
                <w:rFonts w:ascii="Times New Roman" w:hAnsi="Times New Roman" w:cs="Times New Roman"/>
                <w:sz w:val="20"/>
                <w:szCs w:val="20"/>
              </w:rPr>
              <w:t>A kultúra általános fogalmai és történetiségük</w:t>
            </w:r>
          </w:p>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civilizációk kialakulásának lehetséges okai.</w:t>
            </w:r>
            <w:r>
              <w:rPr>
                <w:rFonts w:ascii="Times New Roman" w:hAnsi="Times New Roman" w:cs="Times New Roman"/>
                <w:sz w:val="20"/>
                <w:szCs w:val="20"/>
              </w:rPr>
              <w:br/>
              <w:t>A kultúra fogalma.</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etnográfia, az etnológia, a folklór és a kulturális antropológia fogalma, területei.</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népművészet felfedezése, népi kultúra, nemzeti kultúra.</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népművészet felfedezése, népi kultúra, nemzeti kultúra és értelmezései a XIX–XX. században.</w:t>
            </w:r>
          </w:p>
        </w:tc>
      </w:tr>
      <w:tr w:rsidR="004C2997">
        <w:tblPrEx>
          <w:tblCellMar>
            <w:top w:w="0" w:type="dxa"/>
            <w:left w:w="0" w:type="dxa"/>
            <w:bottom w:w="0" w:type="dxa"/>
            <w:right w:w="0" w:type="dxa"/>
          </w:tblCellMar>
        </w:tblPrEx>
        <w:trPr>
          <w:cantSplit/>
        </w:trPr>
        <w:tc>
          <w:tcPr>
            <w:tcW w:w="3062" w:type="dxa"/>
            <w:tcBorders>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Világkép, folklór</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Jel és megszemélyesítés.</w:t>
            </w:r>
            <w:r>
              <w:rPr>
                <w:rFonts w:ascii="Times New Roman" w:hAnsi="Times New Roman" w:cs="Times New Roman"/>
                <w:sz w:val="20"/>
                <w:szCs w:val="20"/>
              </w:rPr>
              <w:br/>
              <w:t xml:space="preserve">Motívumok és szimbólumok </w:t>
            </w:r>
            <w:r>
              <w:rPr>
                <w:rFonts w:ascii="Times New Roman" w:hAnsi="Times New Roman" w:cs="Times New Roman"/>
                <w:sz w:val="20"/>
                <w:szCs w:val="20"/>
              </w:rPr>
              <w:br/>
              <w:t>a népművészetben (és a nép-költészetben).</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Jel és megszemélyesítés.</w:t>
            </w:r>
            <w:r>
              <w:rPr>
                <w:rFonts w:ascii="Times New Roman" w:hAnsi="Times New Roman" w:cs="Times New Roman"/>
                <w:sz w:val="20"/>
                <w:szCs w:val="20"/>
              </w:rPr>
              <w:br/>
              <w:t>Motívumok és szimbólumok a népművészetben (és a népköl-tészetben); a jelek és a nekik tulajdonított jelentések, azok történeti változásai.</w:t>
            </w:r>
          </w:p>
        </w:tc>
      </w:tr>
      <w:tr w:rsidR="004C2997">
        <w:tblPrEx>
          <w:tblCellMar>
            <w:top w:w="0" w:type="dxa"/>
            <w:left w:w="0" w:type="dxa"/>
            <w:bottom w:w="0" w:type="dxa"/>
            <w:right w:w="0" w:type="dxa"/>
          </w:tblCellMar>
        </w:tblPrEx>
        <w:trPr>
          <w:cantSplit/>
        </w:trPr>
        <w:tc>
          <w:tcPr>
            <w:tcW w:w="3062" w:type="dxa"/>
            <w:tcBorders>
              <w:top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Naptári ünnepek, egyházi ünnepek, népszokások és a népszokások költészete.</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naptári ünnepek, egyházi ünnepek, népszokások; a vallás(ok) és a naprendszer periódusosságának kapcsolatai.</w:t>
            </w:r>
          </w:p>
        </w:tc>
      </w:tr>
      <w:tr w:rsidR="004C2997">
        <w:tblPrEx>
          <w:tblCellMar>
            <w:top w:w="0" w:type="dxa"/>
            <w:left w:w="0" w:type="dxa"/>
            <w:bottom w:w="0" w:type="dxa"/>
            <w:right w:w="0" w:type="dxa"/>
          </w:tblCellMar>
        </w:tblPrEx>
        <w:trPr>
          <w:cantSplit/>
        </w:trPr>
        <w:tc>
          <w:tcPr>
            <w:tcW w:w="3062" w:type="dxa"/>
            <w:tcBorders>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népköltészet, a népzene és a néptánc műfajai és összefüggéseik. Ritus és szórakozás.</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 xml:space="preserve">A népköltészet, a népzene és a néptánc műfajai és összefüggéseik. Rítus és szórakozás. Az epikus műfajok (feltételezett) eredete; </w:t>
            </w:r>
            <w:r>
              <w:rPr>
                <w:rFonts w:ascii="Times New Roman" w:hAnsi="Times New Roman" w:cs="Times New Roman"/>
                <w:sz w:val="20"/>
                <w:szCs w:val="20"/>
              </w:rPr>
              <w:br/>
              <w:t xml:space="preserve">a zene és a szöveg kapcsolata </w:t>
            </w:r>
            <w:r>
              <w:rPr>
                <w:rFonts w:ascii="Times New Roman" w:hAnsi="Times New Roman" w:cs="Times New Roman"/>
                <w:sz w:val="20"/>
                <w:szCs w:val="20"/>
              </w:rPr>
              <w:br/>
              <w:t xml:space="preserve">a balladában és a lírában, a tánc dramatikus hagyományai. </w:t>
            </w:r>
            <w:r>
              <w:rPr>
                <w:rFonts w:ascii="Times New Roman" w:hAnsi="Times New Roman" w:cs="Times New Roman"/>
                <w:sz w:val="20"/>
                <w:szCs w:val="20"/>
              </w:rPr>
              <w:br/>
              <w:t>A zenészek specializálódása.</w:t>
            </w:r>
          </w:p>
        </w:tc>
      </w:tr>
      <w:tr w:rsidR="004C2997">
        <w:tblPrEx>
          <w:tblCellMar>
            <w:top w:w="0" w:type="dxa"/>
            <w:left w:w="0" w:type="dxa"/>
            <w:bottom w:w="0" w:type="dxa"/>
            <w:right w:w="0" w:type="dxa"/>
          </w:tblCellMar>
        </w:tblPrEx>
        <w:trPr>
          <w:cantSplit/>
        </w:trPr>
        <w:tc>
          <w:tcPr>
            <w:tcW w:w="3062" w:type="dxa"/>
            <w:tcBorders>
              <w:top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Az emberi élet fordulói és a hozzá fűződő szokások.</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Az emberi élet fordulói és a hozzá fűződő szokások; az átmeneti rítusok fontossága.</w:t>
            </w:r>
          </w:p>
        </w:tc>
      </w:tr>
      <w:tr w:rsidR="004C2997">
        <w:tblPrEx>
          <w:tblCellMar>
            <w:top w:w="0" w:type="dxa"/>
            <w:left w:w="0" w:type="dxa"/>
            <w:bottom w:w="0" w:type="dxa"/>
            <w:right w:w="0" w:type="dxa"/>
          </w:tblCellMar>
        </w:tblPrEx>
        <w:trPr>
          <w:cantSplit/>
        </w:trPr>
        <w:tc>
          <w:tcPr>
            <w:tcW w:w="3062" w:type="dxa"/>
            <w:tcBorders>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Társadalom, gazdaság, mesterség</w:t>
            </w:r>
          </w:p>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Család, rokonság, munkaszervezet, munkarend.</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Család, rokonság, munkaszervezet, munkarend, az életkorokhoz fűződő szerepek.</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mezőgazdálkodás, a paraszti munkák és munkarend kialakulása, történeti változásai; elsődleges (nemek szerinti) munkamegosztás.</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mezőgazdálkodás, a paraszti munkák és munkarend kialakulása, történeti változásai; elsődleges (nemek szerinti) munkamegosztás; nyomásos gazdálkodás, másodlagos munkamegosztás, specializálódás. Új növények megjelenése.</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családokat összefogó közösségek rendje; a falu, a piac.</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 xml:space="preserve">A családokat összefogó közösségek rendje; a falu, a piac. </w:t>
            </w:r>
            <w:r>
              <w:rPr>
                <w:rFonts w:ascii="Times New Roman" w:hAnsi="Times New Roman" w:cs="Times New Roman"/>
                <w:sz w:val="20"/>
                <w:szCs w:val="20"/>
              </w:rPr>
              <w:br/>
              <w:t>A központosított közigazgatás szerepe, adózás, szabványosítási kísérletek.</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falu hierarchiája. A parasztság rétegezettsége.</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falu hierarchiája. A parasztság és a nemesség rétegezettsége. A föld nélküliek, az értelmiségiek, az iparosok, a kereskedők.</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„Ősmesterségek”, halász, vadász, madarász” juhász, gulyás, kanász, csikós. Pásztorművészet.</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„Ősmesterségek”, halász, vadász, madarász” juhász, gulyás, kanász, csikós. Pásztorművészet, technikái, tárgyai és funkciói.</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Malmok, molnárok; a malom mint fórum.</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Malmok, molnárok; a malom mint fórum. Kézi malom, száraz malom, vízimalom, szélmalom, hajómalom; gőzmalom, mint konkurencia.</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 xml:space="preserve">Kovácsok, kovácsműhelyek, </w:t>
            </w:r>
            <w:r>
              <w:rPr>
                <w:rFonts w:ascii="Times New Roman" w:hAnsi="Times New Roman" w:cs="Times New Roman"/>
                <w:sz w:val="20"/>
                <w:szCs w:val="20"/>
              </w:rPr>
              <w:br/>
              <w:t>a műhely, mint fórum.</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 xml:space="preserve">Kovácsok, kovácsműhelyek, </w:t>
            </w:r>
            <w:r>
              <w:rPr>
                <w:rFonts w:ascii="Times New Roman" w:hAnsi="Times New Roman" w:cs="Times New Roman"/>
                <w:sz w:val="20"/>
                <w:szCs w:val="20"/>
              </w:rPr>
              <w:br/>
              <w:t>a műhely, mint fórum. Patkoló kovács, szerszámkovács, cigány kovács, csontkovács.</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Ácsok, asztalosok, a tetőszerkezet típusai, bútorok fajtái, ácsszerkezet és asztalos szerkezet.</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Ácsok, asztalosok, a tetőszerkezet típusai, bútorok fajtái, ácsszerkezet és asztalos szerkezet.</w:t>
            </w:r>
            <w:r>
              <w:rPr>
                <w:rFonts w:ascii="Times New Roman" w:hAnsi="Times New Roman" w:cs="Times New Roman"/>
                <w:sz w:val="20"/>
                <w:szCs w:val="20"/>
              </w:rPr>
              <w:br/>
              <w:t>A fűrészmalmok és az asztalosbútorok tömeges elterjedése.</w:t>
            </w:r>
          </w:p>
        </w:tc>
      </w:tr>
      <w:tr w:rsidR="004C2997">
        <w:tblPrEx>
          <w:tblCellMar>
            <w:top w:w="0" w:type="dxa"/>
            <w:left w:w="0" w:type="dxa"/>
            <w:bottom w:w="0" w:type="dxa"/>
            <w:right w:w="0" w:type="dxa"/>
          </w:tblCellMar>
        </w:tblPrEx>
        <w:trPr>
          <w:cantSplit/>
        </w:trPr>
        <w:tc>
          <w:tcPr>
            <w:tcW w:w="3062" w:type="dxa"/>
            <w:tcBorders>
              <w:top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Bognárok, kerékgyártók. A híres magyar kocsigyártás.</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Bognárok, kerékgyártók. A híres magyar kocsigyártás. A közlekedés és szállítás eszközeinek fejlődése, és szerepük.</w:t>
            </w:r>
          </w:p>
        </w:tc>
      </w:tr>
      <w:tr w:rsidR="004C2997">
        <w:tblPrEx>
          <w:tblCellMar>
            <w:top w:w="0" w:type="dxa"/>
            <w:left w:w="0" w:type="dxa"/>
            <w:bottom w:w="0" w:type="dxa"/>
            <w:right w:w="0" w:type="dxa"/>
          </w:tblCellMar>
        </w:tblPrEx>
        <w:trPr>
          <w:cantSplit/>
        </w:trPr>
        <w:tc>
          <w:tcPr>
            <w:tcW w:w="3062" w:type="dxa"/>
            <w:tcBorders>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Ruhakészítés. Szabó, gubacsapó és szűrszabó; úri szabó, német-szabó, női szabó.</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Ruhakészítés. Szabó, gubacsapó és szűrszabó; úri szabó, német-szabó, női szabó. Alapanyagok, szabásminták és a készáru kereskedelme.</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Bőrkészítés, bőrfeldolgozás. Tímár, varga, csizmadia, szíjgyártó.</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Bőrkészítés, bőrfeldolgozás. Tímár, varga, csizmadia, szíjgyártó. Lábbeli, bőrruházat, lószerszám és más állatok szerszámai.</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Kéreg, vessző, gyékény és faedények. Kosárfonó, gyékényes, teknővájó, kádár és pintér.</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 xml:space="preserve">Kéreg, vessző, gyékény és faedények. Kosárfonó, gyékényes, teknővájó, kádár és pintér. </w:t>
            </w:r>
            <w:r>
              <w:rPr>
                <w:rFonts w:ascii="Times New Roman" w:hAnsi="Times New Roman" w:cs="Times New Roman"/>
                <w:sz w:val="20"/>
                <w:szCs w:val="20"/>
              </w:rPr>
              <w:br/>
              <w:t>A termékek felhasználásának ismertetése, pl. kenyérdagasztás, bortermelés.</w:t>
            </w:r>
          </w:p>
        </w:tc>
      </w:tr>
      <w:tr w:rsidR="004C2997">
        <w:tblPrEx>
          <w:tblCellMar>
            <w:top w:w="0" w:type="dxa"/>
            <w:left w:w="0" w:type="dxa"/>
            <w:bottom w:w="0" w:type="dxa"/>
            <w:right w:w="0" w:type="dxa"/>
          </w:tblCellMar>
        </w:tblPrEx>
        <w:trPr>
          <w:cantSplit/>
        </w:trPr>
        <w:tc>
          <w:tcPr>
            <w:tcW w:w="3062" w:type="dxa"/>
            <w:tcBorders>
              <w:top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Ezermesterek, barkácsolók. Céhek és kontárok.</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 xml:space="preserve">Ezermesterek, barkácsolók. Céhek és kontárok. Házilag készített, alkalmi eszközök; </w:t>
            </w:r>
            <w:r>
              <w:rPr>
                <w:rFonts w:ascii="Times New Roman" w:hAnsi="Times New Roman" w:cs="Times New Roman"/>
                <w:sz w:val="20"/>
                <w:szCs w:val="20"/>
              </w:rPr>
              <w:br/>
              <w:t>pl. szerszámnyelek, játékok.</w:t>
            </w:r>
            <w:r>
              <w:rPr>
                <w:rFonts w:ascii="Times New Roman" w:hAnsi="Times New Roman" w:cs="Times New Roman"/>
                <w:sz w:val="20"/>
                <w:szCs w:val="20"/>
              </w:rPr>
              <w:br/>
              <w:t>Árutermelés.</w:t>
            </w:r>
          </w:p>
        </w:tc>
      </w:tr>
      <w:tr w:rsidR="004C2997">
        <w:tblPrEx>
          <w:tblCellMar>
            <w:top w:w="0" w:type="dxa"/>
            <w:left w:w="0" w:type="dxa"/>
            <w:bottom w:w="0" w:type="dxa"/>
            <w:right w:w="0" w:type="dxa"/>
          </w:tblCellMar>
        </w:tblPrEx>
        <w:trPr>
          <w:cantSplit/>
        </w:trPr>
        <w:tc>
          <w:tcPr>
            <w:tcW w:w="3062" w:type="dxa"/>
            <w:tcBorders>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Otthon, lakótér és tárgyi világa</w:t>
            </w:r>
          </w:p>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Nomadizálók lakóterei, kerek alaprajzú épületek, „gubba, hajma”. Használatuk, (férfi-női térfél, kultikus tér, munkatér), bútorzatuk.</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Nomadizálók lakóterei, „gubba, hajma”. Kerek alaprajzú épületek. Továbbélésük; Halászkunyhó, pásztorkunyhó. Használatuk, (férfi-női térfél, kultikus tér, munkatér), bútorzatuk.</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kerek és a szögletes alaprajz történeti alapmintái, sátor és veremház. Építőanyagok.</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kerek és a szögletes alaprajz történeti alapmintái, sátor és veremház. Építőanyagok, megmunkálási technikák. Ülőgödör.</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ház fejlődése, tüzelőberendezések és alaprajzi típusok.</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 xml:space="preserve">A ház fejlődése, tüzelőberendezések és alaprajzi típusok. </w:t>
            </w:r>
            <w:r>
              <w:rPr>
                <w:rFonts w:ascii="Times New Roman" w:hAnsi="Times New Roman" w:cs="Times New Roman"/>
                <w:sz w:val="20"/>
                <w:szCs w:val="20"/>
              </w:rPr>
              <w:br/>
              <w:t>A modulrendszer változása, a méretek és az építőtechnikák változásai.</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Tüzelőanyagok (rönkfa, nád, szalma, kukoricaszár, trágya) és tüzelőberendezések ökológiája.</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Tüzelőanyagok (rönkfa, nád, szalma, kukoricaszár, trágya) és tüzelőberendezések ökológiája.</w:t>
            </w:r>
            <w:r>
              <w:rPr>
                <w:rFonts w:ascii="Times New Roman" w:hAnsi="Times New Roman" w:cs="Times New Roman"/>
                <w:sz w:val="20"/>
                <w:szCs w:val="20"/>
              </w:rPr>
              <w:br/>
              <w:t>Táji, területi típusok.</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Füstelvezetés, nyitott fedélszék, kürtők, kémények. Rúdra valók és bútorok.</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Füstelvezetés, nyitott fedélszék, kürtők, kémények. Táji, területi típusok. Rúdra valók és bútorok.</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bútorok elhelyezésének rendje, diagonális és párhuzamos elrendezés.</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bútorok elhelyezésének rendje, diagonális és párhuzamos elrendezés. Ácsolt és asztalosbútorok, megmunkálásuk szerszámai, technológiájuk története. Házilag készített bútorok.</w:t>
            </w:r>
          </w:p>
        </w:tc>
      </w:tr>
      <w:tr w:rsidR="004C2997">
        <w:tblPrEx>
          <w:tblCellMar>
            <w:top w:w="0" w:type="dxa"/>
            <w:left w:w="0" w:type="dxa"/>
            <w:bottom w:w="0" w:type="dxa"/>
            <w:right w:w="0" w:type="dxa"/>
          </w:tblCellMar>
        </w:tblPrEx>
        <w:trPr>
          <w:cantSplit/>
        </w:trPr>
        <w:tc>
          <w:tcPr>
            <w:tcW w:w="3062" w:type="dxa"/>
            <w:tcBorders>
              <w:top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Településtípusok, város és falu. Telekformák, gazdasági épületek.</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Településtípusok, város és falu. Telekformák, gazdasági épületek.</w:t>
            </w:r>
            <w:r>
              <w:rPr>
                <w:rFonts w:ascii="Times New Roman" w:hAnsi="Times New Roman" w:cs="Times New Roman"/>
                <w:sz w:val="20"/>
                <w:szCs w:val="20"/>
              </w:rPr>
              <w:br/>
              <w:t>A falvak alaprajzi típusai.</w:t>
            </w:r>
          </w:p>
        </w:tc>
      </w:tr>
      <w:tr w:rsidR="004C2997">
        <w:tblPrEx>
          <w:tblCellMar>
            <w:top w:w="0" w:type="dxa"/>
            <w:left w:w="0" w:type="dxa"/>
            <w:bottom w:w="0" w:type="dxa"/>
            <w:right w:w="0" w:type="dxa"/>
          </w:tblCellMar>
        </w:tblPrEx>
        <w:trPr>
          <w:cantSplit/>
        </w:trPr>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falu életének és szerepének, változása az ipari civilizáció korszakában. Polgári, kispolgári minták, panel.</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falu életének és szerepének, változása az ipari civilizáció korszakában. Polgári, kispolgári minták, panel. A régi házak és technikák mai utóélete.</w:t>
            </w:r>
          </w:p>
        </w:tc>
      </w:tr>
      <w:tr w:rsidR="004C2997">
        <w:tblPrEx>
          <w:tblCellMar>
            <w:top w:w="0" w:type="dxa"/>
            <w:left w:w="0" w:type="dxa"/>
            <w:bottom w:w="0" w:type="dxa"/>
            <w:right w:w="0" w:type="dxa"/>
          </w:tblCellMar>
        </w:tblPrEx>
        <w:trPr>
          <w:cantSplit/>
        </w:trPr>
        <w:tc>
          <w:tcPr>
            <w:tcW w:w="3062" w:type="dxa"/>
            <w:tcBorders>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lastRenderedPageBreak/>
              <w:t>Népi kerámia</w:t>
            </w:r>
          </w:p>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Az agyagművesség története, kialakulásának gazdasági feltételei.</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Az agyagművesség története, kialakulásának gazdasági feltételei. Az agyag alkalmassága, az égetés.</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Agyaglelőhelyek Magyarországon, fazekasközpontok.</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Agyaglelőhelyek Magyarországon, fazekasközpontok. Mázas, mázatlan cserép, oxidációs, redukciós égetés (fekete edény).</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cserépedények típusai, terminológiája.</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cserépedények típusai, terminológiája. Égetőkemencék típusai, égetési módok.</w:t>
            </w:r>
          </w:p>
        </w:tc>
      </w:tr>
      <w:tr w:rsidR="004C2997">
        <w:tblPrEx>
          <w:tblCellMar>
            <w:top w:w="0" w:type="dxa"/>
            <w:left w:w="0" w:type="dxa"/>
            <w:bottom w:w="0" w:type="dxa"/>
            <w:right w:w="0" w:type="dxa"/>
          </w:tblCellMar>
        </w:tblPrEx>
        <w:trPr>
          <w:cantSplit/>
        </w:trPr>
        <w:tc>
          <w:tcPr>
            <w:tcW w:w="3062" w:type="dxa"/>
            <w:tcBorders>
              <w:top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Kereskedelem, cserekereskedelem, piacozás. Kereslet és kínálat.</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Kereskedelem, cserekereskedelem, piacozás. Kereslet és kínálat. Hétköznapi és ünnepi, férfi és női használatra készült tárgyak. Díszítések, feliratok.</w:t>
            </w:r>
          </w:p>
        </w:tc>
      </w:tr>
      <w:tr w:rsidR="004C2997">
        <w:tblPrEx>
          <w:tblCellMar>
            <w:top w:w="0" w:type="dxa"/>
            <w:left w:w="0" w:type="dxa"/>
            <w:bottom w:w="0" w:type="dxa"/>
            <w:right w:w="0" w:type="dxa"/>
          </w:tblCellMar>
        </w:tblPrEx>
        <w:trPr>
          <w:cantSplit/>
        </w:trPr>
        <w:tc>
          <w:tcPr>
            <w:tcW w:w="3062" w:type="dxa"/>
            <w:tcBorders>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Textilek</w:t>
            </w:r>
          </w:p>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fonás, szövés ősi technikái.</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fonás, szövés ősi technikái. Nemez készítés. Fonott falazatok, kerítések, hálók.</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fonás, szövés alapanyagai (növényi és állati) és feldolgozásuk.</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fonás, szövés alapanyagai (növényi és állati) és feldolgozásuk. A fonalak típusai és színezésük.</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szövés termékei, használatuk.</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 xml:space="preserve">A szövés termékei, használatuk. </w:t>
            </w:r>
            <w:r>
              <w:rPr>
                <w:rFonts w:ascii="Times New Roman" w:hAnsi="Times New Roman" w:cs="Times New Roman"/>
                <w:sz w:val="20"/>
                <w:szCs w:val="20"/>
              </w:rPr>
              <w:br/>
              <w:t>A hétköznapi és az ünnepi textilek, viseletek.</w:t>
            </w:r>
          </w:p>
        </w:tc>
      </w:tr>
      <w:tr w:rsidR="004C2997">
        <w:tblPrEx>
          <w:tblCellMar>
            <w:top w:w="0" w:type="dxa"/>
            <w:left w:w="0" w:type="dxa"/>
            <w:bottom w:w="0" w:type="dxa"/>
            <w:right w:w="0" w:type="dxa"/>
          </w:tblCellMar>
        </w:tblPrEx>
        <w:trPr>
          <w:cantSplit/>
        </w:trPr>
        <w:tc>
          <w:tcPr>
            <w:tcW w:w="3062" w:type="dxa"/>
            <w:tcBorders>
              <w:top w:val="nil"/>
              <w:bottom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viseletben megjelenő táji, etnikus hovatartozás, nem, kor, családi állapot, vagyoni helyzet.</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 xml:space="preserve">A viseletben megjelenő táji, etnikus hovatartozás, nem, kor, családi állapot, vagyoni helyzet. </w:t>
            </w:r>
            <w:r>
              <w:rPr>
                <w:rFonts w:ascii="Times New Roman" w:hAnsi="Times New Roman" w:cs="Times New Roman"/>
                <w:sz w:val="20"/>
                <w:szCs w:val="20"/>
              </w:rPr>
              <w:br/>
              <w:t xml:space="preserve">A szőttesek stílusjegyei. </w:t>
            </w:r>
            <w:r>
              <w:rPr>
                <w:rFonts w:ascii="Times New Roman" w:hAnsi="Times New Roman" w:cs="Times New Roman"/>
                <w:sz w:val="20"/>
                <w:szCs w:val="20"/>
              </w:rPr>
              <w:br/>
              <w:t>A hímzések és nagyobb táji típusaik.</w:t>
            </w:r>
          </w:p>
        </w:tc>
      </w:tr>
      <w:tr w:rsidR="004C2997">
        <w:tblPrEx>
          <w:tblCellMar>
            <w:top w:w="0" w:type="dxa"/>
            <w:left w:w="0" w:type="dxa"/>
            <w:bottom w:w="0" w:type="dxa"/>
            <w:right w:w="0" w:type="dxa"/>
          </w:tblCellMar>
        </w:tblPrEx>
        <w:trPr>
          <w:cantSplit/>
        </w:trPr>
        <w:tc>
          <w:tcPr>
            <w:tcW w:w="3062" w:type="dxa"/>
            <w:tcBorders>
              <w:top w:val="nil"/>
            </w:tcBorders>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A díszítettség történeti korszakai, a gyári áru színrelépése, a kivetkőzés.</w:t>
            </w:r>
          </w:p>
        </w:tc>
        <w:tc>
          <w:tcPr>
            <w:tcW w:w="3062" w:type="dxa"/>
          </w:tcPr>
          <w:p w:rsidR="004C2997" w:rsidRDefault="004C2997">
            <w:pPr>
              <w:autoSpaceDE w:val="0"/>
              <w:autoSpaceDN w:val="0"/>
              <w:adjustRightInd w:val="0"/>
              <w:spacing w:before="40" w:after="40" w:line="240" w:lineRule="auto"/>
              <w:ind w:left="57" w:right="57"/>
              <w:rPr>
                <w:rFonts w:ascii="Times New Roman" w:hAnsi="Times New Roman" w:cs="Times New Roman"/>
                <w:sz w:val="20"/>
                <w:szCs w:val="20"/>
              </w:rPr>
            </w:pPr>
            <w:r>
              <w:rPr>
                <w:rFonts w:ascii="Times New Roman" w:hAnsi="Times New Roman" w:cs="Times New Roman"/>
                <w:sz w:val="20"/>
                <w:szCs w:val="20"/>
              </w:rPr>
              <w:t xml:space="preserve">A díszítettség történeti korszakai, a gyári áru színrelépése, a piaci megrendelések hatása. </w:t>
            </w:r>
            <w:r>
              <w:rPr>
                <w:rFonts w:ascii="Times New Roman" w:hAnsi="Times New Roman" w:cs="Times New Roman"/>
                <w:sz w:val="20"/>
                <w:szCs w:val="20"/>
              </w:rPr>
              <w:br/>
              <w:t>A kivetkőzés. Kékfestés. Csipke. Népi formák és motívumok továbbélési lehetőségei.</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pPr>
    </w:p>
    <w:p w:rsidR="004C2997" w:rsidRDefault="004C2997" w:rsidP="004C2997">
      <w:pPr>
        <w:autoSpaceDE w:val="0"/>
        <w:autoSpaceDN w:val="0"/>
        <w:adjustRightInd w:val="0"/>
        <w:spacing w:after="0" w:line="240" w:lineRule="auto"/>
        <w:rPr>
          <w:rFonts w:ascii="Times New Roman" w:hAnsi="Times New Roman" w:cs="Times New Roman"/>
          <w:sz w:val="20"/>
          <w:szCs w:val="20"/>
        </w:rPr>
        <w:sectPr w:rsidR="004C2997">
          <w:pgSz w:w="11906" w:h="16838"/>
          <w:pgMar w:top="1417" w:right="1417" w:bottom="1134" w:left="1417" w:header="708" w:footer="708" w:gutter="0"/>
          <w:cols w:space="708"/>
          <w:noEndnote/>
        </w:sectPr>
      </w:pPr>
    </w:p>
    <w:p w:rsidR="004C2997" w:rsidRDefault="004C2997" w:rsidP="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MŰVÉSZETTÖRTÉNET</w:t>
      </w:r>
      <w:r>
        <w:rPr>
          <w:rFonts w:ascii="Times New Roman" w:hAnsi="Times New Roman" w:cs="Times New Roman"/>
          <w:b/>
          <w:bCs/>
          <w:sz w:val="20"/>
          <w:szCs w:val="20"/>
        </w:rPr>
        <w:br/>
        <w:t>ÉRETTSÉGI VIZSGA ÁLTALÁNOS KÖVETELMÉNYEI</w:t>
      </w:r>
    </w:p>
    <w:p w:rsidR="004C2997" w:rsidRDefault="004C2997" w:rsidP="004C2997">
      <w:pPr>
        <w:autoSpaceDE w:val="0"/>
        <w:autoSpaceDN w:val="0"/>
        <w:adjustRightInd w:val="0"/>
        <w:spacing w:after="0" w:line="240" w:lineRule="auto"/>
        <w:jc w:val="center"/>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vizsga szintjei és formája</w:t>
      </w:r>
    </w:p>
    <w:p w:rsidR="004C2997" w:rsidRDefault="004C2997" w:rsidP="004C2997">
      <w:pPr>
        <w:autoSpaceDE w:val="0"/>
        <w:autoSpaceDN w:val="0"/>
        <w:adjustRightInd w:val="0"/>
        <w:spacing w:after="0" w:line="240" w:lineRule="auto"/>
        <w:rPr>
          <w:rFonts w:ascii="Times New Roman" w:hAnsi="Times New Roman" w:cs="Times New Roman"/>
          <w:sz w:val="10"/>
          <w:szCs w:val="10"/>
        </w:rPr>
      </w:pPr>
    </w:p>
    <w:p w:rsidR="004C2997" w:rsidRDefault="004C2997" w:rsidP="004C2997">
      <w:pPr>
        <w:autoSpaceDE w:val="0"/>
        <w:autoSpaceDN w:val="0"/>
        <w:adjustRightInd w:val="0"/>
        <w:spacing w:after="0" w:line="240" w:lineRule="auto"/>
        <w:ind w:firstLine="360"/>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ind w:firstLine="360"/>
        <w:rPr>
          <w:rFonts w:ascii="Times New Roman" w:hAnsi="Times New Roman" w:cs="Times New Roman"/>
          <w:sz w:val="20"/>
          <w:szCs w:val="20"/>
        </w:rPr>
      </w:pPr>
      <w:r>
        <w:rPr>
          <w:rFonts w:ascii="Times New Roman" w:hAnsi="Times New Roman" w:cs="Times New Roman"/>
          <w:sz w:val="20"/>
          <w:szCs w:val="20"/>
        </w:rPr>
        <w:t>Emelt szinten: írásbeli és szóbeli.</w:t>
      </w:r>
    </w:p>
    <w:p w:rsidR="004C2997" w:rsidRDefault="004C2997" w:rsidP="004C2997">
      <w:pPr>
        <w:autoSpaceDE w:val="0"/>
        <w:autoSpaceDN w:val="0"/>
        <w:adjustRightInd w:val="0"/>
        <w:spacing w:after="0" w:line="240" w:lineRule="auto"/>
        <w:rPr>
          <w:rFonts w:ascii="Times New Roman" w:hAnsi="Times New Roman" w:cs="Times New Roman"/>
          <w:sz w:val="16"/>
          <w:szCs w:val="16"/>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p>
    <w:p w:rsidR="004C2997" w:rsidRDefault="004C2997" w:rsidP="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művészettörténet érettségi vizsga célja</w:t>
      </w:r>
    </w:p>
    <w:p w:rsidR="004C2997" w:rsidRDefault="004C2997" w:rsidP="004C2997">
      <w:pPr>
        <w:autoSpaceDE w:val="0"/>
        <w:autoSpaceDN w:val="0"/>
        <w:adjustRightInd w:val="0"/>
        <w:spacing w:after="0" w:line="240" w:lineRule="auto"/>
        <w:ind w:firstLine="708"/>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360"/>
        <w:rPr>
          <w:rFonts w:ascii="Times New Roman" w:hAnsi="Times New Roman" w:cs="Times New Roman"/>
          <w:sz w:val="20"/>
          <w:szCs w:val="20"/>
        </w:rPr>
      </w:pPr>
      <w:r>
        <w:rPr>
          <w:rFonts w:ascii="Times New Roman" w:hAnsi="Times New Roman" w:cs="Times New Roman"/>
          <w:sz w:val="20"/>
          <w:szCs w:val="20"/>
        </w:rPr>
        <w:t>A művészettörténet érettségi vizsga célja annak megállapítása, hogy a vizsgázó</w:t>
      </w:r>
    </w:p>
    <w:p w:rsidR="004C2997" w:rsidRDefault="004C2997" w:rsidP="004C2997">
      <w:pPr>
        <w:tabs>
          <w:tab w:val="left" w:pos="709"/>
          <w:tab w:val="left" w:pos="814"/>
        </w:tabs>
        <w:autoSpaceDE w:val="0"/>
        <w:autoSpaceDN w:val="0"/>
        <w:adjustRightInd w:val="0"/>
        <w:spacing w:after="0" w:line="240" w:lineRule="auto"/>
        <w:ind w:left="738"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készségszinten felismeri-e a leghíresebb, legkiemelkedőbb alkotásokat, azaz a megfelelő mennyiségű vizuális ismeret birtokában van-e, </w:t>
      </w:r>
    </w:p>
    <w:p w:rsidR="004C2997" w:rsidRDefault="004C2997" w:rsidP="004C2997">
      <w:pPr>
        <w:tabs>
          <w:tab w:val="left" w:pos="709"/>
          <w:tab w:val="left" w:pos="814"/>
        </w:tabs>
        <w:autoSpaceDE w:val="0"/>
        <w:autoSpaceDN w:val="0"/>
        <w:adjustRightInd w:val="0"/>
        <w:spacing w:after="0" w:line="240" w:lineRule="auto"/>
        <w:ind w:left="738"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rendelkezik-e azzal a jártassággal, hogy meghatározza az egyes alkotások, mely korszakhoz, mely stíluskörhöz tartoznak. </w:t>
      </w:r>
    </w:p>
    <w:p w:rsidR="004C2997" w:rsidRDefault="004C2997" w:rsidP="004C2997">
      <w:pPr>
        <w:autoSpaceDE w:val="0"/>
        <w:autoSpaceDN w:val="0"/>
        <w:adjustRightInd w:val="0"/>
        <w:spacing w:after="0" w:line="240" w:lineRule="auto"/>
        <w:ind w:firstLine="708"/>
        <w:rPr>
          <w:rFonts w:ascii="Times New Roman" w:hAnsi="Times New Roman" w:cs="Times New Roman"/>
          <w:sz w:val="20"/>
          <w:szCs w:val="20"/>
        </w:rPr>
      </w:pPr>
    </w:p>
    <w:p w:rsidR="004C2997" w:rsidRDefault="004C2997" w:rsidP="004C2997">
      <w:pPr>
        <w:autoSpaceDE w:val="0"/>
        <w:autoSpaceDN w:val="0"/>
        <w:adjustRightInd w:val="0"/>
        <w:spacing w:after="0" w:line="240" w:lineRule="auto"/>
        <w:ind w:firstLine="360"/>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b/>
          <w:bCs/>
          <w:i/>
          <w:iCs/>
          <w:sz w:val="20"/>
          <w:szCs w:val="20"/>
        </w:rPr>
        <w:t>középszintű</w:t>
      </w:r>
      <w:r>
        <w:rPr>
          <w:rFonts w:ascii="Times New Roman" w:hAnsi="Times New Roman" w:cs="Times New Roman"/>
          <w:b/>
          <w:bCs/>
          <w:sz w:val="20"/>
          <w:szCs w:val="20"/>
        </w:rPr>
        <w:t xml:space="preserve"> </w:t>
      </w:r>
      <w:r>
        <w:rPr>
          <w:rFonts w:ascii="Times New Roman" w:hAnsi="Times New Roman" w:cs="Times New Roman"/>
          <w:sz w:val="20"/>
          <w:szCs w:val="20"/>
        </w:rPr>
        <w:t>érettségi vizsga esetén a cél lemérni, hogy a tanuló</w:t>
      </w:r>
    </w:p>
    <w:p w:rsidR="004C2997" w:rsidRDefault="004C2997" w:rsidP="004C2997">
      <w:pPr>
        <w:tabs>
          <w:tab w:val="left" w:pos="709"/>
          <w:tab w:val="left" w:pos="814"/>
        </w:tabs>
        <w:autoSpaceDE w:val="0"/>
        <w:autoSpaceDN w:val="0"/>
        <w:adjustRightInd w:val="0"/>
        <w:spacing w:after="0" w:line="240" w:lineRule="auto"/>
        <w:ind w:left="738"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rendelkezik-e a választott tantárgyból egy általános ismeretanyaggal, kellő mértékű jártassággal a fogalomalkotás és az elemzés terén, </w:t>
      </w:r>
    </w:p>
    <w:p w:rsidR="004C2997" w:rsidRDefault="004C2997" w:rsidP="004C2997">
      <w:pPr>
        <w:tabs>
          <w:tab w:val="left" w:pos="709"/>
          <w:tab w:val="left" w:pos="814"/>
        </w:tabs>
        <w:autoSpaceDE w:val="0"/>
        <w:autoSpaceDN w:val="0"/>
        <w:adjustRightInd w:val="0"/>
        <w:spacing w:after="0" w:line="240" w:lineRule="auto"/>
        <w:ind w:left="738"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ismeri-e az adott stíluskorszakok, stílusirányzatok legfontosabb jellemzőit,</w:t>
      </w:r>
    </w:p>
    <w:p w:rsidR="004C2997" w:rsidRDefault="004C2997" w:rsidP="004C2997">
      <w:pPr>
        <w:tabs>
          <w:tab w:val="left" w:pos="709"/>
          <w:tab w:val="left" w:pos="814"/>
        </w:tabs>
        <w:autoSpaceDE w:val="0"/>
        <w:autoSpaceDN w:val="0"/>
        <w:adjustRightInd w:val="0"/>
        <w:spacing w:after="0" w:line="240" w:lineRule="auto"/>
        <w:ind w:left="738"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felismeri-e a legfontosabb alkotásokat,</w:t>
      </w:r>
    </w:p>
    <w:p w:rsidR="004C2997" w:rsidRDefault="004C2997" w:rsidP="004C2997">
      <w:pPr>
        <w:tabs>
          <w:tab w:val="left" w:pos="709"/>
          <w:tab w:val="left" w:pos="814"/>
        </w:tabs>
        <w:autoSpaceDE w:val="0"/>
        <w:autoSpaceDN w:val="0"/>
        <w:adjustRightInd w:val="0"/>
        <w:spacing w:after="0" w:line="240" w:lineRule="auto"/>
        <w:ind w:left="738"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képes-e arra, hogy azokat stíluskritikai módszerekkel elhelyezze a művészettörténet korszakaiban, </w:t>
      </w:r>
    </w:p>
    <w:p w:rsidR="004C2997" w:rsidRDefault="004C2997" w:rsidP="004C2997">
      <w:pPr>
        <w:tabs>
          <w:tab w:val="left" w:pos="709"/>
          <w:tab w:val="left" w:pos="814"/>
        </w:tabs>
        <w:autoSpaceDE w:val="0"/>
        <w:autoSpaceDN w:val="0"/>
        <w:adjustRightInd w:val="0"/>
        <w:spacing w:after="0" w:line="240" w:lineRule="auto"/>
        <w:ind w:left="738"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az egyes művek elemzése során önállóan ki tudja-e fejteni a stílus, a forma – funkció és a forma – tartalom összefüggéseit, </w:t>
      </w:r>
    </w:p>
    <w:p w:rsidR="004C2997" w:rsidRDefault="004C2997" w:rsidP="004C2997">
      <w:pPr>
        <w:tabs>
          <w:tab w:val="left" w:pos="709"/>
          <w:tab w:val="left" w:pos="814"/>
        </w:tabs>
        <w:autoSpaceDE w:val="0"/>
        <w:autoSpaceDN w:val="0"/>
        <w:adjustRightInd w:val="0"/>
        <w:spacing w:after="0" w:line="240" w:lineRule="auto"/>
        <w:ind w:left="738"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képes-e arra, hogy az elsajátított ismeretek segítségével tájékozódjon a különböző művészeti ágak, művészeti műfajok és stílusok között, felismeri-e és értelmezni tudja-e az ide tartozó alkotásokat.</w:t>
      </w:r>
    </w:p>
    <w:p w:rsidR="004C2997" w:rsidRDefault="004C2997" w:rsidP="004C2997">
      <w:pPr>
        <w:autoSpaceDE w:val="0"/>
        <w:autoSpaceDN w:val="0"/>
        <w:adjustRightInd w:val="0"/>
        <w:spacing w:after="0" w:line="240" w:lineRule="auto"/>
        <w:jc w:val="both"/>
        <w:rPr>
          <w:rFonts w:ascii="Times New Roman" w:hAnsi="Times New Roman" w:cs="Times New Roman"/>
          <w:sz w:val="10"/>
          <w:szCs w:val="10"/>
        </w:rPr>
      </w:pPr>
    </w:p>
    <w:p w:rsidR="004C2997" w:rsidRDefault="004C2997" w:rsidP="004C2997">
      <w:pPr>
        <w:autoSpaceDE w:val="0"/>
        <w:autoSpaceDN w:val="0"/>
        <w:adjustRightInd w:val="0"/>
        <w:spacing w:after="0" w:line="240" w:lineRule="auto"/>
        <w:ind w:firstLine="360"/>
        <w:jc w:val="both"/>
        <w:rPr>
          <w:rFonts w:ascii="Times New Roman" w:hAnsi="Times New Roman" w:cs="Times New Roman"/>
          <w:sz w:val="20"/>
          <w:szCs w:val="20"/>
        </w:rPr>
      </w:pPr>
      <w:r>
        <w:rPr>
          <w:rFonts w:ascii="Times New Roman" w:hAnsi="Times New Roman" w:cs="Times New Roman"/>
          <w:sz w:val="20"/>
          <w:szCs w:val="20"/>
        </w:rPr>
        <w:t xml:space="preserve">Az </w:t>
      </w:r>
      <w:r>
        <w:rPr>
          <w:rFonts w:ascii="Times New Roman" w:hAnsi="Times New Roman" w:cs="Times New Roman"/>
          <w:b/>
          <w:bCs/>
          <w:i/>
          <w:iCs/>
          <w:sz w:val="20"/>
          <w:szCs w:val="20"/>
        </w:rPr>
        <w:t>emelt szintű</w:t>
      </w:r>
      <w:r>
        <w:rPr>
          <w:rFonts w:ascii="Times New Roman" w:hAnsi="Times New Roman" w:cs="Times New Roman"/>
          <w:b/>
          <w:bCs/>
          <w:sz w:val="20"/>
          <w:szCs w:val="20"/>
        </w:rPr>
        <w:t xml:space="preserve"> </w:t>
      </w:r>
      <w:r>
        <w:rPr>
          <w:rFonts w:ascii="Times New Roman" w:hAnsi="Times New Roman" w:cs="Times New Roman"/>
          <w:sz w:val="20"/>
          <w:szCs w:val="20"/>
        </w:rPr>
        <w:t xml:space="preserve">érettségi vizsga célja a tanuló készségeinek és jártasságának mérésén felül, hogy felkészítse a felsőfokú szakirányú továbbtanulásra. </w:t>
      </w:r>
    </w:p>
    <w:p w:rsidR="004C2997" w:rsidRDefault="004C2997" w:rsidP="004C2997">
      <w:pPr>
        <w:autoSpaceDE w:val="0"/>
        <w:autoSpaceDN w:val="0"/>
        <w:adjustRightInd w:val="0"/>
        <w:spacing w:after="0" w:line="240" w:lineRule="auto"/>
        <w:ind w:firstLine="360"/>
        <w:rPr>
          <w:rFonts w:ascii="Times New Roman" w:hAnsi="Times New Roman" w:cs="Times New Roman"/>
          <w:sz w:val="20"/>
          <w:szCs w:val="20"/>
        </w:rPr>
      </w:pPr>
      <w:r>
        <w:rPr>
          <w:rFonts w:ascii="Times New Roman" w:hAnsi="Times New Roman" w:cs="Times New Roman"/>
          <w:sz w:val="20"/>
          <w:szCs w:val="20"/>
        </w:rPr>
        <w:t>Az emelt szinten a vizsga célja lemérni, hogy a tanuló:</w:t>
      </w:r>
    </w:p>
    <w:p w:rsidR="004C2997" w:rsidRDefault="004C2997" w:rsidP="004C2997">
      <w:pPr>
        <w:tabs>
          <w:tab w:val="left" w:pos="709"/>
          <w:tab w:val="left" w:pos="814"/>
        </w:tabs>
        <w:autoSpaceDE w:val="0"/>
        <w:autoSpaceDN w:val="0"/>
        <w:adjustRightInd w:val="0"/>
        <w:spacing w:after="0" w:line="240" w:lineRule="auto"/>
        <w:ind w:left="738"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érti-e az összefüggéseket művészeti műfajok és a társművészetek, az irodalom és a történelem között,</w:t>
      </w:r>
    </w:p>
    <w:p w:rsidR="004C2997" w:rsidRDefault="004C2997" w:rsidP="004C2997">
      <w:pPr>
        <w:tabs>
          <w:tab w:val="left" w:pos="709"/>
          <w:tab w:val="left" w:pos="814"/>
        </w:tabs>
        <w:autoSpaceDE w:val="0"/>
        <w:autoSpaceDN w:val="0"/>
        <w:adjustRightInd w:val="0"/>
        <w:spacing w:after="0" w:line="240" w:lineRule="auto"/>
        <w:ind w:left="738"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képes-e az ismereteit komplexen, az összefüggéseket értelmezve, azokat önállóan alkalmazni egy probléma megoldásánál,</w:t>
      </w:r>
    </w:p>
    <w:p w:rsidR="004C2997" w:rsidRDefault="004C2997" w:rsidP="004C2997">
      <w:pPr>
        <w:tabs>
          <w:tab w:val="left" w:pos="709"/>
          <w:tab w:val="left" w:pos="814"/>
        </w:tabs>
        <w:autoSpaceDE w:val="0"/>
        <w:autoSpaceDN w:val="0"/>
        <w:adjustRightInd w:val="0"/>
        <w:spacing w:after="0" w:line="240" w:lineRule="auto"/>
        <w:ind w:left="738"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rendelkezik-e azon képességgel, hogy az egyes korszakok és stílusok jellemző vonásait egymással összehasonlítsa, </w:t>
      </w:r>
    </w:p>
    <w:p w:rsidR="004C2997" w:rsidRDefault="004C2997" w:rsidP="004C2997">
      <w:pPr>
        <w:tabs>
          <w:tab w:val="left" w:pos="709"/>
          <w:tab w:val="left" w:pos="814"/>
        </w:tabs>
        <w:autoSpaceDE w:val="0"/>
        <w:autoSpaceDN w:val="0"/>
        <w:adjustRightInd w:val="0"/>
        <w:spacing w:after="0" w:line="240" w:lineRule="auto"/>
        <w:ind w:left="738"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megtud-e határozni egy számára ismeretlen művet kizárólag stílusjegyei alapján, és elhelyezni azt a művészettörténet stíluskorszakaiban,</w:t>
      </w:r>
    </w:p>
    <w:p w:rsidR="004C2997" w:rsidRDefault="004C2997" w:rsidP="004C2997">
      <w:pPr>
        <w:tabs>
          <w:tab w:val="left" w:pos="709"/>
          <w:tab w:val="left" w:pos="814"/>
        </w:tabs>
        <w:autoSpaceDE w:val="0"/>
        <w:autoSpaceDN w:val="0"/>
        <w:adjustRightInd w:val="0"/>
        <w:spacing w:after="0" w:line="240" w:lineRule="auto"/>
        <w:ind w:left="738"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ismeri-e a mű létrehozásában szereplő kulturális és személyi tényezőket, és ezeket az elemzés során feltudja-e használni.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 érettségi vizsga tartalmi követelményei</w:t>
      </w:r>
    </w:p>
    <w:p w:rsidR="004C2997" w:rsidRDefault="004C2997" w:rsidP="004C2997">
      <w:pPr>
        <w:autoSpaceDE w:val="0"/>
        <w:autoSpaceDN w:val="0"/>
        <w:adjustRightInd w:val="0"/>
        <w:spacing w:after="0" w:line="240" w:lineRule="auto"/>
        <w:ind w:left="397"/>
        <w:jc w:val="both"/>
        <w:rPr>
          <w:rFonts w:ascii="Times New Roman" w:hAnsi="Times New Roman" w:cs="Times New Roman"/>
          <w:sz w:val="10"/>
          <w:szCs w:val="10"/>
        </w:rPr>
      </w:pPr>
    </w:p>
    <w:p w:rsidR="004C2997" w:rsidRDefault="004C2997" w:rsidP="004C2997">
      <w:pPr>
        <w:autoSpaceDE w:val="0"/>
        <w:autoSpaceDN w:val="0"/>
        <w:adjustRightInd w:val="0"/>
        <w:spacing w:after="0" w:line="240" w:lineRule="auto"/>
        <w:ind w:left="397" w:firstLine="360"/>
        <w:jc w:val="both"/>
        <w:rPr>
          <w:rFonts w:ascii="Times New Roman" w:hAnsi="Times New Roman" w:cs="Times New Roman"/>
          <w:sz w:val="20"/>
          <w:szCs w:val="20"/>
        </w:rPr>
      </w:pPr>
      <w:r>
        <w:rPr>
          <w:rFonts w:ascii="Times New Roman" w:hAnsi="Times New Roman" w:cs="Times New Roman"/>
          <w:sz w:val="20"/>
          <w:szCs w:val="20"/>
        </w:rPr>
        <w:t>Az emelt szintű követelmények oszlopa csak a középszintet kiegészítő követelményeket tartalmazza.</w:t>
      </w:r>
    </w:p>
    <w:p w:rsidR="004C2997" w:rsidRDefault="004C2997" w:rsidP="004C2997">
      <w:pPr>
        <w:autoSpaceDE w:val="0"/>
        <w:autoSpaceDN w:val="0"/>
        <w:adjustRightInd w:val="0"/>
        <w:spacing w:after="0" w:line="240" w:lineRule="auto"/>
        <w:jc w:val="both"/>
        <w:rPr>
          <w:rFonts w:ascii="Times New Roman" w:hAnsi="Times New Roman" w:cs="Times New Roman"/>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70"/>
        <w:gridCol w:w="3071"/>
        <w:gridCol w:w="3071"/>
      </w:tblGrid>
      <w:tr w:rsidR="004C2997">
        <w:tblPrEx>
          <w:tblCellMar>
            <w:top w:w="0" w:type="dxa"/>
            <w:bottom w:w="0" w:type="dxa"/>
          </w:tblCellMar>
        </w:tblPrEx>
        <w:tc>
          <w:tcPr>
            <w:tcW w:w="3070" w:type="dxa"/>
            <w:shd w:val="pct25" w:color="000000" w:fill="auto"/>
            <w:vAlign w:val="center"/>
          </w:tcPr>
          <w:p w:rsidR="004C2997" w:rsidRDefault="004C299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Készségek, képességek</w:t>
            </w:r>
          </w:p>
        </w:tc>
        <w:tc>
          <w:tcPr>
            <w:tcW w:w="3071" w:type="dxa"/>
            <w:shd w:val="pct25" w:color="000000" w:fill="auto"/>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Követelmények a középszintű érettségi vizsgán</w:t>
            </w:r>
          </w:p>
        </w:tc>
        <w:tc>
          <w:tcPr>
            <w:tcW w:w="3071" w:type="dxa"/>
            <w:shd w:val="pct25" w:color="000000" w:fill="auto"/>
          </w:tcPr>
          <w:p w:rsidR="004C2997" w:rsidRDefault="004C299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Követelmények kiegészítése az emelt szintű érettségi vizsgára</w:t>
            </w: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Vizuális eszközök fajtáinak felismerése és helyes használata a képelemzések során</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vizuális közlés eszközeinek (pont, vonal, sík, felület, tónus, szín, kompozíció) felismerése és használata az elemzés során.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Térábrázolási módok felismerése.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vizuális minőségek (tónus/szín; alak/forma; textúra/faktúra</w:t>
            </w:r>
            <w:r>
              <w:rPr>
                <w:rFonts w:ascii="Times New Roman" w:hAnsi="Times New Roman" w:cs="Times New Roman"/>
                <w:sz w:val="20"/>
                <w:szCs w:val="20"/>
              </w:rPr>
              <w:br/>
              <w:t xml:space="preserve">/struktúra) ismerete </w:t>
            </w:r>
            <w:r>
              <w:rPr>
                <w:rFonts w:ascii="Times New Roman" w:hAnsi="Times New Roman" w:cs="Times New Roman"/>
                <w:sz w:val="20"/>
                <w:szCs w:val="20"/>
              </w:rPr>
              <w:br/>
              <w:t>és megkülönböztetése.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látványértelmezésben szerepet játszó tényezők (nézőpont, arányok) ismerete és alkalmazása.</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színharmóniák, színkontrasztok (fény–árnyék, hideg–meleg, komplementer, szimultán, magábanvaló, mennyiségi, minőségi) felismerése.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vizuális eszközök jelentését meghatározó összefüggések, a kontextus felismerése és értelmezése az elemzés során.</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szerkezet, motívum, jelkép, ritmus felismerése a műveknél és történeti fejlődésének ismerete, a párhuzamok elemzésénél ezek használata.</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térábrázolási módok ismerete és összehasonlító értelmezése az elemzés során.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kontrasztok kiemelő szerepének elemző vizsgálata a konkrét példán keresztül.</w:t>
            </w: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Művészeti technikák</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művészetben használt alkotói technikák felismerése. A művészi kifejezésben betöltött szerepének ismerete. </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technikák leíró jellegű ismerete, az eljárás lépéseinek ismerete.</w:t>
            </w: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tömegkommunikáció és média eszközei</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tömegkommunikáció eszközeinek és formáinak ismerete.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fotó és a mozgókép műtípusainak ismerete.</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tömegkommunikáció működési hatásrendszerének ismerete.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mozgóképi kifejezés eszközeinek (montázs, kameramozgás, képkivágás, nézőpont, világítás, hang és képkapcsolat) ismerete.</w:t>
            </w: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Tárgy és környezetének kapcsolata</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különböző művészeti korokból és kultúrákból származó tárgyak, objektumok stílusjegyeinek ismerete, ezek alapján történő besorolása, funkció- és formaelemzése.</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tárgy, a fogyasztói szokás és az életmód közötti kapcsolat értelmezése az elemzés során.</w:t>
            </w: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Művészeti ágak, műfajok</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művészeti ágak (képzőművészet, építészet, iparművészet) legfontosabb jellemzőinek ismerete.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képzőművészeti műfajok ismerete.</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Művészettörténeti korszakok, stíluskorszakok és művészetföldrajzi területek</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legfontosabb jellemzők ismerete.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legfontosabb alkotások és alkotók ismerete, felismerése és stílusmeghatározása.</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műelemző módszerek (stílustörténeti, forma–funkció, forma–tartalom, összehasonlító ikonográfia) ismerete és használata az elemzés során.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művek tárgyi- és kulturális összefüggéseinek felismerése.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műalkotás létrehozásában szereplő tényezők (kulturális környezet, megrendelői igény, technikai feltételek, alkotói beállítottság) ismerete.</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legfontosabb jellemzők összehasonlító elemzése.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Kormeghatározás évszázados pontossággal.</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műalkotás kompozíciós elrendezésének felismerése, a kompozíció vonalainak bemutatása.</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összefüggések felhasználása az elemzés során.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műalkotás létrehozásában szerepet játszó tényezők összefüggéseinek értelmezése és felhasználása az elemzés során.  </w:t>
            </w: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Őskor művészete</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őskori ember művészete: építészet, szobrászat, </w:t>
            </w:r>
            <w:r>
              <w:rPr>
                <w:rFonts w:ascii="Times New Roman" w:hAnsi="Times New Roman" w:cs="Times New Roman"/>
                <w:sz w:val="20"/>
                <w:szCs w:val="20"/>
              </w:rPr>
              <w:lastRenderedPageBreak/>
              <w:t>barlangfestészet.</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Az őskori ember tárgykultúrája, a fazekasság emlékei.</w:t>
            </w: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Mezopotámia művészete</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ókori mezopotámia népeinek művészete (sumer, akkád, Babilon, asszír, perzsa).</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Egyiptom művészete</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ókori Egyiptom építészete, szobrászata, festészete.</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dinasztiák előtti kor művészete.</w:t>
            </w: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Görög művészet</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ókori görögség építészete, szobrászata, iparművészete.</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Prehellén művészet.</w:t>
            </w: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Római művészet</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ókori Római birodalom építészete, szobrászata, festészete, iparművészete.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Pannónia provincia művészetei emlékei.</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Etruszk művészet.</w:t>
            </w: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Ókeresztény művészet</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Katakombák művészete, kora keresztény építészet.</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Bizánc és az iszlám világ művészete</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Bizánc építészete, mozaikfestészet.</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iszlám világ építészete és díszítőművészete.</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középkori orosz (pravoszláv) művészet.</w:t>
            </w: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Népvándorláskor</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Népvándorlás-kori népek művészete.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Honfoglaló magyarság művészete.</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Román kor művészete</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európai román kor építészete, szobrászata és festészete.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Magyar román kor művészeti emlékei.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 koronázási jelvények.</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Karoling- és Ottó-kori előzmények.</w:t>
            </w: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Gótika művészete</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európai gótika építészete, szobrászata, festészete és üvegfestészete.</w:t>
            </w:r>
          </w:p>
          <w:p w:rsidR="004C2997" w:rsidRDefault="004C2997">
            <w:pPr>
              <w:autoSpaceDE w:val="0"/>
              <w:autoSpaceDN w:val="0"/>
              <w:adjustRightInd w:val="0"/>
              <w:spacing w:after="0" w:line="240" w:lineRule="auto"/>
              <w:rPr>
                <w:rFonts w:ascii="Times New Roman" w:hAnsi="Times New Roman" w:cs="Times New Roman"/>
                <w:sz w:val="16"/>
                <w:szCs w:val="16"/>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magyarországi gótika művészeti emlékei.</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angliai gótika művészete.</w:t>
            </w: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Reneszánsz</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itáliai reneszánsz építészete, szobrászata, festészete.</w:t>
            </w:r>
          </w:p>
          <w:p w:rsidR="004C2997" w:rsidRDefault="004C2997">
            <w:pPr>
              <w:autoSpaceDE w:val="0"/>
              <w:autoSpaceDN w:val="0"/>
              <w:adjustRightInd w:val="0"/>
              <w:spacing w:after="0" w:line="240" w:lineRule="auto"/>
              <w:rPr>
                <w:rFonts w:ascii="Times New Roman" w:hAnsi="Times New Roman" w:cs="Times New Roman"/>
                <w:sz w:val="16"/>
                <w:szCs w:val="16"/>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németalföldi és a német reneszánsz festészet és grafika.</w:t>
            </w:r>
          </w:p>
          <w:p w:rsidR="004C2997" w:rsidRDefault="004C2997">
            <w:pPr>
              <w:autoSpaceDE w:val="0"/>
              <w:autoSpaceDN w:val="0"/>
              <w:adjustRightInd w:val="0"/>
              <w:spacing w:after="0" w:line="240" w:lineRule="auto"/>
              <w:rPr>
                <w:rFonts w:ascii="Times New Roman" w:hAnsi="Times New Roman" w:cs="Times New Roman"/>
                <w:sz w:val="16"/>
                <w:szCs w:val="16"/>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reneszánsz Mátyás király udvarában.</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Barokk</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európai barokk építészet, szobrászat és festészet.</w:t>
            </w:r>
          </w:p>
          <w:p w:rsidR="004C2997" w:rsidRDefault="004C2997">
            <w:pPr>
              <w:autoSpaceDE w:val="0"/>
              <w:autoSpaceDN w:val="0"/>
              <w:adjustRightInd w:val="0"/>
              <w:spacing w:after="0" w:line="240" w:lineRule="auto"/>
              <w:rPr>
                <w:rFonts w:ascii="Times New Roman" w:hAnsi="Times New Roman" w:cs="Times New Roman"/>
                <w:sz w:val="16"/>
                <w:szCs w:val="16"/>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magyarországi barokk művészeti emlékei.</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manierizmus Európában.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16"/>
                <w:szCs w:val="16"/>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rokokó kiemelkedő alkotói, alkotásai.</w:t>
            </w: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Klasszicizmus és romantika</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európai klasszicizmus és romantika irányzatának építészeti, szobrászati és festészeti emlékei.</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klasszicizmus és romantika művészeti emlékei Magyarországon.</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Francia forradalmi építészet.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Biedermeier, szentimentalizmus festészete.</w:t>
            </w: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Realizmus</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XIX. században jelentkező realista törekvések a festészetben.</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Realista tendenciák Magyarország </w:t>
            </w:r>
            <w:r>
              <w:rPr>
                <w:rFonts w:ascii="Times New Roman" w:hAnsi="Times New Roman" w:cs="Times New Roman"/>
                <w:sz w:val="20"/>
                <w:szCs w:val="20"/>
              </w:rPr>
              <w:lastRenderedPageBreak/>
              <w:t>festészetében.</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Impresszionizmus és posztimpresszionizmus</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impresszionizmus, </w:t>
            </w:r>
            <w:r>
              <w:rPr>
                <w:rFonts w:ascii="Times New Roman" w:hAnsi="Times New Roman" w:cs="Times New Roman"/>
                <w:sz w:val="20"/>
                <w:szCs w:val="20"/>
              </w:rPr>
              <w:br/>
              <w:t xml:space="preserve">a neoimpresszionizmus és </w:t>
            </w:r>
            <w:r>
              <w:rPr>
                <w:rFonts w:ascii="Times New Roman" w:hAnsi="Times New Roman" w:cs="Times New Roman"/>
                <w:sz w:val="20"/>
                <w:szCs w:val="20"/>
              </w:rPr>
              <w:br/>
              <w:t>a posztimpresszionizmus festészetének törekvései, jelentős képviselőik.</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Plein air festészet Európában és Magyarországon.</w:t>
            </w: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Századforduló művészete: szimbolizmus, szecesszió</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európai századforduló művészete, a szimbolizmus és </w:t>
            </w:r>
            <w:r>
              <w:rPr>
                <w:rFonts w:ascii="Times New Roman" w:hAnsi="Times New Roman" w:cs="Times New Roman"/>
                <w:sz w:val="20"/>
                <w:szCs w:val="20"/>
              </w:rPr>
              <w:br/>
              <w:t>a szecesszió festészete, a szecesszió építészete és iparművészete.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magyarországi századforduló művészete; szecesszió, szimbolizmus.</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Nabis csoport művészete.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angliai Arts and Craft’s mozgalom.</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magyarországi századforduló hivatalos művészeti irányzatai: historizmus, akadémizmus, eklektika.</w:t>
            </w: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Avantgárd irányzatok a XX. század elején</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fauve, expresszionista, kubista, futurista, dadaista irányzatok törekvései, jelentősebb művészeik és műalkotásaik Európában és Magyarországon.</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XX. századi építészet irányzatai</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Bauhaus, De Stijl, funkcionalista, purista és organikus építészet jellemzői.</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Művészet a két világháború között</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szürrealista iskola.</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geometrikus és a lírai absztrakció irányzatai Európában, jelentős képviselőik és alkotásaik.</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két világháború közti Magyarország művészeti csoportosulásai: Szentendrei iskola, KÚT, Római iskola és a Gresham-kör.</w:t>
            </w:r>
          </w:p>
        </w:tc>
      </w:tr>
      <w:tr w:rsidR="004C2997">
        <w:tblPrEx>
          <w:tblCellMar>
            <w:top w:w="0" w:type="dxa"/>
            <w:bottom w:w="0" w:type="dxa"/>
          </w:tblCellMar>
        </w:tblPrEx>
        <w:tc>
          <w:tcPr>
            <w:tcW w:w="3070"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Művészet a második világháború után</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Neoavantgárd irányzatok: informel (tasizmus, gesztusfestészet, kalligráfia), tudományos, technicista irányzatok (Op-art, kinetika, minimal-art, post-painterly abstraction, konceptuális művészet, land art, earth art, arte povera).</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Pop art és egyéb jelenségek (combine painting, assemblage, environment, Nouveau Realisme, hiperrealizmus) .</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Transzavantgarde és posztmodern művészeti irányzatok, kifejezési formák (akcióművészet; happening, performance, fluxus, body art, process art, mail art, magánmitológiák, Spurensicherung).</w:t>
            </w:r>
          </w:p>
        </w:tc>
        <w:tc>
          <w:tcPr>
            <w:tcW w:w="3071"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Művészeti csoportok és irányzatok Magyarországon a második világháború után.</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PSZICHOLÓGIA</w:t>
      </w:r>
      <w:r>
        <w:rPr>
          <w:rFonts w:ascii="Times New Roman" w:hAnsi="Times New Roman" w:cs="Times New Roman"/>
          <w:b/>
          <w:bCs/>
          <w:sz w:val="20"/>
          <w:szCs w:val="20"/>
        </w:rPr>
        <w:br/>
        <w:t>ÉRETTSÉGI VIZSGA ÁLTALÁNOS KÖVETELMÉNYEI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 formája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Középszinten: írásbeli és szóbeli.</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pszichológia érettségi vizsga célja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középszintű pszichológia érettségi vizsga a pszichológiai jelenségekkel kapcsolatos ismereteket méri, valamint az alapvető ismereteken túl legfőképpen annak megállapítására irányul, hogy a vizsgázók a pszichológiai ismereteket hogyan képesek felhasználni a körülöttük lévő világ megértésében. A pszichológia oktatás célja, hogy olyan ismeretekhez juttassa a vizsgázókat, amelyek segítik őket a társas világban való jobb eligazodásban, hozzásegíti őket önmaguk és mások reakcióinak jobb megértéséhez. A pszichológia tudományos módszereinek </w:t>
      </w:r>
      <w:r>
        <w:rPr>
          <w:rFonts w:ascii="Times New Roman" w:hAnsi="Times New Roman" w:cs="Times New Roman"/>
          <w:sz w:val="20"/>
          <w:szCs w:val="20"/>
        </w:rPr>
        <w:lastRenderedPageBreak/>
        <w:t>bemutatásával segít a laikus tévhitek felülvizsgálatában, a kritikus szemlélet kialakulásában. Ezen kompetenciák meglétét a vizsgázó az érettségi feladatok megoldása során is bizonyítja.</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Az érettségi vizsga célja annak megállapítása, hogy a vizsgázó </w:t>
      </w:r>
    </w:p>
    <w:p w:rsidR="004C2997" w:rsidRDefault="004C2997" w:rsidP="004C2997">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elsajátította-e a tartalmi követelményekben meghatározott alapismereteket;</w:t>
      </w:r>
    </w:p>
    <w:p w:rsidR="004C2997" w:rsidRDefault="004C2997" w:rsidP="004C2997">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tudja-e helyesen használni az alapvető pszichológiai fogalmakat, tisztában van-e a tanult pszichológiai alapfogalmak jelentéstartalmával, képes-e ismereteit világos nyelvi formában előadni;</w:t>
      </w:r>
    </w:p>
    <w:p w:rsidR="004C2997" w:rsidRDefault="004C2997" w:rsidP="004C2997">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tud-e szemléletes példákat, analógiákat említeni saját mindennapi tapasztalatait, irodalmi és filmélményeit alapul véve, és tudja-e ezeket összekapcsolni a tudomány által rendszerezett ismeretekkel;</w:t>
      </w:r>
    </w:p>
    <w:p w:rsidR="004C2997" w:rsidRDefault="004C2997" w:rsidP="004C2997">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tisztában van-e a pszichológia alapvető bizonyítási eljárásaival és a pszichológia szemléletmódjának fő vonásaival;</w:t>
      </w:r>
    </w:p>
    <w:p w:rsidR="004C2997" w:rsidRDefault="004C2997" w:rsidP="004C2997">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kritikusan viszonyulni a pszichológiai tartalmú információkhoz, tisztában van-e a tudományos bizonyítás alapvető kritériumaival;</w:t>
      </w:r>
    </w:p>
    <w:p w:rsidR="004C2997" w:rsidRDefault="004C2997" w:rsidP="004C2997">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 pszichológiai ismereteit összekapcsolni az egészséges életvezetés szempontjaival;</w:t>
      </w:r>
    </w:p>
    <w:p w:rsidR="004C2997" w:rsidRDefault="004C2997" w:rsidP="004C2997">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képes-e az emberek és csoportok viselkedésének okait, az emberek közti kommunikáció és érintkezés jellemzőit a pszichológiai ismeretek összefüggéseiben szemlélni;</w:t>
      </w:r>
    </w:p>
    <w:p w:rsidR="004C2997" w:rsidRDefault="004C2997" w:rsidP="004C2997">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ismeri-e a pszichológia lehetséges alkalmazási területeit és a pszichológia mindennapi életben való felhasználásának lehetőségeit.</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Tartalmi követelmények</w:t>
      </w:r>
    </w:p>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KÖZÉPSZINT</w:t>
      </w:r>
    </w:p>
    <w:p w:rsidR="004C2997" w:rsidRDefault="004C2997" w:rsidP="004C2997">
      <w:pPr>
        <w:autoSpaceDE w:val="0"/>
        <w:autoSpaceDN w:val="0"/>
        <w:adjustRightInd w:val="0"/>
        <w:spacing w:after="0" w:line="240" w:lineRule="auto"/>
        <w:jc w:val="both"/>
        <w:rPr>
          <w:rFonts w:ascii="Times New Roman" w:hAnsi="Times New Roman" w:cs="Times New Roman"/>
          <w:sz w:val="10"/>
          <w:szCs w:val="10"/>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3969"/>
        <w:gridCol w:w="5712"/>
      </w:tblGrid>
      <w:tr w:rsidR="004C2997">
        <w:tblPrEx>
          <w:tblCellMar>
            <w:top w:w="0" w:type="dxa"/>
            <w:bottom w:w="0" w:type="dxa"/>
          </w:tblCellMar>
        </w:tblPrEx>
        <w:tc>
          <w:tcPr>
            <w:tcW w:w="3969" w:type="dxa"/>
            <w:shd w:val="solid" w:color="auto" w:fill="auto"/>
          </w:tcPr>
          <w:p w:rsidR="004C2997" w:rsidRDefault="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Témakörök</w:t>
            </w:r>
          </w:p>
        </w:tc>
        <w:tc>
          <w:tcPr>
            <w:tcW w:w="5712" w:type="dxa"/>
            <w:shd w:val="solid" w:color="auto" w:fill="auto"/>
          </w:tcPr>
          <w:p w:rsidR="004C2997" w:rsidRDefault="004C299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Követelmények</w:t>
            </w:r>
          </w:p>
        </w:tc>
      </w:tr>
      <w:tr w:rsidR="004C2997">
        <w:tblPrEx>
          <w:tblCellMar>
            <w:top w:w="0" w:type="dxa"/>
            <w:bottom w:w="0" w:type="dxa"/>
          </w:tblCellMar>
        </w:tblPrEx>
        <w:tc>
          <w:tcPr>
            <w:tcW w:w="396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pszichológia mint tudomány</w:t>
            </w:r>
          </w:p>
        </w:tc>
        <w:tc>
          <w:tcPr>
            <w:tcW w:w="571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pszichológia fogalma, tárgya, módszerei, helye a tudományok rendszerében.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pszichológia fő nézőpontjai, alap- és alkalmazott tudományterületei, vizsgálati módszerei.</w:t>
            </w:r>
          </w:p>
        </w:tc>
      </w:tr>
      <w:tr w:rsidR="004C2997" w:rsidTr="004C2997">
        <w:tblPrEx>
          <w:tblCellMar>
            <w:top w:w="0" w:type="dxa"/>
            <w:bottom w:w="0" w:type="dxa"/>
          </w:tblCellMar>
        </w:tblPrEx>
        <w:tc>
          <w:tcPr>
            <w:tcW w:w="9681"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Általános pszichológia</w:t>
            </w:r>
          </w:p>
        </w:tc>
      </w:tr>
      <w:tr w:rsidR="004C2997">
        <w:tblPrEx>
          <w:tblCellMar>
            <w:top w:w="0" w:type="dxa"/>
            <w:bottom w:w="0" w:type="dxa"/>
          </w:tblCellMar>
        </w:tblPrEx>
        <w:tc>
          <w:tcPr>
            <w:tcW w:w="396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lelki működés általános törvényszerűségei</w:t>
            </w:r>
          </w:p>
        </w:tc>
        <w:tc>
          <w:tcPr>
            <w:tcW w:w="571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megismerési folyamat jellemzői, az észlelés, figyelem, tanulás és emlékezet jelensége.</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Különböző tanulási formák, a tanulás hatékonyságát befolyásoló tényezők és a különböző tanulási módszerek. A tanulást befolyásoló képességek (intelligencia, kreativitás).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aktivációs szint, éberség, alvás, módosult tudatállapotok jellemzői.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motiváció típusai, működése és szerepe a viselkedésszabályozásban.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Érzelmek kialakulása, fajtái, az érzelmek viselkedésre gyakorolt hatása. Az aktiváció, érzelem, motiváció kapcsolata.</w:t>
            </w:r>
          </w:p>
        </w:tc>
      </w:tr>
      <w:tr w:rsidR="004C2997" w:rsidTr="004C2997">
        <w:tblPrEx>
          <w:tblCellMar>
            <w:top w:w="0" w:type="dxa"/>
            <w:bottom w:w="0" w:type="dxa"/>
          </w:tblCellMar>
        </w:tblPrEx>
        <w:tc>
          <w:tcPr>
            <w:tcW w:w="9681"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Szociálpszichológiai ismeretek</w:t>
            </w:r>
          </w:p>
        </w:tc>
      </w:tr>
      <w:tr w:rsidR="004C2997">
        <w:tblPrEx>
          <w:tblCellMar>
            <w:top w:w="0" w:type="dxa"/>
            <w:bottom w:w="0" w:type="dxa"/>
          </w:tblCellMar>
        </w:tblPrEx>
        <w:tc>
          <w:tcPr>
            <w:tcW w:w="396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társas kapcsolatok alakulása</w:t>
            </w:r>
          </w:p>
        </w:tc>
        <w:tc>
          <w:tcPr>
            <w:tcW w:w="571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csoportalakulás és a csoport működésével kapcsolatos jelenségek: csoportnyomás, normaalakulás, engedelmesség, tömegjelenségek, teljesítmény csoportban.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segítő viselkedés alakulása és a segítő magatartást befolyásoló tényezők.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attitűd fogalma, attitűdök szerepe a viselkedésszabályozásban, nézetek alakulása és a meggyőzés hatékonyságát befolyásoló tényezők.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társas megismerés jellemzői, sztereotípia, előítélet és ezek gyakorlati tanulságai.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személyközi viszonyok alakulása: vonzalom, barátság, szerelem.</w:t>
            </w:r>
          </w:p>
        </w:tc>
      </w:tr>
      <w:tr w:rsidR="004C2997">
        <w:tblPrEx>
          <w:tblCellMar>
            <w:top w:w="0" w:type="dxa"/>
            <w:bottom w:w="0" w:type="dxa"/>
          </w:tblCellMar>
        </w:tblPrEx>
        <w:tc>
          <w:tcPr>
            <w:tcW w:w="396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Kommunikáció</w:t>
            </w:r>
          </w:p>
        </w:tc>
        <w:tc>
          <w:tcPr>
            <w:tcW w:w="571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kommunikációs folyamat összetevői, a hatékony kommunikáció feltételei, a kommunikációs zavarok okai.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verbális és nonverbális közléssel kapcsolatos ismeretek, a verbális és nonverbális közlés viszonya.</w:t>
            </w:r>
          </w:p>
        </w:tc>
      </w:tr>
      <w:tr w:rsidR="004C2997" w:rsidTr="004C2997">
        <w:tblPrEx>
          <w:tblCellMar>
            <w:top w:w="0" w:type="dxa"/>
            <w:bottom w:w="0" w:type="dxa"/>
          </w:tblCellMar>
        </w:tblPrEx>
        <w:tc>
          <w:tcPr>
            <w:tcW w:w="9681"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Fejlődéspszichológia</w:t>
            </w:r>
          </w:p>
        </w:tc>
      </w:tr>
      <w:tr w:rsidR="004C2997">
        <w:tblPrEx>
          <w:tblCellMar>
            <w:top w:w="0" w:type="dxa"/>
            <w:bottom w:w="0" w:type="dxa"/>
          </w:tblCellMar>
        </w:tblPrEx>
        <w:tc>
          <w:tcPr>
            <w:tcW w:w="396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Családi szocializáció</w:t>
            </w:r>
          </w:p>
        </w:tc>
        <w:tc>
          <w:tcPr>
            <w:tcW w:w="571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családi szocializáció fogalma, jellemzői. Az anya-gyermek kapcsolat jelentősége a személyiségfejlődésben, kötődés. A családi működés lehetséges nehézségei és zavarai (veszteségek, válás).</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személyiségfejlődést elősegítő tényezők és a különböző nevelési stílusok hatása a személyiség alakulására. A személyiség és a környezet egymásra hatásának összefüggései.</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személyiség fejlődésének állomásai és ezek jellemzői. </w:t>
            </w:r>
          </w:p>
        </w:tc>
      </w:tr>
      <w:tr w:rsidR="004C2997" w:rsidTr="004C2997">
        <w:tblPrEx>
          <w:tblCellMar>
            <w:top w:w="0" w:type="dxa"/>
            <w:bottom w:w="0" w:type="dxa"/>
          </w:tblCellMar>
        </w:tblPrEx>
        <w:tc>
          <w:tcPr>
            <w:tcW w:w="9681"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Személyiség-lélektani ismeretek</w:t>
            </w:r>
          </w:p>
        </w:tc>
      </w:tr>
      <w:tr w:rsidR="004C2997">
        <w:tblPrEx>
          <w:tblCellMar>
            <w:top w:w="0" w:type="dxa"/>
            <w:bottom w:w="0" w:type="dxa"/>
          </w:tblCellMar>
        </w:tblPrEx>
        <w:tc>
          <w:tcPr>
            <w:tcW w:w="396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Személyiség felfogás, személyiségjellemzők </w:t>
            </w:r>
          </w:p>
        </w:tc>
        <w:tc>
          <w:tcPr>
            <w:tcW w:w="571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személyiséggel kapcsolatos különböző megközelítésmódok és kiemelten egy választott személyiségelmélet megközelítésmódjának bemutatása.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személyiség megismerésének lehetőségei és korlátai, a környezet és az öröklődés szerepe a személyiség alakulásában.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énkép, önértékelés kialakulásában szerepet játszó tényezők, az énkép jelentősége a teljesítményben és a társas kapcsolatok alakulásában.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pszichés problémák, függőségek és krízishelyzetek kiváltó okai. A testi betegségek hátterében meghúzódó pszichés okok.</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Nehéz élethelyzetekkel való megküzdés, stressz, depresszió kezelése. A lelki egészség megőrzése, a boldogság lehetséges forrásai.</w:t>
            </w:r>
          </w:p>
        </w:tc>
      </w:tr>
      <w:tr w:rsidR="004C2997" w:rsidTr="004C2997">
        <w:tblPrEx>
          <w:tblCellMar>
            <w:top w:w="0" w:type="dxa"/>
            <w:bottom w:w="0" w:type="dxa"/>
          </w:tblCellMar>
        </w:tblPrEx>
        <w:tc>
          <w:tcPr>
            <w:tcW w:w="9681" w:type="dxa"/>
            <w:gridSpan w:val="2"/>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alkalmazott pszichológia területei</w:t>
            </w:r>
          </w:p>
        </w:tc>
      </w:tr>
      <w:tr w:rsidR="004C2997">
        <w:tblPrEx>
          <w:tblCellMar>
            <w:top w:w="0" w:type="dxa"/>
            <w:bottom w:w="0" w:type="dxa"/>
          </w:tblCellMar>
        </w:tblPrEx>
        <w:tc>
          <w:tcPr>
            <w:tcW w:w="396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Pszichológia a mindennapi élet területén</w:t>
            </w:r>
          </w:p>
        </w:tc>
        <w:tc>
          <w:tcPr>
            <w:tcW w:w="571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pszichológia alkalmazott területei a mindennapi életben és az életvezetés, iskolapszichológia, tanácsadás, pszichoterápia, sport, reklám stb. területén.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média (pl. tévé, internet) szerepe a mindennapi életben, az internetes világ pszichológiai hatásai, a médiafogyasztás jellemzői, életkori tényezők a média üzeneteinek megértésében.</w:t>
            </w:r>
          </w:p>
        </w:tc>
      </w:tr>
      <w:tr w:rsidR="004C2997" w:rsidTr="004C2997">
        <w:tblPrEx>
          <w:tblCellMar>
            <w:top w:w="0" w:type="dxa"/>
            <w:bottom w:w="0" w:type="dxa"/>
          </w:tblCellMar>
        </w:tblPrEx>
        <w:tc>
          <w:tcPr>
            <w:tcW w:w="9681" w:type="dxa"/>
            <w:gridSpan w:val="2"/>
            <w:shd w:val="solid" w:color="auto" w:fill="auto"/>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Kompetenciák</w:t>
            </w:r>
          </w:p>
        </w:tc>
      </w:tr>
      <w:tr w:rsidR="004C2997">
        <w:tblPrEx>
          <w:tblCellMar>
            <w:top w:w="0" w:type="dxa"/>
            <w:bottom w:w="0" w:type="dxa"/>
          </w:tblCellMar>
        </w:tblPrEx>
        <w:tc>
          <w:tcPr>
            <w:tcW w:w="3969"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Források használata és értékelése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értelmezés képessége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Megfigyelés képessége</w:t>
            </w: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Rugalmas gondolkodás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Kritikai értékelés képessége</w:t>
            </w:r>
          </w:p>
        </w:tc>
        <w:tc>
          <w:tcPr>
            <w:tcW w:w="5712" w:type="dxa"/>
          </w:tcPr>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Tematikus tájékozódás a nyomtatott és elektronikus ismeretterjesztő információ-forrásokban.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Szépirodalmi művek és műalkotások lélektani tartalmának meglátása.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Pszichológiai alapfogalmak felismerése és alkalmazása írásos és verbális formában mind befogadó, mind közlőként.</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Ismeretek élethelyzetekre történő alkalmazása.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Fogalmak összefüggéseinek meglátása, életből vett példákon való bemutatása.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tanult pszichológiai jelenségek felismerése valós élethelyzetekben.</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Nyitottság az emberi megnyilvánulások megértésére, elfogadására.</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Önálló kérdésfelvetés, véleményalkotás képessége. </w:t>
            </w:r>
          </w:p>
          <w:p w:rsidR="004C2997" w:rsidRDefault="004C299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Gondolatokról, ismeretekről, véleményekről személyes állásfoglalás kialakítása.</w:t>
            </w:r>
          </w:p>
        </w:tc>
      </w:tr>
    </w:tbl>
    <w:p w:rsidR="004C2997" w:rsidRDefault="004C2997" w:rsidP="004C2997">
      <w:pPr>
        <w:autoSpaceDE w:val="0"/>
        <w:autoSpaceDN w:val="0"/>
        <w:adjustRightInd w:val="0"/>
        <w:spacing w:after="0" w:line="240" w:lineRule="auto"/>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4C2997" w:rsidRDefault="004C2997" w:rsidP="004C2997">
      <w:pPr>
        <w:autoSpaceDE w:val="0"/>
        <w:autoSpaceDN w:val="0"/>
        <w:adjustRightInd w:val="0"/>
        <w:spacing w:after="20" w:line="240" w:lineRule="auto"/>
        <w:ind w:firstLine="142"/>
        <w:jc w:val="both"/>
        <w:rPr>
          <w:rFonts w:ascii="Times New Roman" w:hAnsi="Times New Roman" w:cs="Times New Roman"/>
          <w:sz w:val="20"/>
          <w:szCs w:val="20"/>
        </w:rPr>
      </w:pPr>
    </w:p>
    <w:p w:rsidR="00A2761A" w:rsidRDefault="00A2761A">
      <w:bookmarkStart w:id="0" w:name="_GoBack"/>
      <w:bookmarkEnd w:id="0"/>
    </w:p>
    <w:sectPr w:rsidR="00A2761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H-Times_WD">
    <w:altName w:val="Times New Roman"/>
    <w:panose1 w:val="00000000000000000000"/>
    <w:charset w:val="00"/>
    <w:family w:val="roman"/>
    <w:notTrueType/>
    <w:pitch w:val="variable"/>
    <w:sig w:usb0="00000003" w:usb1="00000000" w:usb2="00000000" w:usb3="00000000" w:csb0="00000001" w:csb1="00000000"/>
  </w:font>
  <w:font w:name="Myriad Pro">
    <w:panose1 w:val="00000000000000000000"/>
    <w:charset w:val="EE"/>
    <w:family w:val="swiss"/>
    <w:notTrueType/>
    <w:pitch w:val="variable"/>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2997"/>
    <w:rsid w:val="004C2997"/>
    <w:rsid w:val="00A2761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305</Pages>
  <Words>102124</Words>
  <Characters>704662</Characters>
  <Application>Microsoft Office Word</Application>
  <DocSecurity>0</DocSecurity>
  <Lines>5872</Lines>
  <Paragraphs>1610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805176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2016-11-23T13:09:00Z</dcterms:created>
  <dcterms:modified xsi:type="dcterms:W3CDTF">2016-11-23T13:10:00Z</dcterms:modified>
</cp:coreProperties>
</file>