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8" w:rsidRDefault="00D57760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 28. sorszámú </w:t>
      </w:r>
      <w:proofErr w:type="spellStart"/>
      <w:r>
        <w:rPr>
          <w:b/>
          <w:bCs/>
          <w:i/>
          <w:iCs/>
          <w:sz w:val="28"/>
          <w:szCs w:val="28"/>
        </w:rPr>
        <w:t>Geriátriai</w:t>
      </w:r>
      <w:proofErr w:type="spellEnd"/>
      <w:r>
        <w:rPr>
          <w:b/>
          <w:bCs/>
          <w:i/>
          <w:iCs/>
          <w:sz w:val="28"/>
          <w:szCs w:val="28"/>
        </w:rPr>
        <w:t xml:space="preserve"> és krón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ikus beteg szakápoló megnevezésű szakképesítés-ráépülés szakmai és vizsgakövetelménye</w:t>
      </w:r>
    </w:p>
    <w:p w:rsidR="00F40128" w:rsidRDefault="00D57760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F40128" w:rsidRDefault="00D57760">
      <w:pPr>
        <w:ind w:firstLine="204"/>
        <w:jc w:val="both"/>
      </w:pPr>
      <w:r>
        <w:t>1.1. A szakképesítés-ráépülés azonosító száma: 55 723 07</w:t>
      </w:r>
    </w:p>
    <w:p w:rsidR="00F40128" w:rsidRDefault="00D57760">
      <w:pPr>
        <w:ind w:firstLine="204"/>
        <w:jc w:val="both"/>
      </w:pPr>
      <w:r>
        <w:t xml:space="preserve">1.2. Szakképesítés-ráépüléssel megnevezése: </w:t>
      </w:r>
      <w:proofErr w:type="spellStart"/>
      <w:r>
        <w:t>Geriátriai</w:t>
      </w:r>
      <w:proofErr w:type="spellEnd"/>
      <w:r>
        <w:t xml:space="preserve"> és krónikus beteg szakápoló</w:t>
      </w:r>
    </w:p>
    <w:p w:rsidR="00F40128" w:rsidRDefault="00D57760">
      <w:pPr>
        <w:ind w:firstLine="204"/>
        <w:jc w:val="both"/>
      </w:pPr>
      <w:r>
        <w:t>1.3. Iskolai rendszerű szakképzésben a szakképzési évfolyamok száma: -</w:t>
      </w:r>
    </w:p>
    <w:p w:rsidR="00F40128" w:rsidRDefault="00D57760">
      <w:pPr>
        <w:ind w:firstLine="204"/>
        <w:jc w:val="both"/>
      </w:pPr>
      <w:r>
        <w:t>1.4. Iskolarendszeren kívüli szakképzésben az óraszám: 500-720</w:t>
      </w:r>
    </w:p>
    <w:p w:rsidR="00F40128" w:rsidRDefault="00D57760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F40128" w:rsidRDefault="00D57760">
      <w:pPr>
        <w:ind w:firstLine="204"/>
        <w:jc w:val="both"/>
      </w:pPr>
      <w:r>
        <w:t>2.1. A képzés megkezdésének feltételei:</w:t>
      </w:r>
    </w:p>
    <w:p w:rsidR="00F40128" w:rsidRDefault="00D57760">
      <w:pPr>
        <w:ind w:firstLine="204"/>
        <w:jc w:val="both"/>
      </w:pPr>
      <w:r>
        <w:t>2.1.1. Iskolai előképzettség: érettségi végzettség</w:t>
      </w:r>
    </w:p>
    <w:p w:rsidR="00F40128" w:rsidRDefault="00D57760">
      <w:pPr>
        <w:ind w:firstLine="204"/>
        <w:jc w:val="both"/>
      </w:pPr>
      <w:r>
        <w:t>2.1.2. Bemeneti kompetenciák: -</w:t>
      </w:r>
    </w:p>
    <w:p w:rsidR="00F40128" w:rsidRDefault="00D57760">
      <w:pPr>
        <w:ind w:firstLine="204"/>
        <w:jc w:val="both"/>
      </w:pPr>
      <w:r>
        <w:t>2.2. Szakmai előképzettség: 55 723 01 Ápoló szakképesítés (bővebben a 7. Egyebek fejezetben)</w:t>
      </w:r>
    </w:p>
    <w:p w:rsidR="00F40128" w:rsidRDefault="00D57760">
      <w:pPr>
        <w:ind w:firstLine="204"/>
        <w:jc w:val="both"/>
      </w:pPr>
      <w:r>
        <w:t>2.3. Előírt gyakorlat: 1 év ápolói munkaterületen eltöltött szakmai gyakorlat</w:t>
      </w:r>
    </w:p>
    <w:p w:rsidR="00F40128" w:rsidRDefault="00D57760">
      <w:pPr>
        <w:ind w:firstLine="204"/>
        <w:jc w:val="both"/>
      </w:pPr>
      <w:r>
        <w:t>2.4. Egészségügyi alkalmassági követelmények: szükségesek</w:t>
      </w:r>
    </w:p>
    <w:p w:rsidR="00F40128" w:rsidRDefault="00D57760">
      <w:pPr>
        <w:ind w:firstLine="204"/>
        <w:jc w:val="both"/>
      </w:pPr>
      <w:r>
        <w:t>2.5. Pályaalkalmassági követelmények: nem szükségesek</w:t>
      </w:r>
    </w:p>
    <w:p w:rsidR="00F40128" w:rsidRDefault="00D57760">
      <w:pPr>
        <w:ind w:firstLine="204"/>
        <w:jc w:val="both"/>
      </w:pPr>
      <w:r>
        <w:t>2.6. Elméleti képzési idő aránya: 50%</w:t>
      </w:r>
    </w:p>
    <w:p w:rsidR="00F40128" w:rsidRDefault="00D57760">
      <w:pPr>
        <w:ind w:firstLine="204"/>
        <w:jc w:val="both"/>
      </w:pPr>
      <w:r>
        <w:t>2.7. Gyakorlati képzési idő aránya: 50%</w:t>
      </w:r>
    </w:p>
    <w:p w:rsidR="00F40128" w:rsidRDefault="00D57760">
      <w:pPr>
        <w:ind w:firstLine="204"/>
        <w:jc w:val="both"/>
      </w:pPr>
      <w:r>
        <w:t>2.8. Szintvizsga: -</w:t>
      </w:r>
    </w:p>
    <w:p w:rsidR="00F40128" w:rsidRDefault="00D57760">
      <w:pPr>
        <w:ind w:firstLine="204"/>
        <w:jc w:val="both"/>
      </w:pPr>
      <w:r>
        <w:t>2.9. Az iskolai rendszerű képzésben az összefüggő szakmai gyakorlat időtartama: -</w:t>
      </w:r>
    </w:p>
    <w:p w:rsidR="00F40128" w:rsidRDefault="00D57760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F40128" w:rsidRDefault="00D57760">
      <w:pPr>
        <w:spacing w:after="240"/>
        <w:ind w:firstLine="204"/>
        <w:jc w:val="both"/>
      </w:pPr>
      <w:r>
        <w:t>3.1. A szakképesítés-ráépüléssel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szakképesítés-ráépüléssel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Ápoló, szakápoló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Szakápoló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3311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28" w:rsidRDefault="00D5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Geriátriai</w:t>
            </w:r>
            <w:proofErr w:type="spellEnd"/>
            <w:r>
              <w:rPr>
                <w:sz w:val="20"/>
                <w:szCs w:val="20"/>
              </w:rPr>
              <w:t xml:space="preserve"> szakápoló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3313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28" w:rsidRDefault="00D5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Krónikus beteg szakápoló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3314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Geriátriai</w:t>
            </w:r>
            <w:proofErr w:type="spellEnd"/>
            <w:r>
              <w:rPr>
                <w:sz w:val="20"/>
                <w:szCs w:val="20"/>
              </w:rPr>
              <w:t xml:space="preserve"> és krónikus beteg szakápoló</w:t>
            </w:r>
          </w:p>
        </w:tc>
      </w:tr>
    </w:tbl>
    <w:p w:rsidR="00F40128" w:rsidRDefault="00D57760">
      <w:pPr>
        <w:spacing w:before="240"/>
        <w:ind w:firstLine="204"/>
        <w:jc w:val="both"/>
      </w:pPr>
      <w:r>
        <w:t>3.2. A szakképesítés-ráépülés munkaterületének rövid leírása:</w:t>
      </w:r>
    </w:p>
    <w:p w:rsidR="00F40128" w:rsidRDefault="00D57760">
      <w:pPr>
        <w:ind w:firstLine="204"/>
        <w:jc w:val="both"/>
      </w:pPr>
      <w:r>
        <w:t xml:space="preserve">A </w:t>
      </w:r>
      <w:proofErr w:type="spellStart"/>
      <w:r>
        <w:t>geriátriai</w:t>
      </w:r>
      <w:proofErr w:type="spellEnd"/>
      <w:r>
        <w:t xml:space="preserve"> és krónikus beteg szakápoló olyan szakember, aki idős, illetve krónikus betegek holisztikus ellátását, gondozását, ápolását végzi az orvos utasításai szerint az életkori sajátosságoknak, </w:t>
      </w:r>
      <w:proofErr w:type="spellStart"/>
      <w:r>
        <w:t>geriátriai</w:t>
      </w:r>
      <w:proofErr w:type="spellEnd"/>
      <w:r>
        <w:t xml:space="preserve"> </w:t>
      </w:r>
      <w:proofErr w:type="spellStart"/>
      <w:r>
        <w:t>klinikumi</w:t>
      </w:r>
      <w:proofErr w:type="spellEnd"/>
      <w:r>
        <w:t xml:space="preserve"> ismereteknek megfelelően, ápolói és gondozói tevékenységet végez, önállóan, illetve az ellátó csapat tagjaként egészségügyi és szociális alap-, fekvőbeteg-, valamint szakellátást nyújtó intézményekben. Szociális, jogi, etikai, kommunikációs tudáson alapuló képességek és készségek kialakításával, alkalmazásával a szakápoló az idős emberek </w:t>
      </w:r>
      <w:r>
        <w:lastRenderedPageBreak/>
        <w:t xml:space="preserve">ellátásának különböző formái közötti kapcsolatépítéssel, </w:t>
      </w:r>
      <w:proofErr w:type="spellStart"/>
      <w:r>
        <w:t>betegutak</w:t>
      </w:r>
      <w:proofErr w:type="spellEnd"/>
      <w:r>
        <w:t xml:space="preserve"> menedzselésével, a hozzátartozók aktív segítségével felelősen hozzájárul a komplex ápolási-gondozási rendszer megvalósításához.</w:t>
      </w:r>
    </w:p>
    <w:p w:rsidR="00F40128" w:rsidRDefault="00D57760">
      <w:pPr>
        <w:ind w:firstLine="204"/>
        <w:jc w:val="both"/>
      </w:pPr>
      <w:r>
        <w:t>A szakképesítés-ráépüléssel rendelkező képes:</w:t>
      </w:r>
    </w:p>
    <w:p w:rsidR="00F40128" w:rsidRDefault="00D57760">
      <w:pPr>
        <w:ind w:firstLine="204"/>
        <w:jc w:val="both"/>
      </w:pPr>
      <w:r>
        <w:t>- megfelelően és hatékonyan kommunikálni az ellátás valamennyi szereplőjével</w:t>
      </w:r>
    </w:p>
    <w:p w:rsidR="00F40128" w:rsidRDefault="00D57760">
      <w:pPr>
        <w:ind w:firstLine="204"/>
        <w:jc w:val="both"/>
      </w:pPr>
      <w:r>
        <w:t>- az idős ember, illetve a krónikus betegségben szenvedők szükségleteit felmérni és kielégíteni</w:t>
      </w:r>
    </w:p>
    <w:p w:rsidR="00F40128" w:rsidRDefault="00D57760">
      <w:pPr>
        <w:ind w:firstLine="204"/>
        <w:jc w:val="both"/>
      </w:pPr>
      <w:r>
        <w:t>- az ápolási folyamatot tervezni, szervezni, megvalósítani, értékelni, szükség esetén módosítani,</w:t>
      </w:r>
    </w:p>
    <w:p w:rsidR="00F40128" w:rsidRDefault="00D57760">
      <w:pPr>
        <w:ind w:firstLine="204"/>
        <w:jc w:val="both"/>
      </w:pPr>
      <w:r>
        <w:t>- az ápolási tevékenységekről teljes körű ápolási dokumentációt készíteni</w:t>
      </w:r>
    </w:p>
    <w:p w:rsidR="00F40128" w:rsidRDefault="00D57760">
      <w:pPr>
        <w:ind w:firstLine="204"/>
        <w:jc w:val="both"/>
      </w:pPr>
      <w:r>
        <w:t>- az időskori, illetve a krónikus betegségek kapcsán kialakult testi, lelki, szellemi és spirituális problémákat felmérni, kezelni,</w:t>
      </w:r>
    </w:p>
    <w:p w:rsidR="00F40128" w:rsidRDefault="00D57760">
      <w:pPr>
        <w:ind w:firstLine="204"/>
        <w:jc w:val="both"/>
      </w:pPr>
      <w:r>
        <w:t xml:space="preserve">- a krónikus betegségekben </w:t>
      </w:r>
      <w:proofErr w:type="gramStart"/>
      <w:r>
        <w:t>szenvedők ,</w:t>
      </w:r>
      <w:proofErr w:type="gramEnd"/>
      <w:r>
        <w:t xml:space="preserve"> idős emberek szociális és társadalmi helyzetét felmérni, gondozásában részt venni</w:t>
      </w:r>
    </w:p>
    <w:p w:rsidR="00F40128" w:rsidRDefault="00D57760">
      <w:pPr>
        <w:ind w:firstLine="204"/>
        <w:jc w:val="both"/>
      </w:pPr>
      <w:r>
        <w:t>- a krónikus betegek és idős emberek ellátását menedzselni</w:t>
      </w:r>
    </w:p>
    <w:p w:rsidR="00F40128" w:rsidRDefault="00D57760">
      <w:pPr>
        <w:ind w:firstLine="204"/>
        <w:jc w:val="both"/>
      </w:pPr>
      <w:r>
        <w:t>- az idősellátás más szakmaterületeivel, a szociális ellátás szakembereivel kapcsolatot tartani</w:t>
      </w:r>
    </w:p>
    <w:p w:rsidR="00F40128" w:rsidRDefault="00D57760">
      <w:pPr>
        <w:ind w:firstLine="204"/>
        <w:jc w:val="both"/>
      </w:pPr>
      <w:r>
        <w:t>- a szociális ellátási formákról tájékoztatást adni, a szociális ellátások igénybevételében közreműködni</w:t>
      </w:r>
    </w:p>
    <w:p w:rsidR="00F40128" w:rsidRDefault="00D57760">
      <w:pPr>
        <w:ind w:firstLine="204"/>
        <w:jc w:val="both"/>
      </w:pPr>
      <w:r>
        <w:t>- segíteni az idős ember kapcsolatfelvételét a szociális szakemberekkel, szolgáltatókkal</w:t>
      </w:r>
    </w:p>
    <w:p w:rsidR="00F40128" w:rsidRDefault="00D57760">
      <w:pPr>
        <w:ind w:firstLine="204"/>
        <w:jc w:val="both"/>
      </w:pPr>
      <w:r>
        <w:t>- egészségnevelési, egészségfejlesztési feladatokat ellátni</w:t>
      </w:r>
    </w:p>
    <w:p w:rsidR="00F40128" w:rsidRDefault="00D57760">
      <w:pPr>
        <w:ind w:firstLine="204"/>
        <w:jc w:val="both"/>
      </w:pPr>
      <w:r>
        <w:t xml:space="preserve">- a </w:t>
      </w:r>
      <w:proofErr w:type="spellStart"/>
      <w:r>
        <w:t>betegedukációban</w:t>
      </w:r>
      <w:proofErr w:type="spellEnd"/>
      <w:r>
        <w:t xml:space="preserve"> közreműködni</w:t>
      </w:r>
    </w:p>
    <w:p w:rsidR="00F40128" w:rsidRDefault="00D57760">
      <w:pPr>
        <w:ind w:firstLine="204"/>
        <w:jc w:val="both"/>
      </w:pPr>
      <w:r>
        <w:t>- a foglalkozás-terápiás csoportokat, szervezni, koordinálni</w:t>
      </w:r>
    </w:p>
    <w:p w:rsidR="00F40128" w:rsidRDefault="00D57760">
      <w:pPr>
        <w:ind w:firstLine="204"/>
        <w:jc w:val="both"/>
      </w:pPr>
      <w:r>
        <w:t xml:space="preserve">- a </w:t>
      </w:r>
      <w:proofErr w:type="spellStart"/>
      <w:r>
        <w:t>geriátriai</w:t>
      </w:r>
      <w:proofErr w:type="spellEnd"/>
      <w:r>
        <w:t xml:space="preserve"> ápolás speciális területein közreműködni és részt venni a kórházi ellátásban</w:t>
      </w:r>
    </w:p>
    <w:p w:rsidR="00F40128" w:rsidRDefault="00D57760">
      <w:pPr>
        <w:ind w:firstLine="204"/>
        <w:jc w:val="both"/>
      </w:pPr>
      <w:r>
        <w:t>- a rehabilitáció egyes formáiban (orvosi, foglakozási, szociális, pedagógiai) közreműködni</w:t>
      </w:r>
    </w:p>
    <w:p w:rsidR="00F40128" w:rsidRDefault="00D57760">
      <w:pPr>
        <w:ind w:firstLine="204"/>
        <w:jc w:val="both"/>
      </w:pPr>
      <w:r>
        <w:t>- az idős beteget és családját a krónikus betegségben, a terminális állapotban támogatni, valamint közreműködni a hospice szakápolásban</w:t>
      </w:r>
    </w:p>
    <w:p w:rsidR="00F40128" w:rsidRDefault="00D57760">
      <w:pPr>
        <w:ind w:firstLine="204"/>
        <w:jc w:val="both"/>
      </w:pPr>
      <w:r>
        <w:t xml:space="preserve">- közreműködni a </w:t>
      </w:r>
      <w:proofErr w:type="spellStart"/>
      <w:r>
        <w:t>betegutak</w:t>
      </w:r>
      <w:proofErr w:type="spellEnd"/>
      <w:r>
        <w:t xml:space="preserve"> menedzselésében, a rehabilitációban, a közösségi- és az otthoni szakápolásban</w:t>
      </w:r>
    </w:p>
    <w:p w:rsidR="00F40128" w:rsidRDefault="00D57760">
      <w:pPr>
        <w:ind w:firstLine="204"/>
        <w:jc w:val="both"/>
      </w:pPr>
      <w:r>
        <w:t>- az idős ellátásával kapcsolatos ápolási, gondozási és szociális munka összetett, komplex szakmai tevékenységét vállalni</w:t>
      </w:r>
    </w:p>
    <w:p w:rsidR="00F40128" w:rsidRDefault="00D57760">
      <w:pPr>
        <w:ind w:firstLine="204"/>
        <w:jc w:val="both"/>
      </w:pPr>
      <w:r>
        <w:t>- a gyakorlaton lévő ápoló és szakápoló tanulók oktatásában, nevelésében közreműködni</w:t>
      </w:r>
    </w:p>
    <w:p w:rsidR="00F40128" w:rsidRDefault="00D57760">
      <w:pPr>
        <w:ind w:firstLine="204"/>
        <w:jc w:val="both"/>
      </w:pPr>
      <w:r>
        <w:t>- munkájuk során a gondoskodás, elfogadás és az ápolásetikai normáit alkalmazni, valamint az érvényes jogszabályokban foglaltakat betartani</w:t>
      </w:r>
    </w:p>
    <w:p w:rsidR="00F40128" w:rsidRDefault="00D57760">
      <w:pPr>
        <w:ind w:firstLine="204"/>
        <w:jc w:val="both"/>
      </w:pPr>
      <w:r>
        <w:t>- szakmai ismereteiket folyamatos fejleszteni</w:t>
      </w:r>
    </w:p>
    <w:p w:rsidR="00F40128" w:rsidRDefault="00D57760">
      <w:pPr>
        <w:ind w:firstLine="204"/>
        <w:jc w:val="both"/>
      </w:pPr>
      <w:r>
        <w:t>- kockázatfelmérő-, fájdalom felmérő eszközök és módszerek alkalmazására</w:t>
      </w:r>
    </w:p>
    <w:p w:rsidR="00F40128" w:rsidRDefault="00D57760">
      <w:pPr>
        <w:ind w:firstLine="204"/>
        <w:jc w:val="both"/>
      </w:pPr>
      <w:r>
        <w:t xml:space="preserve">- </w:t>
      </w:r>
      <w:proofErr w:type="spellStart"/>
      <w:r>
        <w:t>stomaviselő</w:t>
      </w:r>
      <w:proofErr w:type="spellEnd"/>
      <w:r>
        <w:t xml:space="preserve">, inkontinenciában szenvedő betegek komplex ellátására, krónikus, nehezen gyógyuló sebek, valamint a </w:t>
      </w:r>
      <w:proofErr w:type="spellStart"/>
      <w:r>
        <w:t>decubitus</w:t>
      </w:r>
      <w:proofErr w:type="spellEnd"/>
      <w:r>
        <w:t xml:space="preserve"> kockázatának felmérésére, megelőzésére, sebfelmérésre, valamint a sebkezelési tervek készítésére és azok megvalósítására</w:t>
      </w:r>
    </w:p>
    <w:p w:rsidR="00F40128" w:rsidRDefault="00D57760">
      <w:pPr>
        <w:ind w:firstLine="204"/>
        <w:jc w:val="both"/>
      </w:pPr>
      <w:r>
        <w:t>- idős, és krónikus betegségben szenvedők fájdalmának csillapítására</w:t>
      </w:r>
    </w:p>
    <w:p w:rsidR="00F40128" w:rsidRDefault="00D57760">
      <w:pPr>
        <w:ind w:firstLine="204"/>
        <w:jc w:val="both"/>
      </w:pPr>
      <w:r>
        <w:t>- az idős és a krónikus beteg gyógyszerelését biztosítani, ellenőrizni és megtanítani</w:t>
      </w:r>
    </w:p>
    <w:p w:rsidR="00F40128" w:rsidRDefault="00D57760">
      <w:pPr>
        <w:spacing w:after="24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55 720 01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gyakorlatvezető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</w:tbl>
    <w:p w:rsidR="00F40128" w:rsidRDefault="00D57760">
      <w:pPr>
        <w:spacing w:before="240" w:after="240"/>
        <w:jc w:val="center"/>
      </w:pPr>
      <w:r>
        <w:rPr>
          <w:sz w:val="28"/>
          <w:szCs w:val="28"/>
        </w:rPr>
        <w:lastRenderedPageBreak/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11735-16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Geriátriai</w:t>
            </w:r>
            <w:proofErr w:type="spellEnd"/>
            <w:r>
              <w:rPr>
                <w:sz w:val="20"/>
                <w:szCs w:val="20"/>
              </w:rPr>
              <w:t xml:space="preserve"> és krónikus beteg szakápolás</w:t>
            </w:r>
          </w:p>
        </w:tc>
      </w:tr>
    </w:tbl>
    <w:p w:rsidR="00F40128" w:rsidRDefault="00D57760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F40128" w:rsidRDefault="00D57760">
      <w:pPr>
        <w:ind w:firstLine="204"/>
        <w:jc w:val="both"/>
      </w:pPr>
      <w:r>
        <w:t>5.1. A komplex szakmai vizsgára bocsátás feltételei:</w:t>
      </w:r>
    </w:p>
    <w:p w:rsidR="00F40128" w:rsidRDefault="00D57760">
      <w:pPr>
        <w:ind w:firstLine="204"/>
        <w:jc w:val="both"/>
      </w:pPr>
      <w:r>
        <w:t>Az iskolarendszeren kívüli szakképzésben az 5. 2. alpontban előírt valamennyi modulzáró vizsga eredményes letétele, az előírt gyakorlatok igazolt teljesítése.</w:t>
      </w:r>
    </w:p>
    <w:p w:rsidR="00F40128" w:rsidRDefault="00D57760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vizsgatevékenysége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11735-16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Geriátriai</w:t>
            </w:r>
            <w:proofErr w:type="spellEnd"/>
            <w:r>
              <w:rPr>
                <w:sz w:val="20"/>
                <w:szCs w:val="20"/>
              </w:rPr>
              <w:t xml:space="preserve"> és krónikus beteg szakápolás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és gyakorlati</w:t>
            </w:r>
          </w:p>
        </w:tc>
      </w:tr>
    </w:tbl>
    <w:p w:rsidR="00F40128" w:rsidRDefault="00D57760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elégségesre (2) értékelhető.</w:t>
      </w:r>
    </w:p>
    <w:p w:rsidR="00F40128" w:rsidRDefault="00D57760">
      <w:pPr>
        <w:ind w:firstLine="204"/>
        <w:jc w:val="both"/>
      </w:pPr>
      <w:r>
        <w:t>5.3. A komplex szakmai vizsga vizsgatevékenységei és vizsgafeladatai:</w:t>
      </w:r>
    </w:p>
    <w:p w:rsidR="00F40128" w:rsidRDefault="00D57760">
      <w:pPr>
        <w:ind w:firstLine="204"/>
        <w:jc w:val="both"/>
      </w:pPr>
      <w:r>
        <w:t>5.3.1. Gyakorlati vizsgatevékenység</w:t>
      </w:r>
    </w:p>
    <w:p w:rsidR="00F40128" w:rsidRDefault="00D57760">
      <w:pPr>
        <w:ind w:firstLine="204"/>
        <w:jc w:val="both"/>
      </w:pPr>
      <w:r>
        <w:t xml:space="preserve">A vizsgafeladat megnevezése: Szakápolási feladatok elvégzése a </w:t>
      </w:r>
      <w:proofErr w:type="spellStart"/>
      <w:r>
        <w:t>geriátriai</w:t>
      </w:r>
      <w:proofErr w:type="spellEnd"/>
      <w:r>
        <w:t xml:space="preserve"> és krónikus betegellátásban</w:t>
      </w:r>
    </w:p>
    <w:p w:rsidR="00F40128" w:rsidRDefault="00D57760">
      <w:pPr>
        <w:ind w:firstLine="204"/>
        <w:jc w:val="both"/>
      </w:pPr>
      <w:r>
        <w:t xml:space="preserve">A vizsgafeladat ismertetése: Az ápolási folyamat önálló megvalósítása feladatleírásban rögzített munkahelyzet és paraméterek alapján: ápolási diagnózisok meghatározása </w:t>
      </w:r>
      <w:proofErr w:type="spellStart"/>
      <w:r>
        <w:t>geriátriai</w:t>
      </w:r>
      <w:proofErr w:type="spellEnd"/>
      <w:r>
        <w:t xml:space="preserve"> kórképekre, ápolási tervet készítése a beteg életkori sajátosságának, és aktuális állapotának megfelelően, az ápolási célkitűzéssel korreláló ápolási tevékenységek teljes körűen kivitelezése és dokumentálása.</w:t>
      </w:r>
    </w:p>
    <w:p w:rsidR="00F40128" w:rsidRDefault="00D57760">
      <w:pPr>
        <w:ind w:firstLine="204"/>
        <w:jc w:val="both"/>
      </w:pPr>
      <w:r>
        <w:t>A vizsgafeladat időtartama: 45 perc</w:t>
      </w:r>
    </w:p>
    <w:p w:rsidR="00F40128" w:rsidRDefault="00D57760">
      <w:pPr>
        <w:ind w:firstLine="204"/>
        <w:jc w:val="both"/>
      </w:pPr>
      <w:r>
        <w:t>A vizsgafeladat értékelési súlyaránya: 60%</w:t>
      </w:r>
    </w:p>
    <w:p w:rsidR="00F40128" w:rsidRDefault="00D57760">
      <w:pPr>
        <w:ind w:firstLine="204"/>
        <w:jc w:val="both"/>
      </w:pPr>
      <w:r>
        <w:t>5.3.2. Központi írásbeli vizsgatevékenység</w:t>
      </w:r>
    </w:p>
    <w:p w:rsidR="00F40128" w:rsidRDefault="00D57760">
      <w:pPr>
        <w:ind w:firstLine="204"/>
        <w:jc w:val="both"/>
      </w:pPr>
      <w:r>
        <w:t>A vizsgafeladat megnevezése: -</w:t>
      </w:r>
    </w:p>
    <w:p w:rsidR="00F40128" w:rsidRDefault="00D57760">
      <w:pPr>
        <w:ind w:firstLine="204"/>
        <w:jc w:val="both"/>
      </w:pPr>
      <w:r>
        <w:t>A vizsgafeladat ismertetése: -</w:t>
      </w:r>
    </w:p>
    <w:p w:rsidR="00F40128" w:rsidRDefault="00D57760">
      <w:pPr>
        <w:ind w:firstLine="204"/>
        <w:jc w:val="both"/>
      </w:pPr>
      <w:r>
        <w:t>A vizsgafeladat időtartama: -</w:t>
      </w:r>
    </w:p>
    <w:p w:rsidR="00F40128" w:rsidRDefault="00D57760">
      <w:pPr>
        <w:ind w:firstLine="204"/>
        <w:jc w:val="both"/>
      </w:pPr>
      <w:r>
        <w:t>A vizsgafeladat értékelési súlyaránya: -</w:t>
      </w:r>
    </w:p>
    <w:p w:rsidR="00F40128" w:rsidRDefault="00D57760">
      <w:pPr>
        <w:ind w:firstLine="204"/>
        <w:jc w:val="both"/>
      </w:pPr>
      <w:r>
        <w:t>5.3.3. Szóbeli vizsgatevékenység</w:t>
      </w:r>
    </w:p>
    <w:p w:rsidR="00F40128" w:rsidRDefault="00D57760">
      <w:pPr>
        <w:ind w:firstLine="204"/>
        <w:jc w:val="both"/>
      </w:pPr>
      <w:r>
        <w:t>A vizsgafeladat megnevezése: Elméleti ismeretek reprodukálása</w:t>
      </w:r>
    </w:p>
    <w:p w:rsidR="00F40128" w:rsidRDefault="00D57760">
      <w:pPr>
        <w:ind w:firstLine="204"/>
        <w:jc w:val="both"/>
      </w:pPr>
      <w:r>
        <w:t xml:space="preserve">A vizsgafeladat ismertetése: Központilag összeállított feladatsor, amely a 4. Szakmai </w:t>
      </w:r>
      <w:r>
        <w:lastRenderedPageBreak/>
        <w:t>követelmények fejezetben megadott követelménymodulokhoz tartozó témakörök mindegyikét tartalmazzák.</w:t>
      </w:r>
    </w:p>
    <w:p w:rsidR="00F40128" w:rsidRDefault="00D57760">
      <w:pPr>
        <w:ind w:firstLine="204"/>
        <w:jc w:val="both"/>
      </w:pPr>
      <w:r>
        <w:t>A vizsgafeladat időtartama: 45 perc (felkészülési idő 30 perc, válaszadási idő 15 perc)</w:t>
      </w:r>
    </w:p>
    <w:p w:rsidR="00F40128" w:rsidRDefault="00D57760">
      <w:pPr>
        <w:ind w:firstLine="204"/>
        <w:jc w:val="both"/>
      </w:pPr>
      <w:r>
        <w:t>A vizsgafeladat értékelési súlyaránya: 40%</w:t>
      </w:r>
    </w:p>
    <w:p w:rsidR="00F40128" w:rsidRDefault="00D57760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40128" w:rsidRDefault="00D57760">
      <w:pPr>
        <w:ind w:firstLine="204"/>
        <w:jc w:val="both"/>
      </w:pPr>
      <w:r>
        <w:t>A szakképesítés-ráépüléssel kapcsolatos előírások az állami szakképzési és felnőttképzési szerv http://www.nive.hu/ című weblapján érhetők el a Szak- és Felnőttképzés Vizsgák menüpontban</w:t>
      </w:r>
    </w:p>
    <w:p w:rsidR="00F40128" w:rsidRDefault="00D57760">
      <w:pPr>
        <w:ind w:firstLine="204"/>
        <w:jc w:val="both"/>
      </w:pPr>
      <w:r>
        <w:t>5.5. A szakmai vizsga értékelésének a szakmai vizsgaszabályzattól eltérő szempontjai: -</w:t>
      </w:r>
    </w:p>
    <w:p w:rsidR="00F40128" w:rsidRDefault="00D57760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Gyógyszerelő kocsi </w:t>
            </w:r>
            <w:proofErr w:type="spellStart"/>
            <w:r>
              <w:rPr>
                <w:sz w:val="20"/>
                <w:szCs w:val="20"/>
              </w:rPr>
              <w:t>geriátriai</w:t>
            </w:r>
            <w:proofErr w:type="spellEnd"/>
            <w:r>
              <w:rPr>
                <w:sz w:val="20"/>
                <w:szCs w:val="20"/>
              </w:rPr>
              <w:t xml:space="preserve"> és krónikus betegellátás speciális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Kötözős kocsi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Ágyazó és ápolási eszköztároló kocsi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Infúziós, injekciós eszközök, </w:t>
            </w:r>
            <w:proofErr w:type="spellStart"/>
            <w:r>
              <w:rPr>
                <w:sz w:val="20"/>
                <w:szCs w:val="20"/>
              </w:rPr>
              <w:t>infuzor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perfuzor</w:t>
            </w:r>
            <w:proofErr w:type="spellEnd"/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Táplálás, folyadékpótlás, mesterséges táplálás eszközei, tápszerek, </w:t>
            </w:r>
            <w:proofErr w:type="spellStart"/>
            <w:r>
              <w:rPr>
                <w:sz w:val="20"/>
                <w:szCs w:val="20"/>
              </w:rPr>
              <w:t>táplálékkiegésztők</w:t>
            </w:r>
            <w:proofErr w:type="spellEnd"/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Incontinentiaellátás-</w:t>
            </w:r>
            <w:proofErr w:type="spellEnd"/>
            <w:r>
              <w:rPr>
                <w:sz w:val="20"/>
                <w:szCs w:val="20"/>
              </w:rPr>
              <w:t xml:space="preserve">, katéterezés eszközei, beöntő-, irrigáló szett, </w:t>
            </w:r>
            <w:proofErr w:type="spellStart"/>
            <w:r>
              <w:rPr>
                <w:sz w:val="20"/>
                <w:szCs w:val="20"/>
              </w:rPr>
              <w:t>stoma</w:t>
            </w:r>
            <w:proofErr w:type="spellEnd"/>
            <w:r>
              <w:rPr>
                <w:sz w:val="20"/>
                <w:szCs w:val="20"/>
              </w:rPr>
              <w:t xml:space="preserve"> állapot felmérő és ellátás eszközei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Vizelet, széklet, és egyéb váladék felfogására szolgáló eszközök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Mindennapos-, </w:t>
            </w:r>
            <w:proofErr w:type="spellStart"/>
            <w:r>
              <w:rPr>
                <w:sz w:val="20"/>
                <w:szCs w:val="20"/>
              </w:rPr>
              <w:t>geriátriai</w:t>
            </w:r>
            <w:proofErr w:type="spellEnd"/>
            <w:r>
              <w:rPr>
                <w:sz w:val="20"/>
                <w:szCs w:val="20"/>
              </w:rPr>
              <w:t xml:space="preserve"> és krónikus ellátásra jellemző beavatkozások eszközei, műszerei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Riasztás eszközei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Monitorozás eszközei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Felnőtt ápolás, szakápolás eszközei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Multifunkciós</w:t>
            </w:r>
            <w:proofErr w:type="spellEnd"/>
            <w:r>
              <w:rPr>
                <w:sz w:val="20"/>
                <w:szCs w:val="20"/>
              </w:rPr>
              <w:t xml:space="preserve"> betegágy, </w:t>
            </w:r>
            <w:proofErr w:type="spellStart"/>
            <w:r>
              <w:rPr>
                <w:sz w:val="20"/>
                <w:szCs w:val="20"/>
              </w:rPr>
              <w:t>multifunkciós</w:t>
            </w:r>
            <w:proofErr w:type="spellEnd"/>
            <w:r>
              <w:rPr>
                <w:sz w:val="20"/>
                <w:szCs w:val="20"/>
              </w:rPr>
              <w:t xml:space="preserve"> éjjeliszekrény,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Kényelmi-, </w:t>
            </w:r>
            <w:proofErr w:type="spellStart"/>
            <w:r>
              <w:rPr>
                <w:sz w:val="20"/>
                <w:szCs w:val="20"/>
              </w:rPr>
              <w:t>decubitus</w:t>
            </w:r>
            <w:proofErr w:type="spellEnd"/>
            <w:r>
              <w:rPr>
                <w:sz w:val="20"/>
                <w:szCs w:val="20"/>
              </w:rPr>
              <w:t xml:space="preserve"> megelőző-, speciális nyomáscsökkentő, tehermentesítő, pozícionáló, mozgatást elősegítő eszközök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proofErr w:type="spellStart"/>
            <w:proofErr w:type="gramStart"/>
            <w:r>
              <w:rPr>
                <w:sz w:val="20"/>
                <w:szCs w:val="20"/>
              </w:rPr>
              <w:t>geriátriai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valamint krónikus betegellátásban használt gyógyászati segédeszközök, korlátozó eszközök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Légzőtorna</w:t>
            </w:r>
            <w:proofErr w:type="spellEnd"/>
            <w:r>
              <w:rPr>
                <w:sz w:val="20"/>
                <w:szCs w:val="20"/>
              </w:rPr>
              <w:t xml:space="preserve">, inhaláció, </w:t>
            </w:r>
            <w:proofErr w:type="gramStart"/>
            <w:r>
              <w:rPr>
                <w:sz w:val="20"/>
                <w:szCs w:val="20"/>
              </w:rPr>
              <w:t>párásítás ,</w:t>
            </w:r>
            <w:proofErr w:type="gramEnd"/>
            <w:r>
              <w:rPr>
                <w:sz w:val="20"/>
                <w:szCs w:val="20"/>
              </w:rPr>
              <w:t xml:space="preserve"> oxigénterápia, valamint </w:t>
            </w:r>
            <w:proofErr w:type="spellStart"/>
            <w:r>
              <w:rPr>
                <w:sz w:val="20"/>
                <w:szCs w:val="20"/>
              </w:rPr>
              <w:t>tracheostomás</w:t>
            </w:r>
            <w:proofErr w:type="spellEnd"/>
            <w:r>
              <w:rPr>
                <w:sz w:val="20"/>
                <w:szCs w:val="20"/>
              </w:rPr>
              <w:t xml:space="preserve"> beteg ellátásának eszközei, motoros szívó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Speciális tesztek, felmérő skálák,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szakmai dokumentáció és archiválás eszközei,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Elméleti oktatáshoz és a demonstrációs gyakorlatokhoz oktatóhelyiség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Oktatástechnikai eszközök (tábla, projektor, számítógép)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újraélesztés eszközei (szimulátor), </w:t>
            </w:r>
            <w:proofErr w:type="spellStart"/>
            <w:r>
              <w:rPr>
                <w:sz w:val="20"/>
                <w:szCs w:val="20"/>
              </w:rPr>
              <w:t>légútbiztosítás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 ellátás, elsősegélynyújtás eszközei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kommunális és veszélyes hulladékgyűjtés eszközei, dokumentációja</w:t>
            </w:r>
          </w:p>
        </w:tc>
      </w:tr>
      <w:tr w:rsidR="00F4012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8" w:rsidRDefault="00D5776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Fertőtlenítéshez használt eszközök, fertőtlenítőszerek</w:t>
            </w:r>
          </w:p>
        </w:tc>
      </w:tr>
    </w:tbl>
    <w:p w:rsidR="00F40128" w:rsidRDefault="00D57760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F40128" w:rsidRDefault="00D57760">
      <w:pPr>
        <w:ind w:firstLine="204"/>
        <w:jc w:val="both"/>
      </w:pPr>
      <w:r>
        <w:t xml:space="preserve">7.1. Szakmai előképzettség: A 2.2. alpontban feltüntetett szakmai előképzettségen túl, szakmai előképzettségnek kell tekinteni az ápolás és betegellátás alap és mesterképzési szakokon szerzett </w:t>
      </w:r>
      <w:r>
        <w:lastRenderedPageBreak/>
        <w:t>ápolói szakképzettséget.</w:t>
      </w:r>
    </w:p>
    <w:p w:rsidR="00F40128" w:rsidRDefault="00D57760">
      <w:pPr>
        <w:ind w:firstLine="204"/>
        <w:jc w:val="both"/>
      </w:pPr>
      <w:r>
        <w:t>7.2. A szakmai vizsgabizottságban való részvételre kijelölt szakmai szervezet: Magyar Egészségügyi Szakdolgozói Kamara</w:t>
      </w:r>
    </w:p>
    <w:p w:rsidR="00D57760" w:rsidRDefault="00D57760">
      <w:pPr>
        <w:jc w:val="both"/>
      </w:pPr>
    </w:p>
    <w:sectPr w:rsidR="00D5776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72" w:rsidRDefault="00240972">
      <w:r>
        <w:separator/>
      </w:r>
    </w:p>
  </w:endnote>
  <w:endnote w:type="continuationSeparator" w:id="0">
    <w:p w:rsidR="00240972" w:rsidRDefault="0024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72" w:rsidRDefault="00240972">
      <w:r>
        <w:separator/>
      </w:r>
    </w:p>
  </w:footnote>
  <w:footnote w:type="continuationSeparator" w:id="0">
    <w:p w:rsidR="00240972" w:rsidRDefault="00240972">
      <w:r>
        <w:continuationSeparator/>
      </w:r>
    </w:p>
  </w:footnote>
  <w:footnote w:id="1">
    <w:p w:rsidR="00F40128" w:rsidRDefault="00D57760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50.27.</w:t>
      </w:r>
    </w:p>
  </w:footnote>
  <w:footnote w:id="2">
    <w:p w:rsidR="00F40128" w:rsidRDefault="00D57760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64" w:rsidRDefault="00AF2464" w:rsidP="00AF2464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AF2464" w:rsidRDefault="00AF2464" w:rsidP="00AF2464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AF2464" w:rsidRDefault="00AF24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78"/>
    <w:rsid w:val="001B1178"/>
    <w:rsid w:val="00240972"/>
    <w:rsid w:val="00AF2464"/>
    <w:rsid w:val="00D57760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24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464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F24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4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24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464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F24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4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cp:lastPrinted>2018-11-26T11:33:00Z</cp:lastPrinted>
  <dcterms:created xsi:type="dcterms:W3CDTF">2018-11-22T09:44:00Z</dcterms:created>
  <dcterms:modified xsi:type="dcterms:W3CDTF">2018-11-26T11:34:00Z</dcterms:modified>
</cp:coreProperties>
</file>