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8" w:rsidRDefault="003543C8" w:rsidP="003543C8">
      <w:pPr>
        <w:widowControl w:val="0"/>
        <w:tabs>
          <w:tab w:val="center" w:pos="5102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  <w:t>A 18. sorszámú Epidemiológiai szakápoló megnevezésű szakképesítés–ráépülés szakmai és vizsgakövetelménye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  <w:t>A szakképesítés–ráépülés azonosító száma: 55 723 04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Szakképesítés–ráépülés megnevezése: Epidemiológiai szakápoló</w:t>
      </w:r>
    </w:p>
    <w:p w:rsidR="003543C8" w:rsidRDefault="003543C8" w:rsidP="003543C8">
      <w:pPr>
        <w:widowControl w:val="0"/>
        <w:tabs>
          <w:tab w:val="left" w:pos="945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Iskolai rendszerű szakképzésben a szakképzési évfolyamok száma: –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Iskolarendszeren kívüli szakképzésben az óraszám: 600–800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>
        <w:rPr>
          <w:sz w:val="20"/>
          <w:szCs w:val="20"/>
        </w:rPr>
        <w:tab/>
        <w:t>Iskolai előképzettség: érettségi végzettség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600"/>
        </w:tabs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>
        <w:rPr>
          <w:sz w:val="20"/>
          <w:szCs w:val="20"/>
        </w:rPr>
        <w:tab/>
        <w:t>Bemeneti kompetenciák: –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  <w:t>Szakmai előképzettség: 55 723 01 Ápoló szakképesítés, 55 723 02 Csecsemő és gyermekápoló (bővebben a 7. Egyebek fejezetben)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  <w:t>Előírt gyakorlat: 2 év ápolói, csecsemő és gyermekápoló munkakörben eltöltött gyakorlat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  <w:t>Egészségügyi alkalmassági követelmények: szükségesek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  <w:t>Pályaalkalmassági követelmények: nem szükségesek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  <w:t>Elméleti képzési idő aránya: 40%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  <w:t>Gyakorlati képzési idő aránya: 60%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  <w:t>Szintvizsga: –</w:t>
      </w: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  <w:t>Az iskolai rendszerű képzésben az összefüggő szakmai gyakorlat időtartama: –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A szakképesítés–ráépüléssel legjellemzőbben betölthető munkakör, munkakörök, foglalkozás, foglalkozások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366"/>
        <w:gridCol w:w="1366"/>
        <w:gridCol w:w="2881"/>
        <w:gridCol w:w="4126"/>
      </w:tblGrid>
      <w:tr w:rsidR="003543C8" w:rsidTr="001349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szakképesítés–ráépüléssel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Ápoló, szakápoló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Szakápoló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Epidemiológiai szakápoló</w:t>
            </w:r>
          </w:p>
        </w:tc>
      </w:tr>
    </w:tbl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>
        <w:rPr>
          <w:sz w:val="20"/>
          <w:szCs w:val="20"/>
        </w:rPr>
        <w:tab/>
        <w:t>A szakképesítés–ráépülés munkaterületének rövid leírása: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epidemiológiai szakápoló az ápolási folyamatok, beavatkozások előírásainak, a higiénés követelményeknek megfelelő szemléletét képviseli. Tevékenysége az egészségügyi ellátórendszer valamennyi szintjére kiterjed. Az egészségügyi ellátással összefüggő fertőzések, járványok megelőzésével, felismerésével, azonosításával, felszámolásával foglalkozik.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rendelkező képes: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alkalmazni a betegbiztonságot segítő programokat, irányelveket, protokollokat, standardokat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információt gyűjteni a felügyelő tevékenysége alá tartozó betegekről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ellenőrizni a beavatkozások higiénés körülményeit, a megfelelő eszközhasználatot, izolációs technikákat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ellenőrizni az alapápolási tevékenységek higiénés körülményeit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ellenőrizni a betegosztályok, kezelők, vizsgálók takarítottságát és higiénés állapotát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részt venni a </w:t>
      </w:r>
      <w:proofErr w:type="spellStart"/>
      <w:r>
        <w:rPr>
          <w:sz w:val="20"/>
          <w:szCs w:val="20"/>
        </w:rPr>
        <w:t>nosocomiális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surveillance</w:t>
      </w:r>
      <w:proofErr w:type="spellEnd"/>
      <w:r>
        <w:rPr>
          <w:sz w:val="20"/>
          <w:szCs w:val="20"/>
        </w:rPr>
        <w:t xml:space="preserve"> tevékenységben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szakszerűen mintát venni a mikrobiológiai vizsgálatokhoz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kapcsolatot tartani a népegészségügyi szakigazgatási szervekkel és mikrobiológiai laboratóriumokkal</w:t>
      </w:r>
    </w:p>
    <w:p w:rsidR="003543C8" w:rsidRDefault="003543C8" w:rsidP="003543C8">
      <w:pPr>
        <w:widowControl w:val="0"/>
        <w:spacing w:after="0" w:line="240" w:lineRule="auto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nyilvántartást vezetni és adatot szolgáltatni tevékenységéről</w:t>
      </w:r>
    </w:p>
    <w:p w:rsidR="003543C8" w:rsidRDefault="003543C8" w:rsidP="003543C8">
      <w:pPr>
        <w:widowControl w:val="0"/>
        <w:spacing w:after="0" w:line="240" w:lineRule="auto"/>
        <w:ind w:left="360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3.3. Kapcsolódó szakképesítések</w:t>
      </w: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423"/>
        <w:gridCol w:w="4249"/>
        <w:gridCol w:w="3972"/>
      </w:tblGrid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55 720 01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Egészségügyi gyakorlatvezető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</w:tbl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0"/>
        <w:gridCol w:w="1679"/>
        <w:gridCol w:w="7659"/>
      </w:tblGrid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 az állam által elismert szakképesítések szakmai követelménymoduljairól szóló kormányrendelet szerinti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11134–16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Epidemiológiai szakápolás</w:t>
            </w:r>
          </w:p>
        </w:tc>
      </w:tr>
    </w:tbl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A komplex szakmai vizsgára bocsátás feltételei: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alpontban előírt valamennyi modulzáró vizsga eredményes letétele, az előírt szakmai gyakorlatok igazolt teljesítése.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A modulzáró vizsga vizsgatevékenysége és az eredményesség feltétele: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017"/>
        <w:gridCol w:w="2838"/>
        <w:gridCol w:w="5653"/>
      </w:tblGrid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szakképesítés–ráépülés szakmai követelménymoduljainak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11134–16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Epidemiológiai szakápolás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</w:tbl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elégségesre (2) értékelhető.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>A komplex szakmai vizsga vizsgatevékenységei és vizsgafeladatai: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5.3.1.</w:t>
      </w:r>
      <w:r>
        <w:rPr>
          <w:sz w:val="20"/>
          <w:szCs w:val="20"/>
        </w:rPr>
        <w:tab/>
        <w:t>Gyakorlati vizsgatevékenység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Epidemiológiai szakápolási feladatok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A feladatleírásnak megfelelően az egészségügyi ellátással összefüggő fertőzések felismerése a kórlapok alapján, szükséges intézkedések meghatározása, beavatkozások megtekintése, higiénés szempontból történő értékelése. Esetismertetések elemzése, intézkedések meghatározása.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20 perc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40%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5.3.2.</w:t>
      </w:r>
      <w:r>
        <w:rPr>
          <w:sz w:val="20"/>
          <w:szCs w:val="20"/>
        </w:rPr>
        <w:tab/>
        <w:t>Központi írásbeli vizsgatevékenység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Mikrobiológiai, járványtani ismeretek, infekciókontroll, szakmai előírások az epidemiológia területén.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Központilag összeállított feladatsor, amely a 4. Szakmai követelmények fejezetben megadott követelménymodulokhoz tartozó témakörök mindegyikét tartalmazzák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90 perc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60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5.3.3.</w:t>
      </w:r>
      <w:r>
        <w:rPr>
          <w:sz w:val="20"/>
          <w:szCs w:val="20"/>
        </w:rPr>
        <w:tab/>
        <w:t>Szóbeli vizsgatevékenység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Mikrobiológiai, járványtani ismeretek, infekciókontroll, szakmai előírások az epidemiológia területén.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Központilag összeállított feladatsor, amely a 4. Szakmai követelmények fejezetben megadott követelménymodulokhoz tartozó témakörök mindegyikét tartalmazzák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30%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>
        <w:rPr>
          <w:sz w:val="20"/>
          <w:szCs w:val="20"/>
        </w:rPr>
        <w:tab/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szakképesítés–ráépüléssel kapcsolatos előírások az állami szakképzési és felnőttképzési szerv http://www.nive.hu/ című weblapján érhetők el a Szak– és Felnőttképzés Vizsgák menüpontban.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tabs>
          <w:tab w:val="left" w:pos="4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5.5.</w:t>
      </w:r>
      <w:r>
        <w:rPr>
          <w:sz w:val="20"/>
          <w:szCs w:val="20"/>
        </w:rPr>
        <w:tab/>
        <w:t>A szakmai vizsga értékelésének a szakmai vizsgaszabályzattól eltérő szempontjai: –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9570"/>
      </w:tblGrid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</w:t>
            </w:r>
          </w:p>
          <w:p w:rsidR="003543C8" w:rsidRDefault="003543C8" w:rsidP="001349B5">
            <w:pPr>
              <w:widowControl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eszközök minimumát meghatározó eszköz– és felszerelési jegyzék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Dokumentáció– és archiválás eszközei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Oktatástechnikai eszközök (tábla, projektor, számítógép)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Elméleti oktatáshoz és a demonstrációs gyakorlatokhoz oktatóhelyiség 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Számítógép 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</w:tc>
      </w:tr>
      <w:tr w:rsidR="003543C8" w:rsidTr="001349B5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3C8" w:rsidRDefault="003543C8" w:rsidP="001349B5">
            <w:pPr>
              <w:widowControl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Beteg nyilvántartási program (gyakorló program)</w:t>
            </w:r>
          </w:p>
        </w:tc>
      </w:tr>
    </w:tbl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7.1. Szakmai előképzettség: A 2.2. alpontban feltüntetett szakmai előképzettségen túl, szakmai előképzettségnek kell tekinteni az ápolás és betegellátás alap és mesterképzési szakokon szerzett ápolói, szülésznői szakképzettségeket.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7.2. A szakmai vizsgabizottságban való részvételre kijelölt szakmai szervezet:</w:t>
      </w:r>
    </w:p>
    <w:p w:rsidR="003543C8" w:rsidRDefault="003543C8" w:rsidP="003543C8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Magyar Egészségügyi Szakdolgozói Kamara</w:t>
      </w:r>
    </w:p>
    <w:p w:rsidR="00232B49" w:rsidRPr="003543C8" w:rsidRDefault="00232B49" w:rsidP="003543C8"/>
    <w:sectPr w:rsidR="00232B49" w:rsidRPr="00354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32" w:rsidRDefault="00865332" w:rsidP="00865332">
      <w:pPr>
        <w:spacing w:after="0" w:line="240" w:lineRule="auto"/>
      </w:pPr>
      <w:r>
        <w:separator/>
      </w:r>
    </w:p>
  </w:endnote>
  <w:endnote w:type="continuationSeparator" w:id="0">
    <w:p w:rsidR="00865332" w:rsidRDefault="00865332" w:rsidP="0086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32" w:rsidRDefault="00865332" w:rsidP="00865332">
      <w:pPr>
        <w:spacing w:after="0" w:line="240" w:lineRule="auto"/>
      </w:pPr>
      <w:r>
        <w:separator/>
      </w:r>
    </w:p>
  </w:footnote>
  <w:footnote w:type="continuationSeparator" w:id="0">
    <w:p w:rsidR="00865332" w:rsidRDefault="00865332" w:rsidP="0086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32" w:rsidRDefault="00865332" w:rsidP="00865332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865332" w:rsidRDefault="00865332" w:rsidP="00865332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48"/>
    <w:rsid w:val="00232B49"/>
    <w:rsid w:val="003543C8"/>
    <w:rsid w:val="00865332"/>
    <w:rsid w:val="008715DC"/>
    <w:rsid w:val="00901681"/>
    <w:rsid w:val="00C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648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332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332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648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5332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5332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Ligetfalviné Szücs Fruzsina</cp:lastModifiedBy>
  <cp:revision>2</cp:revision>
  <dcterms:created xsi:type="dcterms:W3CDTF">2016-10-10T13:41:00Z</dcterms:created>
  <dcterms:modified xsi:type="dcterms:W3CDTF">2016-10-10T13:41:00Z</dcterms:modified>
</cp:coreProperties>
</file>