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A 144. sorszámú Ezüstműves megnevezésű szakképesítés–ráépülés szakmai és vizsgakövetelménye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I. AZ ORSZÁGOS KÉPZÉSI JEGYZÉKBEN SZEREPLŐ ADATOK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1.1. A szakképesítés–ráépülés azonosító száma: 55 211 07 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1.2. Szakképesítés–ráépülés megnevezése:</w:t>
      </w: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 xml:space="preserve"> </w:t>
      </w:r>
      <w:bookmarkStart w:id="0" w:name="_GoBack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Ezüstműves</w:t>
      </w:r>
      <w:bookmarkEnd w:id="0"/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1.3. Iskolai rendszerű szakképzésben a szakképzési évfolyamok száma: 1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1.4. Iskolarendszeren kívüli szakképzésben az óraszám: 480–720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2. EGYÉB ADATOK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tabs>
          <w:tab w:val="left" w:pos="56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2.1.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A képzés megkezdésének feltételei: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2.1.1. Iskolai előképzettség: –</w:t>
      </w:r>
    </w:p>
    <w:p w:rsidR="007C37EB" w:rsidRPr="007C37EB" w:rsidRDefault="007C37EB" w:rsidP="007C37E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2.1.2. Bemeneti kompetenciák: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2.2. Szakmai előképzettség: 54 211 06 Ötvös, bővebben a 7. Egyebek fejezetben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2.3. Előírt gyakorlat: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2.4. Egészségügyi alkalmassági követelmények: szükségesek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2.5. Pályaalkalmassági követelmények: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2.6. Elméleti képzési idő aránya: 30%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2.7. Gyakorlati képzési idő aránya: 70%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2.8. Szintvizsga: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2.9. Az iskolai rendszerű képzésben az összefüggő szakmai gyakorlat időtartama: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3. PÁLYATÜKÖR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3.1. A szakképesítés–ráépüléssel legjellemzőbben betölthető munkakör, munkakörök, foglalkozás, foglalkozások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1085"/>
        <w:gridCol w:w="2410"/>
        <w:gridCol w:w="5129"/>
      </w:tblGrid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7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410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5129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87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1085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FEOR száma</w:t>
            </w:r>
          </w:p>
        </w:tc>
        <w:tc>
          <w:tcPr>
            <w:tcW w:w="2410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FEOR megnevezése</w:t>
            </w:r>
          </w:p>
        </w:tc>
        <w:tc>
          <w:tcPr>
            <w:tcW w:w="5129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szakképesítéssel betölthető </w:t>
            </w:r>
            <w:proofErr w:type="gramStart"/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munkakör(</w:t>
            </w:r>
            <w:proofErr w:type="spellStart"/>
            <w:proofErr w:type="gramEnd"/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ök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87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1085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7412</w:t>
            </w:r>
          </w:p>
        </w:tc>
        <w:tc>
          <w:tcPr>
            <w:tcW w:w="2410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Ékszerkészítő, ötvös, drágakőcsiszoló</w:t>
            </w:r>
          </w:p>
        </w:tc>
        <w:tc>
          <w:tcPr>
            <w:tcW w:w="5129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Ezüstműves</w:t>
            </w:r>
          </w:p>
        </w:tc>
      </w:tr>
    </w:tbl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3.2. A szakképesítés–ráépülés munkaterületének rövid leírása: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Az ezüstműves olyan fejlett formakultúrával, rajzi és plasztikai ismeretekkel, valamint fémtechnikai tudással rendelkező szakember, aki igényesen valósítja meg a nagyméretű ötvöstárgy készítés különböző területein adódó szakmai és szakesztétikai feladatokat.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szakképesítés–ráépüléssel rendelkező képes: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556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lastRenderedPageBreak/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értelmezni, vagy önállóan elkészíteni a nagyméretű ötvöstárgy terveit, majd a tervek alapján a kívánt szinten különböző anyagokból kivitelezni, illetve kiviteleztetni a különféle ötvöstárgyakat, illetve azok alkatrészeit, alkalmazva az elsajátított elméleti és gyakorlati ismereteket</w:t>
      </w:r>
    </w:p>
    <w:p w:rsidR="007C37EB" w:rsidRPr="007C37EB" w:rsidRDefault="007C37EB" w:rsidP="007C37E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556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a kor követelményeinek megfelelően használni a tradicionális, illetve modern technológiákat az ötvösség területein és figyelembe venni ezek elméleti, valamint szakmai elvárásait</w:t>
      </w:r>
    </w:p>
    <w:p w:rsidR="007C37EB" w:rsidRPr="007C37EB" w:rsidRDefault="007C37EB" w:rsidP="007C37E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556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tudása alapján alkalmazottként vagy vállalkozóként, önállóan ezüstműves gyakorlati munkát végezni, tanulmányait a különböző művészeti főiskolákon, egyetemeken folytatni</w:t>
      </w:r>
    </w:p>
    <w:p w:rsidR="007C37EB" w:rsidRPr="007C37EB" w:rsidRDefault="007C37EB" w:rsidP="007C37E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556"/>
        <w:jc w:val="both"/>
        <w:rPr>
          <w:rFonts w:ascii="Times New Roman" w:eastAsiaTheme="minorEastAsia" w:hAnsi="Times New Roman" w:cs="Times New Roman"/>
          <w:strike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fém és nemesfém alapanyagokból különféle tárgyakat készíteni és javítani, a jogszabályban előírt fémjelzési kötelezettségnek eleget tenni.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3.3. Kapcsolódó szakképesítések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70"/>
        <w:gridCol w:w="2899"/>
        <w:gridCol w:w="2594"/>
        <w:gridCol w:w="2648"/>
      </w:tblGrid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 3.3.1.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kapcsolódó szakképesítés, 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részszakképesítés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, szakképesítés–ráépülés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3.3.2.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 kapcsolódás módja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3.3.3.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54 211 06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Ötvös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szakképesítés 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3.3.4.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55 211 01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Aranyműves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szakképesítés–ráépülés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3.3.5.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55 211 08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Vésnök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szakképesítés–ráépülés</w:t>
            </w:r>
          </w:p>
        </w:tc>
      </w:tr>
    </w:tbl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4. SZAKMAI KÖVETELMÉNYEK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6752"/>
      </w:tblGrid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752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B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8170" w:type="dxa"/>
            <w:gridSpan w:val="2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 szakképesítés–ráépülés szakmai követelménymoduljainak az állam által elismert szakképesítések szakmai követelménymoduljairól szóló kormányrendelet szerinti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752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11904–16</w:t>
            </w:r>
          </w:p>
        </w:tc>
        <w:tc>
          <w:tcPr>
            <w:tcW w:w="6752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Ezüstművesség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11903–16</w:t>
            </w:r>
          </w:p>
        </w:tc>
        <w:tc>
          <w:tcPr>
            <w:tcW w:w="6752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Ezüstművesség alapjai</w:t>
            </w:r>
          </w:p>
        </w:tc>
      </w:tr>
    </w:tbl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5. VIZSGÁZTATÁSI KÖVETELMÉNYEK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5.1. A komplex szakmai vizsgára bocsátás feltételei: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Az iskolarendszeren kívüli szakképzésben az 5.2. alpontban előírt valamennyi modulzáró vizsga eredményes letétele.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elkészítése.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tervezési folyamatát bemutató dokumentáció készítése (A szakmai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bemutatását elektronikus formában “lezárt” formátumban kell benyújtani.)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Szakmai portfólió készítése a tanulmányok során készült munkákból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elkészítése.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tervezési folyamatát bemutató dokumentáció készítése (A szakmai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bemutatását elektronikus formában “lezárt” formátumban kell benyújtani.)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Szakmai portfólió készítése a tanulmányok során készült munkákból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5.2. A modulzáró vizsga vizsgatevékenysége és az eredményesség feltétele: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111"/>
        <w:gridCol w:w="2577"/>
      </w:tblGrid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4111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577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lastRenderedPageBreak/>
              <w:t>5.2.1.</w:t>
            </w:r>
          </w:p>
        </w:tc>
        <w:tc>
          <w:tcPr>
            <w:tcW w:w="8106" w:type="dxa"/>
            <w:gridSpan w:val="3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 szakképesítés–ráépülés szakmai követelménymoduljainak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4111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2577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 modulzáró vizsga vizsgatevékenysége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11904–16</w:t>
            </w:r>
          </w:p>
        </w:tc>
        <w:tc>
          <w:tcPr>
            <w:tcW w:w="4111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Ezüstművesség</w:t>
            </w:r>
          </w:p>
        </w:tc>
        <w:tc>
          <w:tcPr>
            <w:tcW w:w="2577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gyakorlati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418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11903–16</w:t>
            </w:r>
          </w:p>
        </w:tc>
        <w:tc>
          <w:tcPr>
            <w:tcW w:w="4111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Ezüstművesség alapjai</w:t>
            </w:r>
          </w:p>
        </w:tc>
        <w:tc>
          <w:tcPr>
            <w:tcW w:w="2577" w:type="dxa"/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szóbeli</w:t>
            </w:r>
          </w:p>
        </w:tc>
      </w:tr>
    </w:tbl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Egy szakmai követelménymodulhoz kapcsolódó modulzáró vizsga akkor eredményes, ha a modulhoz előírt feladat végrehajtása legalább 51 %–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osra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értékelhető.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5.3. A komplex szakmai vizsga vizsgatevékenységei és vizsgafeladatai: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5.3.1. Gyakorlati vizsgatevékenység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megnevezése: A) Meghatározott vizsgatárgy készítése a vizsgáztató intézmény felügyelete alatt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ismertetése: Egy ezüstműves (nagyméretű ötvöstárgy) tárgyalkatrész készítése és összeállítása meghatározott paraméterekkel, a tárgy helyszínen történő kivitelezése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időtartama: 300 perc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értékelési súlyaránya a gyakorlati vizsgatevékenységen belül: 70%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vizsgafeladat megnevezése: B) </w:t>
      </w:r>
      <w:proofErr w:type="gram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</w:t>
      </w:r>
      <w:proofErr w:type="gram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(vizsgaidőszakon kívül készített tárgy) bemutatása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vizsgafeladat ismertetése: A tervezői gondolkodásmód és az alkalmazott technológiák bemutatása a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és az ahhoz készült dokumentáció segítségével. A szakmai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bemutatását elektronikus formában “lezárt” formátumban kell benyújtani.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időtartama: 15 perc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értékelési súlyaránya a gyakorlati vizsgatevékenységen belül: 30%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gyakorlati vizsgatevékenység időtartama: 315 perc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gyakorlati vizsgatevékenység értékelési súlyaránya (A) és B) feladatrészek együttesen): 70%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5.3.2. Központi írásbeli vizsgatevékenység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vizsgafeladat megnevezése: – 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ismertetése: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időtartama: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értékelési súlyaránya: –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5.3.3. Szóbeli vizsgatevékenység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megnevezése: A) Technológia és szaktörténet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ismertetése: Válaszadás a vizsgakövetelmények alapján összeállított, központi tételsorból húzott kérdésekre.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időtartama: 30 perc (felkészülési idő: 15 perc,</w:t>
      </w: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válaszadási idő: 15 perc)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értékelési súlyaránya a szóbeli vizsgatevékenységen belül: 70%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lastRenderedPageBreak/>
        <w:t>A vizsgafeladat megnevezése: B) Szakmai portfólió bemutatása a tanulmányok során készült munkákból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ismertetése: A szakmai gyakorlati munkásság bemutatása portfólióval. A szakmai portfoliót elektronikus formában “lezárt” formátumban kell benyújtani.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időtartama: 15 perc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vizsgafeladat értékelési súlyaránya a szóbeli vizsgatevékenységen belül: 30%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A szóbeli vizsgatevékenység értékelési súlyaránya (A) és B) feladatrészek együttesen): 30%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Gyakorlati vizsgatevékenység: A vizsgatárgy feladatot a vizsgaszervező intézmény adja ki a vizsgabizottság elnökének jóváhagyásával. A vizsgázónak a feladatot rajz, vagy mintadarab alapján, forma és mérethűen kell elkészítenie. A vizsgadarab elkészítésére rendelkezésre álló idő: maximum 300 perc.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(vizsgaidőszakon kívül készített) olyan, a vizsgázó által szabadon választott nagyméretű ötvöstárgy, amely alkalmas arra, hogy a vizsgázó beszámolhasson a tanulmányai során megszerzett ismeretek és képességek valamelyik komplex halmazából.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vizsgaremeket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a második félévben, a tanműhelyben kell elkészíteni, a gyakorlati oktató személyes felügyelete mellett.  A tanuló a tervezési és a munkafolyamatot dokumentálja, és a szóbeli prezentációjára felkészül. Az elkészült </w:t>
      </w:r>
      <w:proofErr w:type="spellStart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vizsgaremeket</w:t>
      </w:r>
      <w:proofErr w:type="spellEnd"/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 és annak dokumentációját legkésőbb a vizsga első napja előtti 7. naptári napon a képző intézménynél le kell adni.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 xml:space="preserve">A szakképesítés–ráépüléssel kapcsolatos előírások a http://nive.hu weblapon érhetők el a Vizsgák menüpont alatt. 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5.5. A szakmai vizsga értékelésének a szakmai vizsgaszabályzattól eltérő szempontjai: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Bármelyik vizsgafeladat sikertelen teljesítése esetén a vizsga nem folytatható!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 xml:space="preserve">6. ESZKÖZ– </w:t>
      </w:r>
      <w:proofErr w:type="gramStart"/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ÉS</w:t>
      </w:r>
      <w:proofErr w:type="gramEnd"/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 xml:space="preserve"> FELSZERELÉSI JEGYZÉK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8042"/>
      </w:tblGrid>
      <w:tr w:rsidR="007C37EB" w:rsidRPr="007C37EB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hu-HU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A csoportlétszámnak megfelelő számú 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brett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(ötvös munkaasztal), félköríves kivágással, bőrköténnyel, reszelőszöggel (fejenként 1 db), megfelelő helyi világítással és huzamos ülő munkavégzésre alkalmas, állítható magasságú székkel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Három főre 1 db, két utas (külön szabályozható gáz, sűrített levegő) nagyméretű ötvös olvasztó forrasztópisztoly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Kézi szerszámok (személyenként 1 db):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laposfogó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kúpos fogó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spiccfogó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csípőfogó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párhuzamfogó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csipesz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karctű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lemezolló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lastRenderedPageBreak/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lombfűrészkeret (ezüstműves fűrészkeret 150 mm)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kefe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 xml:space="preserve">különböző profilú vaskalapácsok 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             (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cizellőr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, felhúzó, simító, egyengető, domborító)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lapos reszelő 150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féldomború reszelő 150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háromszögreszelő 150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lapos reszelő 150 mm/nagyoló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féldomború reszelő 150 mm/nagyoló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lapos tűreszelő 160180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féldomború tűreszelő 160–180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háromszög tűreszelő 160–180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kerek tűreszelő 160–180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barett tűreszelő 160–180 mm/simító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hajlított reszelő készlet,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</w:t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 xml:space="preserve"> különböző hántolók (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sauber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)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acélvonalzó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tolómérő 150 mm/ 0,05 mm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tűkörző</w:t>
            </w:r>
          </w:p>
          <w:p w:rsidR="007C37EB" w:rsidRPr="007C37EB" w:rsidRDefault="007C37EB" w:rsidP="007C37EB">
            <w:pPr>
              <w:widowControl w:val="0"/>
              <w:tabs>
                <w:tab w:val="left" w:pos="720"/>
              </w:tabs>
              <w:autoSpaceDE w:val="0"/>
              <w:autoSpaceDN w:val="0"/>
              <w:spacing w:before="40" w:after="2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sym w:font="Webdings" w:char="F063"/>
            </w: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ab/>
              <w:t>egyengető lap (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stekli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lastRenderedPageBreak/>
              <w:t>6.5.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Nagyméretű húzóvasak kör, négyzet stb.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Üllők, kézi üllők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Lakatos kalapácsok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Kraccoló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(csiszoló gép)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Derékszögek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Körolló (sávvágó)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Menetmetsző/ menetfúró készlet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Zsanérreszelők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Kovácssatuk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Csapszegvágó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Kímélő–kalapács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Fémipari fűrészkeret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Ráspolyok (fareszelők)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Fakalapács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6.19.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Kompresszor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A csoportlétszámnak megfelelő számú ostoros marógép </w:t>
            </w:r>
          </w:p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(3 tanulónként 1 db)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Karos lemezolló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Kénsavas pác folyóvizes blokkal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Fémszekrény a vegyszerek biztonságos tárolására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Oszlopos fúrógép, 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fúrógép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satuval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Köszörű gép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Fémipari körfűrész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Forgatható forrasztóállvány 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Szurokgolyó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6.29.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Húzópad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Forma vasak: különböző profilú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lastRenderedPageBreak/>
              <w:t>6.31.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Lemezhenger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Huzalhenger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Gömbbeütő készlet (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ankni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punznik</w:t>
            </w:r>
            <w:proofErr w:type="spellEnd"/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Sajtoló szerszám, – golyósprés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Alap kézi vésők (3–4 db)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Poncolók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Számítógép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Digitális táramérleg 0,1g pontosságú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6.39.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Mikrométer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6.40.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Kokillák, rúd és lemez kokilla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6.41.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Lupék</w:t>
            </w:r>
          </w:p>
        </w:tc>
      </w:tr>
      <w:tr w:rsidR="007C37EB" w:rsidRPr="007C37EB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6.42.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EB" w:rsidRPr="007C37EB" w:rsidRDefault="007C37EB" w:rsidP="007C37EB">
            <w:pPr>
              <w:widowControl w:val="0"/>
              <w:autoSpaceDE w:val="0"/>
              <w:autoSpaceDN w:val="0"/>
              <w:spacing w:before="40" w:after="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</w:pPr>
            <w:r w:rsidRPr="007C37EB">
              <w:rPr>
                <w:rFonts w:ascii="Times New Roman" w:eastAsiaTheme="minorEastAsia" w:hAnsi="Times New Roman" w:cs="Times New Roman"/>
                <w:sz w:val="20"/>
                <w:szCs w:val="20"/>
                <w:lang w:eastAsia="hu-HU"/>
              </w:rPr>
              <w:t>Próbasav készlet</w:t>
            </w:r>
          </w:p>
        </w:tc>
      </w:tr>
    </w:tbl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b/>
          <w:bCs/>
          <w:sz w:val="20"/>
          <w:szCs w:val="20"/>
          <w:lang w:eastAsia="hu-HU"/>
        </w:rPr>
        <w:t>7. EGYEBEK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7.1. A vizsgabizottsági tagot delegáló szakmai szervezet megnevezése, elérhetősége: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Művészeti Szakközépiskolák Szövetsége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Nemesfémművesek Országos Ipartestülete</w:t>
      </w:r>
    </w:p>
    <w:p w:rsidR="007C37EB" w:rsidRPr="007C37EB" w:rsidRDefault="007C37EB" w:rsidP="007C37EB">
      <w:pPr>
        <w:widowControl w:val="0"/>
        <w:autoSpaceDE w:val="0"/>
        <w:autoSpaceDN w:val="0"/>
        <w:spacing w:after="10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7.2. A 2.2 Szakmai előképzettségként meghatározott 54 211 06 Ötvös szakképesítésen túl elfogadható szakmai előképzettségek: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84 105 Ötvös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52 1812 10 Ötvös, fémműves</w:t>
      </w:r>
    </w:p>
    <w:p w:rsidR="007C37EB" w:rsidRPr="007C37EB" w:rsidRDefault="007C37EB" w:rsidP="007C37E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>–</w:t>
      </w:r>
      <w:r w:rsidRPr="007C37EB">
        <w:rPr>
          <w:rFonts w:ascii="Times New Roman" w:eastAsiaTheme="minorEastAsia" w:hAnsi="Times New Roman" w:cs="Times New Roman"/>
          <w:sz w:val="20"/>
          <w:szCs w:val="20"/>
          <w:lang w:eastAsia="hu-HU"/>
        </w:rPr>
        <w:tab/>
        <w:t>54 211 13 Ötvös, fémműves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EB" w:rsidRDefault="007C37EB" w:rsidP="007C37EB">
      <w:pPr>
        <w:spacing w:after="0" w:line="240" w:lineRule="auto"/>
      </w:pPr>
      <w:r>
        <w:separator/>
      </w:r>
    </w:p>
  </w:endnote>
  <w:endnote w:type="continuationSeparator" w:id="0">
    <w:p w:rsidR="007C37EB" w:rsidRDefault="007C37EB" w:rsidP="007C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EB" w:rsidRDefault="007C37EB" w:rsidP="007C37EB">
      <w:pPr>
        <w:spacing w:after="0" w:line="240" w:lineRule="auto"/>
      </w:pPr>
      <w:r>
        <w:separator/>
      </w:r>
    </w:p>
  </w:footnote>
  <w:footnote w:type="continuationSeparator" w:id="0">
    <w:p w:rsidR="007C37EB" w:rsidRDefault="007C37EB" w:rsidP="007C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EB" w:rsidRPr="007C37EB" w:rsidRDefault="007C37EB" w:rsidP="007C37EB">
    <w:pPr>
      <w:autoSpaceDE w:val="0"/>
      <w:autoSpaceDN w:val="0"/>
      <w:spacing w:before="120" w:after="60"/>
      <w:jc w:val="center"/>
      <w:rPr>
        <w:rFonts w:ascii="Times New Roman" w:eastAsiaTheme="minorEastAsia" w:hAnsi="Times New Roman" w:cs="Times New Roman"/>
        <w:color w:val="7F7F7F"/>
        <w:sz w:val="20"/>
        <w:szCs w:val="20"/>
        <w:lang w:eastAsia="hu-HU"/>
      </w:rPr>
    </w:pPr>
    <w:r w:rsidRPr="007C37EB">
      <w:rPr>
        <w:rFonts w:ascii="Times New Roman" w:eastAsiaTheme="minorEastAsia" w:hAnsi="Times New Roman" w:cs="Times New Roman"/>
        <w:color w:val="7F7F7F"/>
        <w:sz w:val="20"/>
        <w:szCs w:val="20"/>
        <w:lang w:eastAsia="hu-HU"/>
      </w:rPr>
      <w:t>27/2016. (IX. 16.) EMMI rendelet az emberi erőforrások minisztere ágazatába tartozó szakképesítések szakmai és vizsgakövetelményeiről</w:t>
    </w:r>
  </w:p>
  <w:p w:rsidR="007C37EB" w:rsidRDefault="007C37EB" w:rsidP="007C37EB">
    <w:pPr>
      <w:autoSpaceDE w:val="0"/>
      <w:autoSpaceDN w:val="0"/>
      <w:jc w:val="center"/>
    </w:pPr>
    <w:r w:rsidRPr="007C37EB">
      <w:rPr>
        <w:rFonts w:ascii="Times New Roman" w:eastAsiaTheme="minorEastAsia" w:hAnsi="Times New Roman" w:cs="Times New Roman"/>
        <w:color w:val="7F7F7F"/>
        <w:sz w:val="20"/>
        <w:szCs w:val="20"/>
        <w:lang w:eastAsia="hu-HU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B"/>
    <w:rsid w:val="00232B49"/>
    <w:rsid w:val="007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7EB"/>
  </w:style>
  <w:style w:type="paragraph" w:styleId="llb">
    <w:name w:val="footer"/>
    <w:basedOn w:val="Norml"/>
    <w:link w:val="llbChar"/>
    <w:uiPriority w:val="99"/>
    <w:unhideWhenUsed/>
    <w:rsid w:val="007C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7EB"/>
  </w:style>
  <w:style w:type="paragraph" w:styleId="llb">
    <w:name w:val="footer"/>
    <w:basedOn w:val="Norml"/>
    <w:link w:val="llbChar"/>
    <w:uiPriority w:val="99"/>
    <w:unhideWhenUsed/>
    <w:rsid w:val="007C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2016-10-10T11:44:00Z</dcterms:created>
  <dcterms:modified xsi:type="dcterms:W3CDTF">2016-10-10T11:45:00Z</dcterms:modified>
</cp:coreProperties>
</file>