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Az 55. sorszámú Erősáramú elektrotechnikus megnevezésű szakképesítés szakmai és vizsgakövetelménye</w:t>
      </w:r>
    </w:p>
    <w:p w:rsidR="00B4462A" w:rsidRPr="00E66156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54 522 01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Erősáramú elektrotechnikus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B4462A" w:rsidRDefault="00B4462A" w:rsidP="00B446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2"/>
        <w:gridCol w:w="1440"/>
        <w:gridCol w:w="2880"/>
        <w:gridCol w:w="4350"/>
      </w:tblGrid>
      <w:tr w:rsidR="00B4462A" w:rsidTr="006A47AC">
        <w:trPr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B4462A" w:rsidTr="006A47AC">
        <w:trPr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4462A" w:rsidTr="006A47AC">
        <w:trPr>
          <w:cantSplit/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40" w:type="dxa"/>
            <w:vMerge w:val="restart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2880" w:type="dxa"/>
            <w:vMerge w:val="restart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 (energetikai technikus)</w:t>
            </w: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Energiaelosztási technikus</w:t>
            </w:r>
          </w:p>
        </w:tc>
      </w:tr>
      <w:tr w:rsidR="00B4462A" w:rsidTr="006A47AC">
        <w:trPr>
          <w:cantSplit/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40" w:type="dxa"/>
            <w:vMerge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elektronikai technikus</w:t>
            </w:r>
          </w:p>
        </w:tc>
      </w:tr>
      <w:tr w:rsidR="00B4462A" w:rsidTr="006A47AC">
        <w:trPr>
          <w:cantSplit/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4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Erősáramú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B4462A" w:rsidTr="006A47AC">
        <w:trPr>
          <w:cantSplit/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4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Villamosenergia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ipari szak technikus</w:t>
            </w:r>
          </w:p>
        </w:tc>
      </w:tr>
      <w:tr w:rsidR="00B4462A" w:rsidTr="006A47AC">
        <w:trPr>
          <w:cantSplit/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4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Villamosenergia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B4462A" w:rsidTr="006A47AC">
        <w:trPr>
          <w:cantSplit/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4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Villamossági technikus (nagyfeszültség)</w:t>
            </w:r>
          </w:p>
        </w:tc>
      </w:tr>
      <w:tr w:rsidR="00B4462A" w:rsidTr="006A47AC">
        <w:trPr>
          <w:cantSplit/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40" w:type="dxa"/>
            <w:vMerge w:val="restart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2880" w:type="dxa"/>
            <w:vMerge w:val="restart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 (elektronikai technikus</w:t>
            </w: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gép és készülékgyártó technikus</w:t>
            </w:r>
          </w:p>
        </w:tc>
      </w:tr>
      <w:tr w:rsidR="00B4462A" w:rsidTr="006A47AC">
        <w:trPr>
          <w:cantSplit/>
          <w:trHeight w:val="284"/>
        </w:trPr>
        <w:tc>
          <w:tcPr>
            <w:tcW w:w="159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4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gép és - berendezési technikus</w:t>
            </w:r>
          </w:p>
        </w:tc>
      </w:tr>
    </w:tbl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erősáramú elektrotechnikus a vállalat, intézmény, szervezet műszaki vezetőjének közvetlen munkatársa. Alapvető feladata a szervezet energetikai hálózatának üzemeltetése, a villamosenergia-gazdálkodás nyomon követése. Felelősségi körébe tartozik a meddőgazdálkodás, egyszerűbb kisfeszültségű hálózatok vezetékeinek méretezése. Feladata az alkalmazott irányítástechnikai, illetve hajtástechnikai installáció kezelése, összeállítása, üzemeltetése. Munkaterülete az erősáramú installáció, </w:t>
      </w:r>
      <w:proofErr w:type="spellStart"/>
      <w:r>
        <w:rPr>
          <w:rFonts w:ascii="Times New Roman" w:hAnsi="Times New Roman" w:cs="Times New Roman"/>
          <w:sz w:val="20"/>
          <w:szCs w:val="20"/>
        </w:rPr>
        <w:t>villamosenergia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rendszer, </w:t>
      </w:r>
      <w:proofErr w:type="spellStart"/>
      <w:r>
        <w:rPr>
          <w:rFonts w:ascii="Times New Roman" w:hAnsi="Times New Roman" w:cs="Times New Roman"/>
          <w:sz w:val="20"/>
          <w:szCs w:val="20"/>
        </w:rPr>
        <w:t>alállomások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védelmek teljes körű ismerete, szükség esetén az átalakítása. Ismeri az üzemirányítási rendszer felépítését és feladatait. Ismeri az alkalmazott villamos gépek jellemzőit, szükség esetén beavatkozik, hibafeltárást, hibakeresést végez. Ismeri a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hálózatok csillagpont kezelési megoldásait. Ismeri a hálózatok, </w:t>
      </w:r>
      <w:proofErr w:type="spellStart"/>
      <w:r>
        <w:rPr>
          <w:rFonts w:ascii="Times New Roman" w:hAnsi="Times New Roman" w:cs="Times New Roman"/>
          <w:sz w:val="20"/>
          <w:szCs w:val="20"/>
        </w:rPr>
        <w:t>alállomások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védőföldelési megoldásait, szabványi előírásait. Ismeri a hálózatok feszültségminőségi jellemzőit. Ismeri a tarifákat és a B tarifához tartozó vezérlési megoldásokat. Ismeri a hálózatra csatlakozó háztartási méretű kiserőművek felépítését és előírásait. Teljesítményelektronikai áramköröket üzemeltet. Programozható logikai vezérlőket alkalmaz. 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villamosenergia-gazdálkodással összefüggő méréseket elvégzi, az ehhez szükséges mérőműszereket kiválasztja, beköti, a mérési eredményeket rögzíti, a szükséges dokumentumokat elkészíti. Ismeri az alapvető villanyszerelői feladatokat, azokat elvégzi. 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Tisztában van a felhasználói programokkal, illetve azok alkalmazásával. Ismeri és alkalmazza a méréstechnikai elveket és eszközöket. Ismeri és alkalmazza a villamos biztonságtechnikai előírásokat. Alapvető gépészeti ismeretei révén együttműködik e szakterület munkatársaival. Munkájához szükséges műszaki rajzokat számítógéppel elkészíti, azokat alkalmazza. A munkavégzéshez szükséges dokumentumokat előkészíti, alkalmazza és az elvégzett munkát dokumentálja. 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fém és műanyag munkadarabokat megmunkálni (vágás, fúrás, forgácsolás, fűrészelés, hajlítás, 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reszelés</w:t>
      </w:r>
      <w:proofErr w:type="gramEnd"/>
      <w:r>
        <w:rPr>
          <w:rFonts w:ascii="Times New Roman" w:hAnsi="Times New Roman" w:cs="Times New Roman"/>
          <w:sz w:val="20"/>
          <w:szCs w:val="20"/>
        </w:rPr>
        <w:t>, csiszolás)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villamos és mechanikai kötéseket készíteni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egyszerű villamos kapcsolási rajzot készíteni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villamos kapcsolásokat értelmezni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villamos mérőműszereket kiválasztani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villamos mérőműszereket bekötni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villamos méréseket végezni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mérési jegyzőkönyvet és rajzdokumentációt készíteni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feszültség alá helyezni a berendezést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villamos berendezések feszültségmentesítését végezni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intelligens épületek erősáramú szerelését végezni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kommunális és lakóépületek villanyszerelését végezni, áramköreit ellenőrizni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kialakítani a kommunális és lakóépületek elosztóit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felszerelni/összeszerelni a vezérlések készülékeit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felszerelni/összeszerelni a szabályozások készülékeit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motorvezérléseket (motorvédő, indító, forgásirány váltó, fordulatszám-változtató kapcsolásokat)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megvalósítani</w:t>
      </w:r>
      <w:proofErr w:type="gramEnd"/>
      <w:r>
        <w:rPr>
          <w:rFonts w:ascii="Times New Roman" w:hAnsi="Times New Roman" w:cs="Times New Roman"/>
          <w:sz w:val="20"/>
          <w:szCs w:val="20"/>
        </w:rPr>
        <w:t>, telepíteni, beüzemelni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energiagazdálkodással összefüggő méréseket végezni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mérőváltók ellenőrzésével kapcsolatos méréseket végezni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villamos hálózatok, </w:t>
      </w:r>
      <w:proofErr w:type="spellStart"/>
      <w:r>
        <w:rPr>
          <w:rFonts w:ascii="Times New Roman" w:hAnsi="Times New Roman" w:cs="Times New Roman"/>
          <w:sz w:val="20"/>
          <w:szCs w:val="20"/>
        </w:rPr>
        <w:t>alállomások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állapotát ellenőrizni és felmérni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villamos hálózatok és berendezések ellenőrzésével, felülvizsgálatával kapcsolatos méréseket végezni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villamos hálózatok, </w:t>
      </w:r>
      <w:proofErr w:type="spellStart"/>
      <w:r>
        <w:rPr>
          <w:rFonts w:ascii="Times New Roman" w:hAnsi="Times New Roman" w:cs="Times New Roman"/>
          <w:sz w:val="20"/>
          <w:szCs w:val="20"/>
        </w:rPr>
        <w:t>alállomások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védelmi és automatika berendezésit üzemeltetni, ellenőrizni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villamos gépeket szállítani, telepíteni, üzembe helyezni és üzemeltetni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kisgépeket, kéziszerszámokat használni a technológiai alapműveletekhez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számítógépes, mikroprocesszoros, mikrokontrolleres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PLC-vel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irányított ipari folyamatokat szerelni,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üzemeltetni</w:t>
      </w:r>
      <w:proofErr w:type="gramEnd"/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rajzkészítő programot használni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betartani és betartatni a munka-, baleset-, tűz és környezetvédelmi, valamint a szakmára, szerelési – 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javítási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technológiára vonatkozó előírásokat 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4025"/>
        <w:gridCol w:w="3402"/>
      </w:tblGrid>
      <w:tr w:rsidR="00B4462A" w:rsidTr="006A47AC">
        <w:trPr>
          <w:trHeight w:val="333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B4462A" w:rsidTr="006A47AC"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182" w:type="dxa"/>
            <w:gridSpan w:val="3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4462A" w:rsidTr="006A47AC"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4462A" w:rsidTr="006A47AC">
        <w:trPr>
          <w:trHeight w:val="317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51 523 01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PLC programozó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 szakképesítés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35 522 01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vizuáltechnikai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műszerész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35 523 01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berendezés karbantartó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34 522 01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műszerész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34 522 02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gép- és készülékszerelő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3.3.8.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34 522 03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műszerész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54 523 02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technikus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54 523 03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Közlekedésautomatikai műszerész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34 523 01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334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55 523 04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Orvosi elektronikai technikus 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34 522 04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4462A" w:rsidTr="006A47AC">
        <w:trPr>
          <w:trHeight w:val="466"/>
        </w:trPr>
        <w:tc>
          <w:tcPr>
            <w:tcW w:w="108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175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54 523 01 </w:t>
            </w:r>
          </w:p>
        </w:tc>
        <w:tc>
          <w:tcPr>
            <w:tcW w:w="4025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technikus</w:t>
            </w:r>
          </w:p>
        </w:tc>
        <w:tc>
          <w:tcPr>
            <w:tcW w:w="340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2"/>
        <w:gridCol w:w="1933"/>
        <w:gridCol w:w="7427"/>
      </w:tblGrid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4462A" w:rsidTr="006A47AC">
        <w:trPr>
          <w:trHeight w:val="61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azonosító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10005-16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 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10003-16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Irányítástechnikai alapok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10018-16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szerelések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10017-16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mérések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10016-16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berendezések üzeme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B4462A" w:rsidTr="006A47AC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B4462A" w:rsidRDefault="00B4462A" w:rsidP="00B44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tantárgyak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a szakképzési kerettantervben meghatározottak szerint – egyenértékűek az adott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követelménymodulhoz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tartozó modulzáró vizsga teljesítésével.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4"/>
        <w:gridCol w:w="1449"/>
        <w:gridCol w:w="4039"/>
        <w:gridCol w:w="4040"/>
      </w:tblGrid>
      <w:tr w:rsidR="00B4462A" w:rsidTr="006A47AC">
        <w:trPr>
          <w:trHeight w:val="463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39" w:type="dxa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40" w:type="dxa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4462A" w:rsidTr="006A47AC">
        <w:trPr>
          <w:trHeight w:val="471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528" w:type="dxa"/>
            <w:gridSpan w:val="3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B4462A" w:rsidTr="006A47AC">
        <w:trPr>
          <w:trHeight w:val="734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49" w:type="dxa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039" w:type="dxa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040" w:type="dxa"/>
            <w:vAlign w:val="center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4462A" w:rsidTr="006A47AC">
        <w:trPr>
          <w:trHeight w:val="471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4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10007-16</w:t>
            </w:r>
          </w:p>
        </w:tc>
        <w:tc>
          <w:tcPr>
            <w:tcW w:w="403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40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4462A" w:rsidTr="006A47AC">
        <w:trPr>
          <w:trHeight w:val="463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44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10005-16</w:t>
            </w:r>
          </w:p>
        </w:tc>
        <w:tc>
          <w:tcPr>
            <w:tcW w:w="403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 </w:t>
            </w:r>
          </w:p>
        </w:tc>
        <w:tc>
          <w:tcPr>
            <w:tcW w:w="40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4462A" w:rsidTr="006A47AC">
        <w:trPr>
          <w:trHeight w:val="471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44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10003-16</w:t>
            </w:r>
          </w:p>
        </w:tc>
        <w:tc>
          <w:tcPr>
            <w:tcW w:w="403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Irányítástechnikai alapok</w:t>
            </w:r>
          </w:p>
        </w:tc>
        <w:tc>
          <w:tcPr>
            <w:tcW w:w="40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4462A" w:rsidTr="006A47AC">
        <w:trPr>
          <w:trHeight w:val="463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44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10018-16</w:t>
            </w:r>
          </w:p>
        </w:tc>
        <w:tc>
          <w:tcPr>
            <w:tcW w:w="403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szerelések</w:t>
            </w:r>
          </w:p>
        </w:tc>
        <w:tc>
          <w:tcPr>
            <w:tcW w:w="40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4462A" w:rsidTr="006A47AC">
        <w:trPr>
          <w:trHeight w:val="463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44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10017-16</w:t>
            </w:r>
          </w:p>
        </w:tc>
        <w:tc>
          <w:tcPr>
            <w:tcW w:w="403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mérések</w:t>
            </w:r>
          </w:p>
        </w:tc>
        <w:tc>
          <w:tcPr>
            <w:tcW w:w="40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4462A" w:rsidTr="006A47AC">
        <w:trPr>
          <w:trHeight w:val="463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44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10016-16</w:t>
            </w:r>
          </w:p>
        </w:tc>
        <w:tc>
          <w:tcPr>
            <w:tcW w:w="403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berendezések üzeme</w:t>
            </w:r>
          </w:p>
        </w:tc>
        <w:tc>
          <w:tcPr>
            <w:tcW w:w="40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4462A" w:rsidTr="006A47AC">
        <w:trPr>
          <w:trHeight w:val="463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44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03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40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4462A" w:rsidTr="006A47AC">
        <w:trPr>
          <w:trHeight w:val="463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44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03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40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4462A" w:rsidTr="006A47AC">
        <w:trPr>
          <w:trHeight w:val="463"/>
        </w:trPr>
        <w:tc>
          <w:tcPr>
            <w:tcW w:w="734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44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4039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4040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Erősáramú installáció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Adott erősáramú fogyasztói berendezés bekötése a táplálást biztosító elosztó/vezérlőszekrény elkészítésével. Alapvető mechanikai műveletek elvégzése. Hálózatra csatlakozás. A berendezés üzemi próbáinak elvégzése. A fogyasztó alapvető villamos paramétereinek meghatározása méréssel, a mérési eredmények dokumentálása, értékelés.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ismeretek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Számolási/szerkesztési/szakrajzi feladatok megoldása elektrotechnika/elektronika,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villamos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gépek, villamos művek tananyagból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Erősáramú elektrotechnikus szakmai ismeretek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követelmények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fejezetben szereplő szakmai követelménymodulok témaköreit tartalmazza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vizsgatételeire</w:t>
      </w:r>
      <w:proofErr w:type="gramEnd"/>
      <w:r>
        <w:rPr>
          <w:rFonts w:ascii="Times New Roman" w:hAnsi="Times New Roman" w:cs="Times New Roman"/>
          <w:sz w:val="20"/>
          <w:szCs w:val="20"/>
        </w:rPr>
        <w:t>, értékelési útmutatóira és egyéb dokumentumaira, a vizsgán használható segédeszközökre vonatkozó részletes szabályok: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című weblapon érhetők el a Vizsgák menüpontban.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3"/>
        <w:gridCol w:w="5682"/>
      </w:tblGrid>
      <w:tr w:rsidR="00B4462A" w:rsidTr="006A47AC">
        <w:trPr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B4462A" w:rsidTr="006A47AC">
        <w:trPr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Szimulációs szoftverek, tervező szoftverek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kéziszerszámok, eszközök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kéziszerszámok, eszközök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kisgépek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Telepített gépek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mérőműszerek és diagnosztikai eszközök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berendezés, vezérlőszekrény alapvető villamos berendezései</w:t>
            </w:r>
          </w:p>
        </w:tc>
      </w:tr>
      <w:tr w:rsidR="00B4462A" w:rsidTr="006A47AC">
        <w:trPr>
          <w:trHeight w:val="340"/>
          <w:jc w:val="center"/>
        </w:trPr>
        <w:tc>
          <w:tcPr>
            <w:tcW w:w="1043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5682" w:type="dxa"/>
          </w:tcPr>
          <w:p w:rsidR="00B4462A" w:rsidRDefault="00B4462A" w:rsidP="006A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vezérlőszekrény, szerelőpanel, hűtés eszközei</w:t>
            </w:r>
          </w:p>
        </w:tc>
      </w:tr>
    </w:tbl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62A" w:rsidRDefault="00B4462A" w:rsidP="00B4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B4462A" w:rsidRDefault="00B4462A" w:rsidP="00B4462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4462A" w:rsidRDefault="00B4462A" w:rsidP="00B4462A"/>
    <w:p w:rsidR="000C6F6D" w:rsidRDefault="000C6F6D"/>
    <w:sectPr w:rsidR="000C6F6D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0E" w:rsidRDefault="0070770E" w:rsidP="0070770E">
      <w:pPr>
        <w:spacing w:after="0" w:line="240" w:lineRule="auto"/>
      </w:pPr>
      <w:r>
        <w:separator/>
      </w:r>
    </w:p>
  </w:endnote>
  <w:endnote w:type="continuationSeparator" w:id="0">
    <w:p w:rsidR="0070770E" w:rsidRDefault="0070770E" w:rsidP="0070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0E" w:rsidRDefault="007077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0E" w:rsidRDefault="007077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0E" w:rsidRDefault="007077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0E" w:rsidRDefault="0070770E" w:rsidP="0070770E">
      <w:pPr>
        <w:spacing w:after="0" w:line="240" w:lineRule="auto"/>
      </w:pPr>
      <w:r>
        <w:separator/>
      </w:r>
    </w:p>
  </w:footnote>
  <w:footnote w:type="continuationSeparator" w:id="0">
    <w:p w:rsidR="0070770E" w:rsidRDefault="0070770E" w:rsidP="0070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0E" w:rsidRDefault="007077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0E" w:rsidRDefault="0070770E" w:rsidP="0070770E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tab/>
    </w:r>
    <w:hyperlink r:id="rId1" w:history="1">
      <w:r w:rsidRPr="00BC3DF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BC3DFF">
      <w:rPr>
        <w:rFonts w:ascii="Times New Roman" w:hAnsi="Times New Roman" w:cs="Times New Roman"/>
        <w:color w:val="808080" w:themeColor="background1" w:themeShade="80"/>
        <w:sz w:val="18"/>
        <w:szCs w:val="18"/>
      </w:rPr>
      <w:t> 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a nemzetgazdasági miniszter hatáskörébe tartozó szakképesítések szakmai és vizsgakövetelményeiről szóló </w:t>
    </w:r>
    <w:hyperlink r:id="rId2" w:tgtFrame="_blank" w:history="1">
      <w:r w:rsidRPr="00BC3DF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BC3DFF">
      <w:rPr>
        <w:rFonts w:ascii="Times New Roman" w:hAnsi="Times New Roman" w:cs="Times New Roman"/>
        <w:color w:val="808080" w:themeColor="background1" w:themeShade="80"/>
        <w:sz w:val="18"/>
        <w:szCs w:val="18"/>
      </w:rPr>
      <w:t> 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módosításáról</w:t>
    </w:r>
  </w:p>
  <w:p w:rsidR="0070770E" w:rsidRPr="0070770E" w:rsidRDefault="0070770E" w:rsidP="0070770E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0E" w:rsidRDefault="007077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2A"/>
    <w:rsid w:val="000C6F6D"/>
    <w:rsid w:val="0070770E"/>
    <w:rsid w:val="00B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6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70E"/>
  </w:style>
  <w:style w:type="paragraph" w:styleId="llb">
    <w:name w:val="footer"/>
    <w:basedOn w:val="Norml"/>
    <w:link w:val="llbChar"/>
    <w:uiPriority w:val="99"/>
    <w:unhideWhenUsed/>
    <w:rsid w:val="0070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70E"/>
  </w:style>
  <w:style w:type="character" w:styleId="Hiperhivatkozs">
    <w:name w:val="Hyperlink"/>
    <w:basedOn w:val="Bekezdsalapbettpusa"/>
    <w:uiPriority w:val="99"/>
    <w:semiHidden/>
    <w:unhideWhenUsed/>
    <w:rsid w:val="00707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6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70E"/>
  </w:style>
  <w:style w:type="paragraph" w:styleId="llb">
    <w:name w:val="footer"/>
    <w:basedOn w:val="Norml"/>
    <w:link w:val="llbChar"/>
    <w:uiPriority w:val="99"/>
    <w:unhideWhenUsed/>
    <w:rsid w:val="0070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70E"/>
  </w:style>
  <w:style w:type="character" w:styleId="Hiperhivatkozs">
    <w:name w:val="Hyperlink"/>
    <w:basedOn w:val="Bekezdsalapbettpusa"/>
    <w:uiPriority w:val="99"/>
    <w:semiHidden/>
    <w:unhideWhenUsed/>
    <w:rsid w:val="00707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2016-09-05T13:58:00Z</dcterms:created>
  <dcterms:modified xsi:type="dcterms:W3CDTF">2016-09-27T12:01:00Z</dcterms:modified>
</cp:coreProperties>
</file>