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A6" w:rsidRDefault="00DB25A6" w:rsidP="00DB25A6">
      <w:pPr>
        <w:widowControl w:val="0"/>
        <w:shd w:val="clear" w:color="auto" w:fill="FFFFFF"/>
        <w:spacing w:after="0" w:line="240" w:lineRule="auto"/>
        <w:jc w:val="center"/>
        <w:outlineLvl w:val="2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 35. sorszámú Gyógyászati segédeszköz–forgalmazó megnevezésű szakképesítés szakmai és vizsgakövetelménye</w:t>
      </w:r>
    </w:p>
    <w:p w:rsidR="00DB25A6" w:rsidRDefault="00DB25A6" w:rsidP="00DB25A6">
      <w:pPr>
        <w:widowControl w:val="0"/>
        <w:shd w:val="clear" w:color="auto" w:fill="FFFFFF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1.1. A szakképesítés azonosító száma: 52 726 01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1.2. Szakképesítés megnevezése: Gyógyászati segédeszköz–forgalmazó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1.3. Iskolai rendszerű szakképzésben a szakképzési évfolyamok száma: –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1.4. Iskolarendszeren kívüli szakképzésben az óraszám: 600–800</w:t>
      </w:r>
    </w:p>
    <w:p w:rsidR="00DB25A6" w:rsidRDefault="00DB25A6" w:rsidP="00DB25A6">
      <w:pPr>
        <w:widowControl w:val="0"/>
        <w:shd w:val="clear" w:color="auto" w:fill="FFFFFF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2.1. A képzés megkezdésének feltételei: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2.1.1. Iskolai előképzettség: érettségi végzettség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2.1.2. Bemeneti kompetenciák: –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2.2. Szakmai előképzettség: –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2.3. Előírt gyakorlat: –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2.4. Egészségügyi alkalmassági követelmények: szükségesek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2.5. Pályaalkalmassági követelmények: nem szükségesek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2.6. Elméleti képzési idő aránya: 30%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2.7. Gyakorlati képzési idő aránya: 70%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2.8. Szintvizsga: –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2.9. Az iskolai rendszerű képzésben az összefüggő szakmai gyakorlat időtartama: –</w:t>
      </w:r>
    </w:p>
    <w:p w:rsidR="00DB25A6" w:rsidRDefault="00DB25A6" w:rsidP="00DB25A6">
      <w:pPr>
        <w:widowControl w:val="0"/>
        <w:shd w:val="clear" w:color="auto" w:fill="FFFFFF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3.1. A szakképesítéssel legjellemzőbben betölthető munkakör, munkakörök, foglalkozás, foglalkozások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1279"/>
        <w:gridCol w:w="2835"/>
        <w:gridCol w:w="5312"/>
      </w:tblGrid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hd w:val="clear" w:color="auto" w:fill="FFFFFF"/>
              <w:spacing w:before="40" w:after="20" w:line="240" w:lineRule="auto"/>
              <w:ind w:firstLine="24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5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312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5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312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27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</w:t>
            </w:r>
          </w:p>
        </w:tc>
        <w:tc>
          <w:tcPr>
            <w:tcW w:w="2835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humánegészségügyhöz kapcsolódó foglalkozások </w:t>
            </w:r>
          </w:p>
        </w:tc>
        <w:tc>
          <w:tcPr>
            <w:tcW w:w="5312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Gyógyászati segédeszköz–forgalmazó</w:t>
            </w:r>
          </w:p>
        </w:tc>
      </w:tr>
    </w:tbl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3.2. A szakképesítés munkaterületének rövid leírása:</w:t>
      </w:r>
    </w:p>
    <w:p w:rsidR="00DB25A6" w:rsidRDefault="00DB25A6" w:rsidP="00DB25A6">
      <w:pPr>
        <w:widowControl w:val="0"/>
        <w:spacing w:before="100" w:after="0" w:line="240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A gyógyászati segédeszköz–forgalmazó tevékenységi körében végzi a forgalmazható gyógyászati segédeszközök és gyógyászati segédeszköz forgalmazó szaküzletben forgalmazott orvostechnikai eszközök kiszolgálását. Kereskedelmi, marketing, értékesítési, forgalmazói, valamint kölcsönzési tevékenységet végez ezen eszközökkel kapcsolatban. A gyógyászati segédeszköz forgalmazó a vásárlók személyiségét, személyes igényeit, kulturális szokásait, és anyagi lehetőségeit figyelembe véve tesz javaslatot egy termék, vagy eszköz használatára, megvásárlására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567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 szakképesítéssel rendelkező képes: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alkalmazni a helyes vénykezelési technikákat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értelmezni az orvosi indikációkat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elvégezni a vásárlók gyógyászati segédeszköz forgalmazó szaküzletben forgalmazott orvostechnikai eszközökkel történő kiszolgálását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esetenként méretvételi eljárásokat alkalmazni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–</w:t>
      </w:r>
      <w:r>
        <w:rPr>
          <w:sz w:val="20"/>
          <w:szCs w:val="20"/>
        </w:rPr>
        <w:tab/>
        <w:t>az eszközök próbáját, ellenőrzését kiadás előtt elvégezni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tanácsot adni a gyógyászati segédeszköz használatára, tisztántartására, karbantartására vonatkozóan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betartani a gyógyászati segédeszköz forgalmazó szaküzletre vonatkozó érvényes és hatályos jogszabályokat– Megfelelően kommunikálni a vásárlóval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reklamációt kezelni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pénzügyi, számviteli bizonylatokat kezelni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alkalmazni a kereskedelemre és adózásra vonatkozó jogszabályokat – Tisztán tartani az üzlethelyiséget, a próbafülkét, kezelni a hulladékot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fertőtleníteni a próbára ajánlott eszközöket, illetve a szükséges felületeket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ismerni és alkalmazni a vállalkozás jogkövető működése érdekében a fogyasztóvédelmi előírásokat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betartani a minőségbiztosításra vonatkozó előírásokat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284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3.3. Kapcsolódó szakképesítések: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2115"/>
        <w:gridCol w:w="2115"/>
        <w:gridCol w:w="5136"/>
      </w:tblGrid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hd w:val="clear" w:color="auto" w:fill="FFFFFF"/>
              <w:spacing w:before="40" w:after="20" w:line="240" w:lineRule="auto"/>
              <w:ind w:firstLine="240"/>
              <w:jc w:val="both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15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136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366" w:type="dxa"/>
            <w:gridSpan w:val="3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115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115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5136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2115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115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5136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</w:p>
        </w:tc>
      </w:tr>
    </w:tbl>
    <w:p w:rsidR="00DB25A6" w:rsidRDefault="00DB25A6" w:rsidP="00DB25A6">
      <w:pPr>
        <w:widowControl w:val="0"/>
        <w:shd w:val="clear" w:color="auto" w:fill="FFFFFF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1284"/>
        <w:gridCol w:w="8082"/>
      </w:tblGrid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082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366" w:type="dxa"/>
            <w:gridSpan w:val="2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284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8082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284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11214–12</w:t>
            </w:r>
          </w:p>
        </w:tc>
        <w:tc>
          <w:tcPr>
            <w:tcW w:w="8082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alapismeretek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284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11176–16</w:t>
            </w:r>
          </w:p>
        </w:tc>
        <w:tc>
          <w:tcPr>
            <w:tcW w:w="8082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Gyógyászati segédeszköz szakismeret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284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11498–12</w:t>
            </w:r>
          </w:p>
        </w:tc>
        <w:tc>
          <w:tcPr>
            <w:tcW w:w="8082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I. (érettségire épülő képzések esetén)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1284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8082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1284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11500–12</w:t>
            </w:r>
          </w:p>
        </w:tc>
        <w:tc>
          <w:tcPr>
            <w:tcW w:w="8082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egészség és biztonság</w:t>
            </w:r>
          </w:p>
        </w:tc>
      </w:tr>
    </w:tbl>
    <w:p w:rsidR="00DB25A6" w:rsidRDefault="00DB25A6" w:rsidP="00DB25A6">
      <w:pPr>
        <w:widowControl w:val="0"/>
        <w:shd w:val="clear" w:color="auto" w:fill="FFFFFF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 A komplex szakmai vizsgára bocsátás feltételei: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5.2. alpontban előírt valamennyi modulzáró vizsga eredményes letétele, és az előírt szakmai gyakorlatok igazolt teljesítése.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5.2. A modulzáró vizsga vizsgatevékenysége és az eredményesség feltétele: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1704"/>
        <w:gridCol w:w="4111"/>
        <w:gridCol w:w="3551"/>
      </w:tblGrid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hd w:val="clear" w:color="auto" w:fill="FFFFFF"/>
              <w:spacing w:before="40" w:after="20" w:line="240" w:lineRule="auto"/>
              <w:ind w:firstLine="240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111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551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9366" w:type="dxa"/>
            <w:gridSpan w:val="3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704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111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51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704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11214–12</w:t>
            </w:r>
          </w:p>
        </w:tc>
        <w:tc>
          <w:tcPr>
            <w:tcW w:w="4111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alapismeretek</w:t>
            </w:r>
          </w:p>
        </w:tc>
        <w:tc>
          <w:tcPr>
            <w:tcW w:w="3551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szóbeli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1704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11176–16</w:t>
            </w:r>
          </w:p>
        </w:tc>
        <w:tc>
          <w:tcPr>
            <w:tcW w:w="4111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Gyógyászati segédeszköz szakismeret</w:t>
            </w:r>
          </w:p>
        </w:tc>
        <w:tc>
          <w:tcPr>
            <w:tcW w:w="3551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1704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11498–12</w:t>
            </w:r>
          </w:p>
        </w:tc>
        <w:tc>
          <w:tcPr>
            <w:tcW w:w="4111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Foglalkoztatás I. </w:t>
            </w:r>
            <w:r>
              <w:rPr>
                <w:sz w:val="20"/>
                <w:szCs w:val="20"/>
              </w:rPr>
              <w:br/>
              <w:t>(érettségire épülő képzések esetén)</w:t>
            </w:r>
          </w:p>
        </w:tc>
        <w:tc>
          <w:tcPr>
            <w:tcW w:w="3551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5.2.6.</w:t>
            </w:r>
          </w:p>
        </w:tc>
        <w:tc>
          <w:tcPr>
            <w:tcW w:w="1704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4111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  <w:tc>
          <w:tcPr>
            <w:tcW w:w="3551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1704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11500–12</w:t>
            </w:r>
          </w:p>
        </w:tc>
        <w:tc>
          <w:tcPr>
            <w:tcW w:w="4111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egészség és biztonság</w:t>
            </w:r>
          </w:p>
        </w:tc>
        <w:tc>
          <w:tcPr>
            <w:tcW w:w="3551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</w:tbl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elégségesre (2) értékelhető.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567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 A komplex szakmai vizsga vizsgatevékenységei és vizsgafeladatai: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5.3.1. Gyakorlati vizsgatevékenység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Gyógyászati segédeszköz–forgalmazás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feladatleírásban foglaltaknak megfelelően a vásárló fogadása, a vásárlási szándék felmérése, segédeszköz, gyógyászati segédeszköz forgalmazó szaküzletben forgalmazott orvostechnikai termék adekvát ajánlása, illetve a vény értelmezése, kezelése. A vényen szereplő eszköz kiszolgálása, helyettesíthetőség meghatározása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Méretvétel, eszköz–kiválasztás, kiválasztott eszköz biztonságos és szakszerű használatának, műszaki paramétereinek, tisztításának bemutatása. Az eladáshoz kapcsolódó számviteli és pénzügyi bizonylatok, számlák kitöltése. A vevő általános és fogyasztóvédelmi tájékoztatása, szükség esetén fogyasztói reklamáció és panaszkezelés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30 perc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60%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5.3.2. Központi írásbeli vizsgatevékenység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Egészségügyi szakmai alapismeretek, Gyógyászati segédeszköz szakismeret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426" w:hanging="186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Központilag összeállított feladatsor, amely a 4. Szakmai követelmények fejezetben megadott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426" w:hanging="186"/>
        <w:jc w:val="both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7513"/>
      </w:tblGrid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1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11214–12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alapismeretek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1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11176–16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Gyógyászati segédeszköz szakismeret</w:t>
            </w:r>
          </w:p>
        </w:tc>
      </w:tr>
    </w:tbl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követelménymodulok</w:t>
      </w:r>
      <w:proofErr w:type="gramEnd"/>
      <w:r>
        <w:rPr>
          <w:sz w:val="20"/>
          <w:szCs w:val="20"/>
        </w:rPr>
        <w:t xml:space="preserve"> témaköreinek mindegyikét tartalmazzák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90 perc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40%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5.3.3. Szóbeli vizsgatevékenység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–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–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 szakképesítéssel kapcsolatos előírások az állami szakképzési és felnőttképzési szerv http://www.nive.hu/ című weblapján érhetők el a Szak– és Felnőttképzés Vizsgák menüpontban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B25A6" w:rsidRDefault="00DB25A6" w:rsidP="00DB25A6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5.5. A szakmai vizsga értékelésének a szakmai vizsgaszabályzattól eltérő szempontjai:</w:t>
      </w:r>
    </w:p>
    <w:p w:rsidR="00DB25A6" w:rsidRDefault="00DB25A6" w:rsidP="00DB25A6">
      <w:pPr>
        <w:widowControl w:val="0"/>
        <w:shd w:val="clear" w:color="auto" w:fill="FFFFFF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9639"/>
      </w:tblGrid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963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oktatáshoz és a demonstrációs gyakorlatokhoz oktatóhelyiség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963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 (tábla, projektor, számítógép)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963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dia– és fóliasorozatok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963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Számítógép szoftverekkel (készletező, számlázó, stb.), perifériák, nyomtatók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963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Pénztárgép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963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Gyógyászati segédeszköz forgalmazó szaküzletben forgalmazható gyógyászati segédeszközök különféle típusai (legalább 50), orvostechnikai termékek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963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Tisztító szerek, vegyszerek, fertőtlenítőszerek és eszközök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963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Egyszer használatos és fogyóeszközök, próbához szükséges eszközök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963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Hulladékkezelés és tárolás eszközei</w:t>
            </w:r>
          </w:p>
        </w:tc>
      </w:tr>
      <w:tr w:rsidR="00DB25A6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6.10.</w:t>
            </w:r>
          </w:p>
        </w:tc>
        <w:tc>
          <w:tcPr>
            <w:tcW w:w="9639" w:type="dxa"/>
            <w:shd w:val="clear" w:color="auto" w:fill="FFFFFF"/>
          </w:tcPr>
          <w:p w:rsidR="00DB25A6" w:rsidRDefault="00DB25A6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Esősegélynyújtás eszközei</w:t>
            </w:r>
          </w:p>
        </w:tc>
      </w:tr>
    </w:tbl>
    <w:p w:rsidR="00DB25A6" w:rsidRDefault="00DB25A6" w:rsidP="00DB25A6">
      <w:pPr>
        <w:widowControl w:val="0"/>
        <w:shd w:val="clear" w:color="auto" w:fill="FFFFFF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7.1. A szakmai vizsgabizottságban való részvételre kijelölt szakmai szervezet:</w:t>
      </w:r>
    </w:p>
    <w:p w:rsidR="00DB25A6" w:rsidRDefault="00DB25A6" w:rsidP="00DB25A6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Magyar Egészségügyi Szakdolgozói Kamara</w:t>
      </w:r>
    </w:p>
    <w:p w:rsidR="00D12369" w:rsidRPr="00DB25A6" w:rsidRDefault="00D12369" w:rsidP="00DB25A6"/>
    <w:sectPr w:rsidR="00D12369" w:rsidRPr="00DB25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3B" w:rsidRDefault="00AC4D3B" w:rsidP="00AC4D3B">
      <w:pPr>
        <w:spacing w:after="0" w:line="240" w:lineRule="auto"/>
      </w:pPr>
      <w:r>
        <w:separator/>
      </w:r>
    </w:p>
  </w:endnote>
  <w:end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3B" w:rsidRDefault="00AC4D3B" w:rsidP="00AC4D3B">
      <w:pPr>
        <w:spacing w:after="0" w:line="240" w:lineRule="auto"/>
      </w:pPr>
      <w:r>
        <w:separator/>
      </w:r>
    </w:p>
  </w:footnote>
  <w:foot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B" w:rsidRPr="00AC4D3B" w:rsidRDefault="00AC4D3B" w:rsidP="00AC4D3B">
    <w:pPr>
      <w:spacing w:before="120" w:after="60"/>
      <w:jc w:val="center"/>
      <w:rPr>
        <w:color w:val="7F7F7F"/>
        <w:sz w:val="20"/>
        <w:szCs w:val="20"/>
      </w:rPr>
    </w:pPr>
    <w:r w:rsidRPr="00AC4D3B"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AC4D3B" w:rsidRPr="00AC4D3B" w:rsidRDefault="00AC4D3B" w:rsidP="00AC4D3B">
    <w:pPr>
      <w:jc w:val="center"/>
    </w:pPr>
    <w:r w:rsidRPr="00AC4D3B"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B"/>
    <w:rsid w:val="000201C9"/>
    <w:rsid w:val="0019228E"/>
    <w:rsid w:val="002B6261"/>
    <w:rsid w:val="00410F44"/>
    <w:rsid w:val="006F24CA"/>
    <w:rsid w:val="00751E79"/>
    <w:rsid w:val="0098526F"/>
    <w:rsid w:val="00AA57AD"/>
    <w:rsid w:val="00AC4D3B"/>
    <w:rsid w:val="00C551B7"/>
    <w:rsid w:val="00C74410"/>
    <w:rsid w:val="00D12369"/>
    <w:rsid w:val="00DB25A6"/>
    <w:rsid w:val="00ED336C"/>
    <w:rsid w:val="00EF4F98"/>
    <w:rsid w:val="00FA6F67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Ligetfalviné Szücs Fruzsina</cp:lastModifiedBy>
  <cp:revision>2</cp:revision>
  <dcterms:created xsi:type="dcterms:W3CDTF">2016-10-10T14:02:00Z</dcterms:created>
  <dcterms:modified xsi:type="dcterms:W3CDTF">2016-10-10T14:02:00Z</dcterms:modified>
</cp:coreProperties>
</file>