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81" w:rsidRDefault="00C44681" w:rsidP="00C44681">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A 12. sorszámú Banki, befektetési termékértékesítő megnevezésű </w:t>
      </w:r>
      <w:proofErr w:type="spellStart"/>
      <w:r>
        <w:rPr>
          <w:rFonts w:ascii="Times New Roman" w:hAnsi="Times New Roman" w:cs="Times New Roman"/>
          <w:b/>
          <w:bCs/>
          <w:i/>
          <w:iCs/>
          <w:sz w:val="20"/>
          <w:szCs w:val="20"/>
        </w:rPr>
        <w:t>részszakképesítés</w:t>
      </w:r>
      <w:proofErr w:type="spellEnd"/>
      <w:r>
        <w:rPr>
          <w:rFonts w:ascii="Times New Roman" w:hAnsi="Times New Roman" w:cs="Times New Roman"/>
          <w:b/>
          <w:bCs/>
          <w:i/>
          <w:iCs/>
          <w:sz w:val="20"/>
          <w:szCs w:val="20"/>
        </w:rPr>
        <w:t xml:space="preserve"> szakmai és vizsgakövetelménye</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AZ ORSZÁGOS KÉPZÉSI JEGYZÉKBEN SZEREPLŐ ADATOK</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1.1.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azonosító száma: 51 343 01</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megnevezése: Banki, befektetési termékértékesítő</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160-240</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EGYÉB ADATOK</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2.3. Előírt gyakorlat: -</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2.6. Elméleti képzési idő aránya: 70%</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2.7. Gyakorlati képzési idő aránya: 30%</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2.8. Szintvizsga: -</w:t>
      </w:r>
    </w:p>
    <w:p w:rsidR="00C44681" w:rsidRDefault="00C44681" w:rsidP="00C44681">
      <w:pPr>
        <w:autoSpaceDE w:val="0"/>
        <w:autoSpaceDN w:val="0"/>
        <w:adjustRightInd w:val="0"/>
        <w:spacing w:after="0" w:line="240" w:lineRule="auto"/>
        <w:ind w:right="56"/>
        <w:jc w:val="center"/>
        <w:rPr>
          <w:rFonts w:ascii="Times New Roman" w:hAnsi="Times New Roman" w:cs="Times New Roman"/>
          <w:sz w:val="20"/>
          <w:szCs w:val="20"/>
        </w:rPr>
      </w:pPr>
      <w:r>
        <w:rPr>
          <w:rFonts w:ascii="Times New Roman" w:hAnsi="Times New Roman" w:cs="Times New Roman"/>
          <w:sz w:val="20"/>
          <w:szCs w:val="20"/>
        </w:rPr>
        <w:t>3. PÁLYATÜKÖR</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3.1.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C44681" w:rsidRDefault="00C44681" w:rsidP="00C44681">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1416"/>
        <w:gridCol w:w="2550"/>
        <w:gridCol w:w="5168"/>
      </w:tblGrid>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255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5168"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16"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5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 FEOR megnevezése</w:t>
            </w:r>
          </w:p>
        </w:tc>
        <w:tc>
          <w:tcPr>
            <w:tcW w:w="5168"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 A </w:t>
            </w:r>
            <w:proofErr w:type="spellStart"/>
            <w:r>
              <w:rPr>
                <w:rFonts w:ascii="Times New Roman" w:hAnsi="Times New Roman" w:cs="Times New Roman"/>
                <w:b/>
                <w:bCs/>
                <w:sz w:val="20"/>
                <w:szCs w:val="20"/>
              </w:rPr>
              <w:t>részszakképesítéssel</w:t>
            </w:r>
            <w:proofErr w:type="spellEnd"/>
            <w:r>
              <w:rPr>
                <w:rFonts w:ascii="Times New Roman" w:hAnsi="Times New Roman" w:cs="Times New Roman"/>
                <w:b/>
                <w:bCs/>
                <w:sz w:val="20"/>
                <w:szCs w:val="20"/>
              </w:rPr>
              <w:t xml:space="preserve">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16" w:type="dxa"/>
            <w:vMerge w:val="restart"/>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3612</w:t>
            </w:r>
          </w:p>
        </w:tc>
        <w:tc>
          <w:tcPr>
            <w:tcW w:w="2550" w:type="dxa"/>
            <w:vMerge w:val="restart"/>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sz w:val="20"/>
                <w:szCs w:val="20"/>
              </w:rPr>
              <w:t>Pénzintézeti ügyintéző</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Banki és pénzforgalmi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Áruhitel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Pénzfeldolgozó</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Átutalási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Banki hitelezőasszisztens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Banki hitelügyintéző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Banki lízing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Banki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Banki-, befektetési termékértékesítő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Bankkártya referens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Bankreferens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Bankszámla-ügyintéző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Befektetés-kezelési referens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Betét ki- és befizetési forgalmat lebonyolító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3.1.16.</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Építési hitel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Értékpapír kezelő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Értéktárkezelő</w:t>
            </w:r>
            <w:proofErr w:type="spellEnd"/>
            <w:r>
              <w:rPr>
                <w:rFonts w:ascii="Times New Roman" w:hAnsi="Times New Roman" w:cs="Times New Roman"/>
                <w:sz w:val="20"/>
                <w:szCs w:val="20"/>
              </w:rPr>
              <w:t xml:space="preserve"> (banki)</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3.1.19.</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Értéktáros</w:t>
            </w:r>
            <w:proofErr w:type="spellEnd"/>
            <w:r>
              <w:rPr>
                <w:rFonts w:ascii="Times New Roman" w:hAnsi="Times New Roman" w:cs="Times New Roman"/>
                <w:sz w:val="20"/>
                <w:szCs w:val="20"/>
              </w:rPr>
              <w:t xml:space="preserve"> (banki)</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3.1.20.</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Folyószámla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3.1.21.</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Hitelértékesítő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3.1.22.</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Hitelezési előadó</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3.1.23.</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Hitelezési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3.1.24.</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Hitelreferens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3.1.25.</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Hitelügyintéző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3.1.26.</w:t>
            </w:r>
          </w:p>
        </w:tc>
        <w:tc>
          <w:tcPr>
            <w:tcW w:w="1416"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nil"/>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Kifizetési és betétforgalmat lebonyolító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3.1.27.</w:t>
            </w:r>
          </w:p>
        </w:tc>
        <w:tc>
          <w:tcPr>
            <w:tcW w:w="1416" w:type="dxa"/>
            <w:vMerge w:val="restart"/>
            <w:tcBorders>
              <w:top w:val="nil"/>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p>
        </w:tc>
        <w:tc>
          <w:tcPr>
            <w:tcW w:w="2550" w:type="dxa"/>
            <w:vMerge w:val="restart"/>
            <w:tcBorders>
              <w:top w:val="nil"/>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Kisvállalkozói hitelügyintéző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3.1.28.</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Lakáshitel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3.1.29.</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Lakossági folyószámla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3.1.30.</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Lakossági </w:t>
            </w:r>
            <w:proofErr w:type="spellStart"/>
            <w:r>
              <w:rPr>
                <w:rFonts w:ascii="Times New Roman" w:hAnsi="Times New Roman" w:cs="Times New Roman"/>
                <w:sz w:val="20"/>
                <w:szCs w:val="20"/>
              </w:rPr>
              <w:t>hitelkockázatkezelő</w:t>
            </w:r>
            <w:proofErr w:type="spellEnd"/>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3.1.31.</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Lakossági kapcsolattartó (pénzintézeti)</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3.1.32.</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Letéti-számla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3.1.33.</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Letétkezelő (banki)</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3.1.34.</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Pénzforgalmi ügyintéző (banki)</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3.1.35.</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értékesítési asszisztens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3.1.36.</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értékesítési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3.1.37.</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w:t>
            </w:r>
            <w:proofErr w:type="spellStart"/>
            <w:r>
              <w:rPr>
                <w:rFonts w:ascii="Times New Roman" w:hAnsi="Times New Roman" w:cs="Times New Roman"/>
                <w:sz w:val="20"/>
                <w:szCs w:val="20"/>
              </w:rPr>
              <w:t>értéktáros</w:t>
            </w:r>
            <w:proofErr w:type="spellEnd"/>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3.1.38.</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lakossági üzletkötő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3.1.39.</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panaszkezelő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3.1.40.</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pénz- és értékjegy-értékesítő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3.1.41.</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pénz- és értékkezelő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3.1.42.</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ügyfélforgalmi előadó</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3.1.43.</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ügyfélkapcsolati előadó</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3.1.44.</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ügyfélkapcsolati munkatárs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3.1.45.</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Pénzintézeti ügyfélreferens</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3.1.46.</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Számlavezető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3.1.47.</w:t>
            </w: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Takarékforgalmi ügyintéző</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44681" w:rsidTr="001115D6">
        <w:trPr>
          <w:cantSplit/>
        </w:trPr>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nil"/>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after="0" w:line="240" w:lineRule="auto"/>
              <w:jc w:val="both"/>
              <w:rPr>
                <w:rFonts w:ascii="Times New Roman" w:hAnsi="Times New Roman" w:cs="Times New Roman"/>
                <w:sz w:val="20"/>
                <w:szCs w:val="20"/>
              </w:rPr>
            </w:pP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3.1.48.</w:t>
            </w:r>
          </w:p>
        </w:tc>
        <w:tc>
          <w:tcPr>
            <w:tcW w:w="1416"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3613</w:t>
            </w:r>
          </w:p>
        </w:tc>
        <w:tc>
          <w:tcPr>
            <w:tcW w:w="255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Tőzsde- és pénzügyi ügynök, bróker</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Tőzsde- és pénzügyi ügynök, bróker</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3.1.49.</w:t>
            </w:r>
          </w:p>
        </w:tc>
        <w:tc>
          <w:tcPr>
            <w:tcW w:w="1416"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4211</w:t>
            </w:r>
          </w:p>
        </w:tc>
        <w:tc>
          <w:tcPr>
            <w:tcW w:w="255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Banki pénztáros</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Banki pénztáros</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3.1.50.</w:t>
            </w:r>
          </w:p>
        </w:tc>
        <w:tc>
          <w:tcPr>
            <w:tcW w:w="1416"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4213</w:t>
            </w:r>
          </w:p>
        </w:tc>
        <w:tc>
          <w:tcPr>
            <w:tcW w:w="255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Zálogházi ügyintéző és pénzkölcsönző</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Zálogházi ügyintéző és pénzkölcsönző</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3.1.51.</w:t>
            </w:r>
          </w:p>
        </w:tc>
        <w:tc>
          <w:tcPr>
            <w:tcW w:w="1416"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4123</w:t>
            </w:r>
          </w:p>
        </w:tc>
        <w:tc>
          <w:tcPr>
            <w:tcW w:w="255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statisztikai, biztosítási adminisztrátor</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Bankpénztáros </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3.1.52.</w:t>
            </w:r>
          </w:p>
        </w:tc>
        <w:tc>
          <w:tcPr>
            <w:tcW w:w="1416"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4225</w:t>
            </w:r>
          </w:p>
        </w:tc>
        <w:tc>
          <w:tcPr>
            <w:tcW w:w="255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Ügyfélszolgálati központ </w:t>
            </w:r>
            <w:r>
              <w:rPr>
                <w:rFonts w:ascii="Times New Roman" w:hAnsi="Times New Roman" w:cs="Times New Roman"/>
                <w:sz w:val="20"/>
                <w:szCs w:val="20"/>
              </w:rPr>
              <w:lastRenderedPageBreak/>
              <w:t>tájékoztatója</w:t>
            </w:r>
          </w:p>
        </w:tc>
        <w:tc>
          <w:tcPr>
            <w:tcW w:w="516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Call</w:t>
            </w:r>
            <w:proofErr w:type="spellEnd"/>
            <w:r>
              <w:rPr>
                <w:rFonts w:ascii="Times New Roman" w:hAnsi="Times New Roman" w:cs="Times New Roman"/>
                <w:sz w:val="20"/>
                <w:szCs w:val="20"/>
              </w:rPr>
              <w:t xml:space="preserve"> center operátor (ügyfél tájékoztató) </w:t>
            </w:r>
          </w:p>
        </w:tc>
      </w:tr>
    </w:tbl>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3.2.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munkaterületének rövid leírása:</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 banki termékértékesítő elsősorban a hitelintézetek és a pénzügyi vállalkozások hálózati egységeiben lát el feladatokat, azonban alkalmas a központi adminisztratív területeken bizonyos feladatok ellátására. Ügyfélkapcsolatot létesít és gondoz. Az ügyfelek részére szakszerű tájékoztatást nyújt a termékekről (akár összehasonlító szemléletben is), elősegíti az értékesítési és kockázati besorolását. Értékesíti a pénzügyi szolgáltatási termékeket, az ezzel kapcsolatos teljekörű dokumentációs feladatkört ellátja. Részt vesz az ügyfelek pénzforgalmának lebonyolításában, mind számlapénz, mind készpénz esetében, fizetési számlához kapcsolódó termékeket és szolgáltatásokat értékesít és nyilvántart. Pénztárat és helyi értéktárat kezel, helyi </w:t>
      </w:r>
      <w:proofErr w:type="spellStart"/>
      <w:r>
        <w:rPr>
          <w:rFonts w:ascii="Times New Roman" w:hAnsi="Times New Roman" w:cs="Times New Roman"/>
          <w:sz w:val="20"/>
          <w:szCs w:val="20"/>
        </w:rPr>
        <w:t>ATM-et</w:t>
      </w:r>
      <w:proofErr w:type="spellEnd"/>
      <w:r>
        <w:rPr>
          <w:rFonts w:ascii="Times New Roman" w:hAnsi="Times New Roman" w:cs="Times New Roman"/>
          <w:sz w:val="20"/>
          <w:szCs w:val="20"/>
        </w:rPr>
        <w:t xml:space="preserve"> üzemeltet. Lakossági, mikro, kis és középvállalati hiteleket értékesít, és részt vesz a hiteldöntés előkészítésében.</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Hiteladminisztrációs feladatokat lát el és </w:t>
      </w:r>
      <w:proofErr w:type="spellStart"/>
      <w:r>
        <w:rPr>
          <w:rFonts w:ascii="Times New Roman" w:hAnsi="Times New Roman" w:cs="Times New Roman"/>
          <w:sz w:val="20"/>
          <w:szCs w:val="20"/>
        </w:rPr>
        <w:t>hitelmonitoringot</w:t>
      </w:r>
      <w:proofErr w:type="spellEnd"/>
      <w:r>
        <w:rPr>
          <w:rFonts w:ascii="Times New Roman" w:hAnsi="Times New Roman" w:cs="Times New Roman"/>
          <w:sz w:val="20"/>
          <w:szCs w:val="20"/>
        </w:rPr>
        <w:t xml:space="preserve"> végez. A befektetési termékértékesítő a befektetési szolgáltató hálózati egységeiben és központi adminisztratív területeken lát el feladatokat. Az ügyfelek részére szakszerű tájékoztatást nyújt a termékekről (akár összehasonlító szemléletben is). Elősegíti az ügyfelek értékesítési és kockázati besorolásának elvégzését. Alkalmassági és megfelelőségi tesztet készít. Értékesíti a befektetési szolgáltatási termékeket, az ezzel kapcsolatos teljekörű dokumentációs feladatkört ellátja. Szabványosított és nem szabványosított tőkepiaci megbízásokat fogad és bonyolít. Értékpapírszámlát nyit és kezel. Figyelemmel kíséri a tőkepiaci folyamatokat és termék-innovációkat. Részt vesz az ügyfélszámla pénzforgalmának lebonyolításában.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rendelkező képes:</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banki, befektetési terméket értékesíteni, közvetíteni,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ügyfélszerzési és kapcsolattartási feladatot végezni,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banki és befektetési termékekről tájékoztatást adni és értékesíteni azt,</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aktív bankműveleteket végezni,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aktív bankügylethez kapcsolódó döntés-előkészítési és lebonyolítási feladatokat ellátni,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xml:space="preserve">- hitelszámlát nyitni és kezelni, </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hitelmonitoring</w:t>
      </w:r>
      <w:proofErr w:type="spellEnd"/>
      <w:r>
        <w:rPr>
          <w:rFonts w:ascii="Times New Roman" w:hAnsi="Times New Roman" w:cs="Times New Roman"/>
          <w:sz w:val="20"/>
          <w:szCs w:val="20"/>
        </w:rPr>
        <w:t xml:space="preserve"> tevékenységet ellátni,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passzív bankműveleteket végezni,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lekötési megbízást fogadni,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folyószámlát, pénzt/értéket, valamint váltót és inkasszót kezelni,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pénzforgalmat bonyolítani,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alkalmassági és megfelelőségi tesztet kitölteni és értékelni,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értékpapír és ügyfélszámlát nyitni, számlaműveletet végezni és megszüntetni,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befektetési megbízásokat fogadni és bonyolítani,</w:t>
      </w:r>
    </w:p>
    <w:p w:rsidR="00C44681" w:rsidRDefault="00C44681" w:rsidP="00C44681">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kiegészítő adminisztrációs tevékenységet és központi háttérmunkákat végezni.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C44681" w:rsidRDefault="00C44681" w:rsidP="00C44681">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1700"/>
        <w:gridCol w:w="3717"/>
        <w:gridCol w:w="3717"/>
      </w:tblGrid>
      <w:tr w:rsidR="00C44681" w:rsidTr="001115D6">
        <w:tc>
          <w:tcPr>
            <w:tcW w:w="1128"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B</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134" w:type="dxa"/>
            <w:gridSpan w:val="3"/>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70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a kapcsolódás módja</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54 343 01</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Pénzügyi termékértékesítő </w:t>
            </w:r>
            <w:r>
              <w:rPr>
                <w:rFonts w:ascii="Times New Roman" w:hAnsi="Times New Roman" w:cs="Times New Roman"/>
                <w:sz w:val="20"/>
                <w:szCs w:val="20"/>
              </w:rPr>
              <w:br/>
              <w:t>(bank, befektetés, biztosítás)</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bl>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SZAKMAI KÖVETELMÉNYEK</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1700"/>
        <w:gridCol w:w="7434"/>
      </w:tblGrid>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7434"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9134" w:type="dxa"/>
            <w:gridSpan w:val="2"/>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 az állam által elismert szakképesítések szakmai követelménymoduljairól szóló kormányrendelet szerinti</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34"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megnevezése</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11504-16</w:t>
            </w:r>
          </w:p>
        </w:tc>
        <w:tc>
          <w:tcPr>
            <w:tcW w:w="74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Gazdálkodási alaptevékenység ellátása</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10137-12</w:t>
            </w:r>
          </w:p>
        </w:tc>
        <w:tc>
          <w:tcPr>
            <w:tcW w:w="74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Banki ügyfélkapcsolat és kommunikáció</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10138-16</w:t>
            </w:r>
          </w:p>
        </w:tc>
        <w:tc>
          <w:tcPr>
            <w:tcW w:w="74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Banki, befektetési és biztosítási jogi feladatok</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10136-12</w:t>
            </w:r>
          </w:p>
        </w:tc>
        <w:tc>
          <w:tcPr>
            <w:tcW w:w="74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Banki piac termékeinek értékesítése</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10140-16</w:t>
            </w:r>
          </w:p>
        </w:tc>
        <w:tc>
          <w:tcPr>
            <w:tcW w:w="74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Befektetési piac termékeinek értékesítése</w:t>
            </w:r>
          </w:p>
        </w:tc>
      </w:tr>
    </w:tbl>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VIZSGÁZTATÁSI KÖVETELMÉNYEK</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Iskolarendszeren kívüli szakképzésben: az 5.2. pontban előírt valamennyi modulzáró vizsga eredményes letétele.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1700"/>
        <w:gridCol w:w="3717"/>
        <w:gridCol w:w="3717"/>
      </w:tblGrid>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9134" w:type="dxa"/>
            <w:gridSpan w:val="3"/>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700"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w:t>
            </w:r>
          </w:p>
        </w:tc>
        <w:tc>
          <w:tcPr>
            <w:tcW w:w="3717"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 a modulzáró vizsga vizsgatevékenysége</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11504-16</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Gazdálkodási alaptevékenység ellátása</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szóbeli</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10137-12</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Banki ügyfélkapcsolat és kommunikáció</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10138-16</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Banki, befektetési és biztosítási jogi feladatok</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10136-12</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Banki piac termékeinek értékesítése</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700"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10140-16</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Befektetési piac termékeinek értékesítése</w:t>
            </w:r>
          </w:p>
        </w:tc>
        <w:tc>
          <w:tcPr>
            <w:tcW w:w="3717"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írásbeli</w:t>
            </w:r>
          </w:p>
        </w:tc>
      </w:tr>
    </w:tbl>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külön-külön legalább 60%-os szinten teljesíti.</w:t>
      </w:r>
    </w:p>
    <w:p w:rsidR="00C44681" w:rsidRDefault="00C44681" w:rsidP="00C44681">
      <w:pPr>
        <w:autoSpaceDE w:val="0"/>
        <w:autoSpaceDN w:val="0"/>
        <w:adjustRightInd w:val="0"/>
        <w:spacing w:after="0" w:line="240" w:lineRule="auto"/>
        <w:ind w:left="56" w:right="56" w:firstLine="204"/>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megnevezése: Banki ügyfélkapcsolat és kommunikáció</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 központi gyakorlati tételsorból a vizsgázó véletlenszerűen húz, amely szituációs </w:t>
      </w:r>
      <w:proofErr w:type="gramStart"/>
      <w:r>
        <w:rPr>
          <w:rFonts w:ascii="Times New Roman" w:hAnsi="Times New Roman" w:cs="Times New Roman"/>
          <w:sz w:val="20"/>
          <w:szCs w:val="20"/>
        </w:rPr>
        <w:t>feladat(</w:t>
      </w:r>
      <w:proofErr w:type="gramEnd"/>
      <w:r>
        <w:rPr>
          <w:rFonts w:ascii="Times New Roman" w:hAnsi="Times New Roman" w:cs="Times New Roman"/>
          <w:sz w:val="20"/>
          <w:szCs w:val="20"/>
        </w:rPr>
        <w:t>ok)</w:t>
      </w:r>
      <w:proofErr w:type="spellStart"/>
      <w:r>
        <w:rPr>
          <w:rFonts w:ascii="Times New Roman" w:hAnsi="Times New Roman" w:cs="Times New Roman"/>
          <w:sz w:val="20"/>
          <w:szCs w:val="20"/>
        </w:rPr>
        <w:t>ra</w:t>
      </w:r>
      <w:proofErr w:type="spellEnd"/>
      <w:r>
        <w:rPr>
          <w:rFonts w:ascii="Times New Roman" w:hAnsi="Times New Roman" w:cs="Times New Roman"/>
          <w:sz w:val="20"/>
          <w:szCs w:val="20"/>
        </w:rPr>
        <w:t xml:space="preserve"> épül és a szakmai követelmények banki ügyfélkapcsolat és kommunikációhoz kapcsolódó megadott témaköreinek mindegyikét tartalmazhatja.</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gyakorlati vizsgatevékenység lebonyolítása a szakképesítésért felelős miniszter által kiadott és honlapján közzétett Útmutató alapján történik.</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vizsgafeladatértékelési</w:t>
      </w:r>
      <w:proofErr w:type="spellEnd"/>
      <w:r>
        <w:rPr>
          <w:rFonts w:ascii="Times New Roman" w:hAnsi="Times New Roman" w:cs="Times New Roman"/>
          <w:sz w:val="20"/>
          <w:szCs w:val="20"/>
        </w:rPr>
        <w:t xml:space="preserve"> súlyaránya: 30%</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megnevezése: Banki piac termékeinek és befektetési piac termékeinek értékesítése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ismertetése: banki piac termékeinek értékesítése és befektetési piac termékeinek értékesítése vonatkozásában a termékértékesítés, az ügyfélkiszolgálás, a termékek és ügyletek fogalmainak, értelmezésének, összefüggéseinek, az ágazatok üzemtani ismereteinek számonkérése, kapcsolódó esetmegoldások teljesítése.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vizsgafeladatértékelési</w:t>
      </w:r>
      <w:proofErr w:type="spellEnd"/>
      <w:r>
        <w:rPr>
          <w:rFonts w:ascii="Times New Roman" w:hAnsi="Times New Roman" w:cs="Times New Roman"/>
          <w:sz w:val="20"/>
          <w:szCs w:val="20"/>
        </w:rPr>
        <w:t xml:space="preserve"> súlyaránya: 40%</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megnevezése: Banki piac termékeinek és befektetési piac termékeinek értékesítése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ismertetése: A banki és befektetési piac termékeinek értékesítése vonatkozásában a termékértékesítés ügyfél-kiszolgálási szakismeretek, ügyletismeretek ügyfélközpontú megközelítése.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vizsgafeladatértékelési</w:t>
      </w:r>
      <w:proofErr w:type="spellEnd"/>
      <w:r>
        <w:rPr>
          <w:rFonts w:ascii="Times New Roman" w:hAnsi="Times New Roman" w:cs="Times New Roman"/>
          <w:sz w:val="20"/>
          <w:szCs w:val="20"/>
        </w:rPr>
        <w:t xml:space="preserve"> súlyaránya: 30%</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modulzáró vizsgatevékenységek szervezésére, lebonyolítására és az értékelésre vonatkozó szabályokat a szakképesítésért felelős miniszter a honlapján közzéteszi.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 modulzáró vizsga vizsgatevékenységének szabályszerűségét a vizsgabizottság egy tagja utólag, de legfeljebb a komplex szakmai vizsga megkezdése előtti 5. napig ellenőrizheti és a kiadott központi értékelési útmutatótól eltérő javítás esetén </w:t>
      </w:r>
      <w:proofErr w:type="gramStart"/>
      <w:r>
        <w:rPr>
          <w:rFonts w:ascii="Times New Roman" w:hAnsi="Times New Roman" w:cs="Times New Roman"/>
          <w:sz w:val="20"/>
          <w:szCs w:val="20"/>
        </w:rPr>
        <w:t>felülbírálja .</w:t>
      </w:r>
      <w:proofErr w:type="gramEnd"/>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vizsgatevékenységek vizsgaidőpontjai tekintetében a szakképesítésért felelős miniszter honlapján közreadott vizsganaptár az irányadó.</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szakmai vizsgán kizárólag a szakképesítésért felelős miniszter honlapján közzétett segédeszközök használhatóak.</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Banki piac termékeinek és befektetési piac termékeinek értékesítése vizsgafeladat szóbeli vizsgatevékenysége csak akkor kezdhető meg, ha a hozzárendelt írásbeli vizsgatevékenység vizsgafeladatát a vizsgázó legalább 60%-szinten teljesítette.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Banki ügyfélkapcsolat és kommunikáció vizsgafeladat gyakorlati vizsgatevékenysége csak akkor kezdhető meg, ha az írásbeli vizsgatevékenység vizsgafeladatát a vizsgázó legalább 60%-os szinten teljesítette.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vizsgatevékenységeihez rendelt vizsgafeladatok/</w:t>
      </w:r>
      <w:proofErr w:type="spellStart"/>
      <w:r>
        <w:rPr>
          <w:rFonts w:ascii="Times New Roman" w:hAnsi="Times New Roman" w:cs="Times New Roman"/>
          <w:sz w:val="20"/>
          <w:szCs w:val="20"/>
        </w:rPr>
        <w:t>vizsgafeladatrészek</w:t>
      </w:r>
      <w:proofErr w:type="spellEnd"/>
      <w:r>
        <w:rPr>
          <w:rFonts w:ascii="Times New Roman" w:hAnsi="Times New Roman" w:cs="Times New Roman"/>
          <w:sz w:val="20"/>
          <w:szCs w:val="20"/>
        </w:rPr>
        <w:t xml:space="preserve"> érdemjegye az elért %-os teljesítmények alapján:</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tbl>
      <w:tblPr>
        <w:tblW w:w="0" w:type="auto"/>
        <w:tblInd w:w="71" w:type="dxa"/>
        <w:tblLayout w:type="fixed"/>
        <w:tblCellMar>
          <w:left w:w="71" w:type="dxa"/>
          <w:right w:w="71" w:type="dxa"/>
        </w:tblCellMar>
        <w:tblLook w:val="0000" w:firstRow="0" w:lastRow="0" w:firstColumn="0" w:lastColumn="0" w:noHBand="0" w:noVBand="0"/>
      </w:tblPr>
      <w:tblGrid>
        <w:gridCol w:w="1343"/>
        <w:gridCol w:w="1988"/>
      </w:tblGrid>
      <w:tr w:rsidR="00C44681" w:rsidTr="001115D6">
        <w:tc>
          <w:tcPr>
            <w:tcW w:w="1343" w:type="dxa"/>
            <w:tcBorders>
              <w:top w:val="nil"/>
              <w:left w:val="nil"/>
              <w:bottom w:val="nil"/>
              <w:right w:val="nil"/>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90-100%</w:t>
            </w:r>
          </w:p>
        </w:tc>
        <w:tc>
          <w:tcPr>
            <w:tcW w:w="1988" w:type="dxa"/>
            <w:tcBorders>
              <w:top w:val="nil"/>
              <w:left w:val="nil"/>
              <w:bottom w:val="nil"/>
              <w:right w:val="nil"/>
            </w:tcBorders>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jeles (5)</w:t>
            </w:r>
          </w:p>
        </w:tc>
      </w:tr>
      <w:tr w:rsidR="00C44681" w:rsidTr="001115D6">
        <w:tc>
          <w:tcPr>
            <w:tcW w:w="1343" w:type="dxa"/>
            <w:tcBorders>
              <w:top w:val="nil"/>
              <w:left w:val="nil"/>
              <w:bottom w:val="nil"/>
              <w:right w:val="nil"/>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80-89%</w:t>
            </w:r>
          </w:p>
        </w:tc>
        <w:tc>
          <w:tcPr>
            <w:tcW w:w="1988" w:type="dxa"/>
            <w:tcBorders>
              <w:top w:val="nil"/>
              <w:left w:val="nil"/>
              <w:bottom w:val="nil"/>
              <w:right w:val="nil"/>
            </w:tcBorders>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jó (4)</w:t>
            </w:r>
          </w:p>
        </w:tc>
      </w:tr>
      <w:tr w:rsidR="00C44681" w:rsidTr="001115D6">
        <w:tc>
          <w:tcPr>
            <w:tcW w:w="1343" w:type="dxa"/>
            <w:tcBorders>
              <w:top w:val="nil"/>
              <w:left w:val="nil"/>
              <w:bottom w:val="nil"/>
              <w:right w:val="nil"/>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70-79%</w:t>
            </w:r>
          </w:p>
        </w:tc>
        <w:tc>
          <w:tcPr>
            <w:tcW w:w="1988" w:type="dxa"/>
            <w:tcBorders>
              <w:top w:val="nil"/>
              <w:left w:val="nil"/>
              <w:bottom w:val="nil"/>
              <w:right w:val="nil"/>
            </w:tcBorders>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közepes (3)</w:t>
            </w:r>
          </w:p>
        </w:tc>
      </w:tr>
      <w:tr w:rsidR="00C44681" w:rsidTr="001115D6">
        <w:tc>
          <w:tcPr>
            <w:tcW w:w="1343" w:type="dxa"/>
            <w:tcBorders>
              <w:top w:val="nil"/>
              <w:left w:val="nil"/>
              <w:bottom w:val="nil"/>
              <w:right w:val="nil"/>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60-69%</w:t>
            </w:r>
          </w:p>
        </w:tc>
        <w:tc>
          <w:tcPr>
            <w:tcW w:w="1988" w:type="dxa"/>
            <w:tcBorders>
              <w:top w:val="nil"/>
              <w:left w:val="nil"/>
              <w:bottom w:val="nil"/>
              <w:right w:val="nil"/>
            </w:tcBorders>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elégséges (2)</w:t>
            </w:r>
          </w:p>
        </w:tc>
      </w:tr>
      <w:tr w:rsidR="00C44681" w:rsidTr="001115D6">
        <w:tc>
          <w:tcPr>
            <w:tcW w:w="1343" w:type="dxa"/>
            <w:tcBorders>
              <w:top w:val="nil"/>
              <w:left w:val="nil"/>
              <w:bottom w:val="nil"/>
              <w:right w:val="nil"/>
            </w:tcBorders>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0-59%</w:t>
            </w:r>
          </w:p>
        </w:tc>
        <w:tc>
          <w:tcPr>
            <w:tcW w:w="1988" w:type="dxa"/>
            <w:tcBorders>
              <w:top w:val="nil"/>
              <w:left w:val="nil"/>
              <w:bottom w:val="nil"/>
              <w:right w:val="nil"/>
            </w:tcBorders>
          </w:tcPr>
          <w:p w:rsidR="00C44681" w:rsidRDefault="00C44681" w:rsidP="001115D6">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elégtelen (1)</w:t>
            </w:r>
          </w:p>
        </w:tc>
      </w:tr>
    </w:tbl>
    <w:p w:rsidR="00C44681" w:rsidRDefault="00C44681" w:rsidP="00C44681">
      <w:pPr>
        <w:autoSpaceDE w:val="0"/>
        <w:autoSpaceDN w:val="0"/>
        <w:adjustRightInd w:val="0"/>
        <w:spacing w:after="0" w:line="240" w:lineRule="auto"/>
        <w:ind w:firstLine="204"/>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Amennyiben minden vizsgafeladat eredményes, úgy a komplex szakmai vizsga osztályzatát a vizsgafeladatonként/</w:t>
      </w:r>
      <w:proofErr w:type="spellStart"/>
      <w:r>
        <w:rPr>
          <w:rFonts w:ascii="Times New Roman" w:hAnsi="Times New Roman" w:cs="Times New Roman"/>
          <w:sz w:val="20"/>
          <w:szCs w:val="20"/>
        </w:rPr>
        <w:t>vizsgafeladatrészenként</w:t>
      </w:r>
      <w:proofErr w:type="spellEnd"/>
      <w:r>
        <w:rPr>
          <w:rFonts w:ascii="Times New Roman" w:hAnsi="Times New Roman" w:cs="Times New Roman"/>
          <w:sz w:val="20"/>
          <w:szCs w:val="20"/>
        </w:rPr>
        <w:t xml:space="preserve"> elért érdemjegyek vizsgafeladat arányával súlyozott átlaga alapján két tizedesre kerekítve, az általános szabályok szerint (0,50-től felfelé) kell meghatározni.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vizsgatevékenységéhez rendelt érdemjegye elégtelen (1).</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Javítóvizsgát abból a vizsgafeladatból kell tenni, amelyből a vizsgázó elért eredménye nem éri el a 60%-ot, illetve teljesítményét elégtelenre (1) minősítette a vizsgabizottság.</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Felmentés esetén a beszámítás alapjául szolgáló dokumentumban az adott vizsgafeladat, vizsgarészhez rendelt értékelési teljesítményt (érdemjegy, osztályzat, teljesítményszázalék) kell figyelembe venni.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Teljesítményszázalék esetén az érdemjeggyé történő átváltás a komplex szakmai vizsga vizsgatevékenységeihez rendelt vizsgafeladatok értékelési besorolása alapján történik.</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Amennyiben a felmentést adó dokumentumokban nincs értékelési eredmény, úgy a vizsgafeladat érdemjegye közepes (megfelelt), illetve szöveges értékelés esetén a „megfelelt” közepes, a „kiválóan megfelelt” jeles érdemjeggyel egyenértékű.</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ESZKÖZ- </w:t>
      </w: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FELSZERELÉSI JEGYZÉK</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9134"/>
      </w:tblGrid>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p>
        </w:tc>
        <w:tc>
          <w:tcPr>
            <w:tcW w:w="9134" w:type="dxa"/>
            <w:tcBorders>
              <w:top w:val="single" w:sz="4" w:space="0" w:color="auto"/>
              <w:left w:val="single" w:sz="4" w:space="0" w:color="auto"/>
              <w:bottom w:val="single" w:sz="4" w:space="0" w:color="auto"/>
              <w:right w:val="single" w:sz="4" w:space="0" w:color="auto"/>
            </w:tcBorders>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91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91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Bizonylatok, formanyomtatványok</w:t>
            </w:r>
          </w:p>
        </w:tc>
      </w:tr>
      <w:tr w:rsidR="00C44681" w:rsidTr="001115D6">
        <w:tc>
          <w:tcPr>
            <w:tcW w:w="1128"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9134" w:type="dxa"/>
            <w:tcBorders>
              <w:top w:val="single" w:sz="4" w:space="0" w:color="auto"/>
              <w:left w:val="single" w:sz="4" w:space="0" w:color="auto"/>
              <w:bottom w:val="single" w:sz="4" w:space="0" w:color="auto"/>
              <w:right w:val="single" w:sz="4" w:space="0" w:color="auto"/>
            </w:tcBorders>
            <w:vAlign w:val="center"/>
          </w:tcPr>
          <w:p w:rsidR="00C44681" w:rsidRDefault="00C44681" w:rsidP="001115D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Jogszabály gyűjtemény vagy számítógépes jogtár.</w:t>
            </w:r>
          </w:p>
        </w:tc>
      </w:tr>
    </w:tbl>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EGYEBEK</w:t>
      </w:r>
    </w:p>
    <w:p w:rsidR="00C44681" w:rsidRDefault="00C44681" w:rsidP="00C44681">
      <w:pPr>
        <w:autoSpaceDE w:val="0"/>
        <w:autoSpaceDN w:val="0"/>
        <w:adjustRightInd w:val="0"/>
        <w:spacing w:after="0" w:line="240" w:lineRule="auto"/>
        <w:jc w:val="center"/>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7.1. A modulzáró </w:t>
      </w:r>
      <w:proofErr w:type="gramStart"/>
      <w:r>
        <w:rPr>
          <w:rFonts w:ascii="Times New Roman" w:hAnsi="Times New Roman" w:cs="Times New Roman"/>
          <w:sz w:val="20"/>
          <w:szCs w:val="20"/>
        </w:rPr>
        <w:t>vizsga kötelező</w:t>
      </w:r>
      <w:proofErr w:type="gramEnd"/>
      <w:r>
        <w:rPr>
          <w:rFonts w:ascii="Times New Roman" w:hAnsi="Times New Roman" w:cs="Times New Roman"/>
          <w:sz w:val="20"/>
          <w:szCs w:val="20"/>
        </w:rPr>
        <w:t xml:space="preserve"> tartalmi elemei: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10137-12 Banki ügyfélkapcsolat és kommunikáció, a 10136-12 Banki piac termékeinek értékesítése és a 10140-16 Befektetési piac termékeinek értékesítése szakmai követelménymodulokhoz rendelt írásbeli modulzáró vizsgafeladatait a szakmai követelményekkel összhangban a szakmai képzést folytató intézmény állítja össze.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11504-16 Gazdálkodási alaptevékenység ellátása</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Központi szóbeli tételsor alapján, amely a szakmai követelmények témaköreinek mindegyikét tartalmazhatja.</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10138-16 Banki, befektetési és biztosítási jogi feladatok</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Központi írásbeli feladatsor alapján, amely a szakmai követelmények témaköreinek mindegyikét tartalmazhatja.</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7.2. A modulzáró vizsgatevékenységek alóli felmentés feltételei: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Az a jelölt, aki a közgazdasági felsőoktatás alapképzési szakjainak képesítési követelményeiről szóló 4/1996. (I. 18.) Korm. rendelet szerinti végzettséggel, illetve záróvizsgával vagy a felsőoktatási alap- és mesterképzésről, valamint a szakindítás eljárási rendjéről szóló 289/2005. (XII. 22.) Korm. rendelet szerinti gazdaságtudományok képzési területen szerzett végzettséggel, illetve záróvizsgával vagy a közgazdasági felsőoktatásban folyó szakirányú továbbképzési szakok képesítési követelményeiről szóló 7/1999. (II. 1.) </w:t>
      </w:r>
      <w:proofErr w:type="gramStart"/>
      <w:r>
        <w:rPr>
          <w:rFonts w:ascii="Times New Roman" w:hAnsi="Times New Roman" w:cs="Times New Roman"/>
          <w:sz w:val="20"/>
          <w:szCs w:val="20"/>
        </w:rPr>
        <w:t>OM rendelet alapján szakirányú végzettséggel, rendelkezik, vagy a gazdaságtudományok képzési területen, közgazdaság képzési ágon szerzett végzettséggel, illetve záróvizsgával rendelkezik, felmentést kap a 11504-16 Gazdálkodási alaptevékenység ellátása szakmai követelménymodulhoz rendelt modulzáró vizsga szóbeli, a 10137-12 Banki ügyfélkapcsolat és kommunikáció, a 10136-12 Banki piac termékeinek értékesítése, a 10140-16 Befektetési piac termékeinek értékesítése, valamint az 10138-16 Banki, befektetési és biztosítási jogi feladatok szakmai követelménymodulokhoz rendelt modulzáró vizsga írásbeli</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vizsgatevékenységek</w:t>
      </w:r>
      <w:proofErr w:type="gramEnd"/>
      <w:r>
        <w:rPr>
          <w:rFonts w:ascii="Times New Roman" w:hAnsi="Times New Roman" w:cs="Times New Roman"/>
          <w:sz w:val="20"/>
          <w:szCs w:val="20"/>
        </w:rPr>
        <w:t xml:space="preserve"> alól.</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10138-16 Banki, befektetési és biztosítási jogi feladatok szakmai követelménymodulhoz rendelt modulzáró vizsga írásbeli vizsgatevékenysége alól felmentést kap, aki 1997. január 1. után szerezte meg a tőzsdei szakvizsga jogi részvizsgáját, valamint 1997. január 1. után szerezte meg a Pénzügyi Szervezetek Állami Felügyelete és a Magyar Nemzeti Bank által elismert jogi szakmai vizsgáját.</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Az a jelölt, aki rendelkezik az Államháztartási ügyintéző, </w:t>
      </w:r>
      <w:r>
        <w:rPr>
          <w:rFonts w:ascii="Times New Roman" w:hAnsi="Times New Roman" w:cs="Times New Roman"/>
          <w:color w:val="000000"/>
          <w:sz w:val="20"/>
          <w:szCs w:val="20"/>
        </w:rPr>
        <w:t>Pályázati-támogatási asszisztens</w:t>
      </w:r>
      <w:r>
        <w:rPr>
          <w:rFonts w:ascii="Times New Roman" w:hAnsi="Times New Roman" w:cs="Times New Roman"/>
          <w:sz w:val="20"/>
          <w:szCs w:val="20"/>
        </w:rPr>
        <w:t xml:space="preserve">, Vállalkozási ügyintéző, Pénzügyi-számviteli ügyintéző, Vállalkozási és bérügyintéző szakképesítés, vagy a Pénzügyi ügyintéző, Számviteli ügyintéző, Vállalkozási ügyintéző, Pénzügyi projektmenedzser-asszisztens, Adóügyintéző, Költségvetés-gazdálkodási ügyintéző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bármelyikével felmentést kap a 11504-16 Gazdálkodási alaptevékenység ellátása modulzáró vizsga szóbeli vizsgatevékenysége alól.</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 xml:space="preserve">Az a jelölt, aki rendelkezik Biztosításközvetítő (függő és független)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felmentést kap a 11504-16 Gazdálkodási alaptevékenység ellátása és a 10138-6 Banki, befektetési és biztosítási jogi feladatok modulzáró vizsga szóbeli vizsgatevékenysége alól.</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7.6. pontban meghatározott korábbi szakmai vizsga eredményeinek beszámítása felmentésre ad jogot a hozzárendelt modulzáró vizsga adott vizsgatevékenységének vizsgafeladata alól.</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7.3. A komplex szakmai vizsga vizsgatevékenységeihez rendelt vizsgafeladatok alóli felmentés feltételei: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7.6. pontban meghatározott korábbi szakmai vizsga eredményeinek beszámítása felmentésre ad jogot a hozzárendelt komplex szakmai vizsga adott vizsgatevékenységének vizsgafeladata alól.</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7.4. A szakmai vizsgabizottságban való részvételre kijelölt szakmai szervezet:</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Befektetési Szolgáltatók Szövetsége</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Magyar Bankszövetség</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7.5. A komplex szakmai vizsgáztatás szabályairól szóló 315/2013. (VIII. 28.) Korm. rendelettől (továbbiakban: Korm. rendelet) eltérő rendelkezések</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Korm. rendelet 22. § (1) bekezdésben meghatározottól eltérően a szakmai vizsgát az első vizsgatevékenység napját követő 90 napon belül be kell fejezni.</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A Korm. rendelet 35. § (6) bekezdésben meghatározottól eltérően a kijavított és értékelt írásbeli, központi gyakorlati dolgozatot, az eredeti írásbeli, vagy központi gyakorlati vizsgafeladat egy példányát, a javítási-értékelési útmutatókat a vizsga utolsó vizsgafeladatának megkezdése előtt legalább hét nappal el kell juttatni a vizsgaelnökhöz.</w:t>
      </w: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p>
    <w:p w:rsidR="00C44681" w:rsidRDefault="00C44681" w:rsidP="00C44681">
      <w:pPr>
        <w:autoSpaceDE w:val="0"/>
        <w:autoSpaceDN w:val="0"/>
        <w:adjustRightInd w:val="0"/>
        <w:spacing w:after="0" w:line="240" w:lineRule="auto"/>
        <w:ind w:right="56"/>
        <w:jc w:val="both"/>
        <w:rPr>
          <w:rFonts w:ascii="Times New Roman" w:hAnsi="Times New Roman" w:cs="Times New Roman"/>
          <w:sz w:val="20"/>
          <w:szCs w:val="20"/>
        </w:rPr>
      </w:pPr>
      <w:r>
        <w:rPr>
          <w:rFonts w:ascii="Times New Roman" w:hAnsi="Times New Roman" w:cs="Times New Roman"/>
          <w:sz w:val="20"/>
          <w:szCs w:val="20"/>
        </w:rPr>
        <w:t>7.6. Korábbi szakmai vizsga beszámítása</w:t>
      </w:r>
    </w:p>
    <w:p w:rsidR="00C44681" w:rsidRDefault="00C44681" w:rsidP="00C4468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pénzügyminiszter hatáskörébe tartozó szakképesítések szakmai és vizsgakövetelményeiről szóló 23/2008. (VIII. 8.) PM rendelet alapján megkezdett szakmai vizsgák eredményes vizsgarészeinek beszámítására 2017. december 31-ig a szakképesítésért felelős miniszter honlapján közreadott vizsga-egyenértékűségi tábla az irányadó.</w:t>
      </w:r>
    </w:p>
    <w:p w:rsidR="00C44681" w:rsidRDefault="00C44681" w:rsidP="00C44681">
      <w:pPr>
        <w:autoSpaceDE w:val="0"/>
        <w:autoSpaceDN w:val="0"/>
        <w:adjustRightInd w:val="0"/>
        <w:spacing w:after="20" w:line="240" w:lineRule="auto"/>
        <w:ind w:firstLine="142"/>
        <w:jc w:val="both"/>
        <w:rPr>
          <w:rFonts w:ascii="Times New Roman" w:hAnsi="Times New Roman" w:cs="Times New Roman"/>
          <w:sz w:val="20"/>
          <w:szCs w:val="20"/>
        </w:rPr>
      </w:pPr>
    </w:p>
    <w:p w:rsidR="00C44681" w:rsidRDefault="00C44681" w:rsidP="00C44681">
      <w:pPr>
        <w:autoSpaceDE w:val="0"/>
        <w:autoSpaceDN w:val="0"/>
        <w:adjustRightInd w:val="0"/>
        <w:spacing w:after="20" w:line="240" w:lineRule="auto"/>
        <w:ind w:firstLine="142"/>
        <w:jc w:val="both"/>
        <w:rPr>
          <w:rFonts w:ascii="Times New Roman" w:hAnsi="Times New Roman" w:cs="Times New Roman"/>
          <w:sz w:val="20"/>
          <w:szCs w:val="20"/>
        </w:rPr>
      </w:pPr>
    </w:p>
    <w:p w:rsidR="00C44681" w:rsidRDefault="00C44681" w:rsidP="00C44681">
      <w:pPr>
        <w:autoSpaceDE w:val="0"/>
        <w:autoSpaceDN w:val="0"/>
        <w:adjustRightInd w:val="0"/>
        <w:spacing w:after="20" w:line="240" w:lineRule="auto"/>
        <w:ind w:firstLine="142"/>
        <w:jc w:val="both"/>
        <w:rPr>
          <w:rFonts w:ascii="Times New Roman" w:hAnsi="Times New Roman" w:cs="Times New Roman"/>
          <w:sz w:val="20"/>
          <w:szCs w:val="20"/>
        </w:rPr>
      </w:pPr>
    </w:p>
    <w:p w:rsidR="00D1366C" w:rsidRDefault="00D1366C"/>
    <w:sectPr w:rsidR="00D136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26" w:rsidRDefault="00DB5F26" w:rsidP="00DB5F26">
      <w:pPr>
        <w:spacing w:after="0" w:line="240" w:lineRule="auto"/>
      </w:pPr>
      <w:r>
        <w:separator/>
      </w:r>
    </w:p>
  </w:endnote>
  <w:endnote w:type="continuationSeparator" w:id="0">
    <w:p w:rsidR="00DB5F26" w:rsidRDefault="00DB5F26" w:rsidP="00DB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26" w:rsidRDefault="00DB5F26" w:rsidP="00DB5F26">
      <w:pPr>
        <w:spacing w:after="0" w:line="240" w:lineRule="auto"/>
      </w:pPr>
      <w:r>
        <w:separator/>
      </w:r>
    </w:p>
  </w:footnote>
  <w:footnote w:type="continuationSeparator" w:id="0">
    <w:p w:rsidR="00DB5F26" w:rsidRDefault="00DB5F26" w:rsidP="00DB5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DB5F26" w:rsidRDefault="00DB5F26" w:rsidP="00DB5F26">
    <w:pPr>
      <w:shd w:val="clear" w:color="auto" w:fill="FFFFFF"/>
      <w:spacing w:line="240" w:lineRule="auto"/>
      <w:jc w:val="center"/>
      <w:rPr>
        <w:rFonts w:ascii="Times New Roman" w:hAnsi="Times New Roman" w:cs="Times New Roman"/>
        <w:color w:val="808080" w:themeColor="background1" w:themeShade="80"/>
        <w:sz w:val="18"/>
        <w:szCs w:val="18"/>
      </w:rPr>
    </w:pPr>
    <w:r w:rsidRPr="00DB5F26">
      <w:fldChar w:fldCharType="begin"/>
    </w:r>
    <w:r w:rsidRPr="00DB5F26">
      <w:instrText xml:space="preserve"> HYPERLINK "https://www.nive.hu/Downloads/Szakkepzesi_dokumentumok/rendeletek_es_kozlemenyek/DL.php?f=29_2016_VIII_26_NGM_rendelet.pdf" </w:instrText>
    </w:r>
    <w:r w:rsidRPr="00DB5F26">
      <w:fldChar w:fldCharType="separate"/>
    </w:r>
    <w:r w:rsidRPr="00DB5F26">
      <w:rPr>
        <w:rStyle w:val="Hiperhivatkozs"/>
        <w:rFonts w:ascii="Times New Roman" w:hAnsi="Times New Roman" w:cs="Times New Roman"/>
        <w:color w:val="808080" w:themeColor="background1" w:themeShade="80"/>
        <w:sz w:val="18"/>
        <w:szCs w:val="18"/>
        <w:u w:val="none"/>
      </w:rPr>
      <w:t>29/2016. (VIII. 26.) NGM rendelet</w:t>
    </w:r>
    <w:r w:rsidRPr="00DB5F26">
      <w:fldChar w:fldCharType="end"/>
    </w:r>
    <w:r w:rsidRPr="00DB5F26">
      <w:rPr>
        <w:rFonts w:ascii="Times New Roman" w:hAnsi="Times New Roman" w:cs="Times New Roman"/>
        <w:color w:val="808080" w:themeColor="background1" w:themeShade="80"/>
        <w:sz w:val="18"/>
        <w:szCs w:val="18"/>
      </w:rPr>
      <w:t> </w:t>
    </w:r>
    <w:r>
      <w:rPr>
        <w:rFonts w:ascii="Times New Roman" w:hAnsi="Times New Roman" w:cs="Times New Roman"/>
        <w:color w:val="808080" w:themeColor="background1" w:themeShade="80"/>
        <w:sz w:val="18"/>
        <w:szCs w:val="18"/>
      </w:rPr>
      <w:t xml:space="preserve">a nemzetgazdasági miniszter hatáskörébe tartozó szakképesítések szakmai és vizsgakövetelményeiről </w:t>
    </w:r>
    <w:r w:rsidRPr="00DB5F26">
      <w:rPr>
        <w:rFonts w:ascii="Times New Roman" w:hAnsi="Times New Roman" w:cs="Times New Roman"/>
        <w:color w:val="808080" w:themeColor="background1" w:themeShade="80"/>
        <w:sz w:val="18"/>
        <w:szCs w:val="18"/>
      </w:rPr>
      <w:t>szóló </w:t>
    </w:r>
    <w:hyperlink r:id="rId1" w:tgtFrame="_blank" w:history="1">
      <w:r w:rsidRPr="00DB5F26">
        <w:rPr>
          <w:rStyle w:val="Hiperhivatkozs"/>
          <w:rFonts w:ascii="Times New Roman" w:hAnsi="Times New Roman" w:cs="Times New Roman"/>
          <w:color w:val="808080" w:themeColor="background1" w:themeShade="80"/>
          <w:sz w:val="18"/>
          <w:szCs w:val="18"/>
          <w:u w:val="none"/>
        </w:rPr>
        <w:t>27/2012. (VIII. 27.) NGM rendelet</w:t>
      </w:r>
    </w:hyperlink>
    <w:r>
      <w:rPr>
        <w:rFonts w:ascii="Times New Roman" w:hAnsi="Times New Roman" w:cs="Times New Roman"/>
        <w:color w:val="808080" w:themeColor="background1" w:themeShade="80"/>
        <w:sz w:val="18"/>
        <w:szCs w:val="18"/>
      </w:rPr>
      <w:t> módosításáról</w:t>
    </w:r>
  </w:p>
  <w:p w:rsidR="00DB5F26" w:rsidRDefault="00DB5F26" w:rsidP="00DB5F26">
    <w:pPr>
      <w:spacing w:line="240" w:lineRule="auto"/>
      <w:jc w:val="center"/>
    </w:pPr>
    <w:r>
      <w:rPr>
        <w:rFonts w:ascii="Times New Roman" w:hAnsi="Times New Roman" w:cs="Times New Roman"/>
        <w:color w:val="808080" w:themeColor="background1" w:themeShade="80"/>
        <w:sz w:val="18"/>
        <w:szCs w:val="18"/>
      </w:rPr>
      <w:t>Hatályos: 2016.09.01-től</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81"/>
    <w:rsid w:val="00C44681"/>
    <w:rsid w:val="00D1366C"/>
    <w:rsid w:val="00DB5F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6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5F26"/>
    <w:pPr>
      <w:tabs>
        <w:tab w:val="center" w:pos="4536"/>
        <w:tab w:val="right" w:pos="9072"/>
      </w:tabs>
      <w:spacing w:after="0" w:line="240" w:lineRule="auto"/>
    </w:pPr>
  </w:style>
  <w:style w:type="character" w:customStyle="1" w:styleId="lfejChar">
    <w:name w:val="Élőfej Char"/>
    <w:basedOn w:val="Bekezdsalapbettpusa"/>
    <w:link w:val="lfej"/>
    <w:uiPriority w:val="99"/>
    <w:rsid w:val="00DB5F26"/>
  </w:style>
  <w:style w:type="paragraph" w:styleId="llb">
    <w:name w:val="footer"/>
    <w:basedOn w:val="Norml"/>
    <w:link w:val="llbChar"/>
    <w:uiPriority w:val="99"/>
    <w:unhideWhenUsed/>
    <w:rsid w:val="00DB5F26"/>
    <w:pPr>
      <w:tabs>
        <w:tab w:val="center" w:pos="4536"/>
        <w:tab w:val="right" w:pos="9072"/>
      </w:tabs>
      <w:spacing w:after="0" w:line="240" w:lineRule="auto"/>
    </w:pPr>
  </w:style>
  <w:style w:type="character" w:customStyle="1" w:styleId="llbChar">
    <w:name w:val="Élőláb Char"/>
    <w:basedOn w:val="Bekezdsalapbettpusa"/>
    <w:link w:val="llb"/>
    <w:uiPriority w:val="99"/>
    <w:rsid w:val="00DB5F26"/>
  </w:style>
  <w:style w:type="character" w:styleId="Hiperhivatkozs">
    <w:name w:val="Hyperlink"/>
    <w:basedOn w:val="Bekezdsalapbettpusa"/>
    <w:uiPriority w:val="99"/>
    <w:semiHidden/>
    <w:unhideWhenUsed/>
    <w:rsid w:val="00DB5F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6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5F26"/>
    <w:pPr>
      <w:tabs>
        <w:tab w:val="center" w:pos="4536"/>
        <w:tab w:val="right" w:pos="9072"/>
      </w:tabs>
      <w:spacing w:after="0" w:line="240" w:lineRule="auto"/>
    </w:pPr>
  </w:style>
  <w:style w:type="character" w:customStyle="1" w:styleId="lfejChar">
    <w:name w:val="Élőfej Char"/>
    <w:basedOn w:val="Bekezdsalapbettpusa"/>
    <w:link w:val="lfej"/>
    <w:uiPriority w:val="99"/>
    <w:rsid w:val="00DB5F26"/>
  </w:style>
  <w:style w:type="paragraph" w:styleId="llb">
    <w:name w:val="footer"/>
    <w:basedOn w:val="Norml"/>
    <w:link w:val="llbChar"/>
    <w:uiPriority w:val="99"/>
    <w:unhideWhenUsed/>
    <w:rsid w:val="00DB5F26"/>
    <w:pPr>
      <w:tabs>
        <w:tab w:val="center" w:pos="4536"/>
        <w:tab w:val="right" w:pos="9072"/>
      </w:tabs>
      <w:spacing w:after="0" w:line="240" w:lineRule="auto"/>
    </w:pPr>
  </w:style>
  <w:style w:type="character" w:customStyle="1" w:styleId="llbChar">
    <w:name w:val="Élőláb Char"/>
    <w:basedOn w:val="Bekezdsalapbettpusa"/>
    <w:link w:val="llb"/>
    <w:uiPriority w:val="99"/>
    <w:rsid w:val="00DB5F26"/>
  </w:style>
  <w:style w:type="character" w:styleId="Hiperhivatkozs">
    <w:name w:val="Hyperlink"/>
    <w:basedOn w:val="Bekezdsalapbettpusa"/>
    <w:uiPriority w:val="99"/>
    <w:semiHidden/>
    <w:unhideWhenUsed/>
    <w:rsid w:val="00DB5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njt.hu/cgi_bin/njt_doc.cgi?docid=154038.32605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2242</Words>
  <Characters>15471</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NSZFH</cp:lastModifiedBy>
  <cp:revision>3</cp:revision>
  <cp:lastPrinted>2016-09-05T12:27:00Z</cp:lastPrinted>
  <dcterms:created xsi:type="dcterms:W3CDTF">2016-09-05T12:25:00Z</dcterms:created>
  <dcterms:modified xsi:type="dcterms:W3CDTF">2016-09-27T11:51:00Z</dcterms:modified>
</cp:coreProperties>
</file>