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CC" w:rsidRDefault="00C72FCC" w:rsidP="00C72FCC">
      <w:pPr>
        <w:widowControl w:val="0"/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A 15. sorszámú Egészségügyi kártevőirtó és fertőtlenítő megnevezésű szakképesítés szakmai és vizsgakövetelménye</w:t>
      </w:r>
    </w:p>
    <w:p w:rsidR="00C72FCC" w:rsidRDefault="00C72FCC" w:rsidP="00C72FCC">
      <w:pPr>
        <w:widowControl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C72FCC" w:rsidRDefault="00C72FCC" w:rsidP="00C72FCC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1. AZ ORSZÁGOS KÉPZÉSI JEGYZÉKBEN SZEREPLŐ ADATOK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>
        <w:rPr>
          <w:sz w:val="20"/>
          <w:szCs w:val="20"/>
        </w:rPr>
        <w:tab/>
        <w:t>A szakképesítés azonosító száma: 32 853 01</w:t>
      </w:r>
    </w:p>
    <w:p w:rsidR="00C72FCC" w:rsidRDefault="00C72FCC" w:rsidP="00C72FCC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>
        <w:rPr>
          <w:sz w:val="20"/>
          <w:szCs w:val="20"/>
        </w:rPr>
        <w:tab/>
        <w:t>Szakképesítés megnevezése: Egészségügyi kártevőirtó és fertőtlenítő</w:t>
      </w:r>
    </w:p>
    <w:p w:rsidR="00C72FCC" w:rsidRDefault="00C72FCC" w:rsidP="00C72FCC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>Iskolai rendszerű szakképzésben a szakképzési évfolyamok száma: –</w:t>
      </w:r>
    </w:p>
    <w:p w:rsidR="00C72FCC" w:rsidRDefault="00C72FCC" w:rsidP="00C72FCC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>Iskolarendszeren kívüli szakképzésben az óraszám: 1100–1440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2. EGYÉB ADATOK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>
        <w:rPr>
          <w:sz w:val="20"/>
          <w:szCs w:val="20"/>
        </w:rPr>
        <w:tab/>
        <w:t>A képzés megkezdésének feltételei:</w:t>
      </w:r>
    </w:p>
    <w:p w:rsidR="00C72FCC" w:rsidRDefault="00C72FCC" w:rsidP="00C72FCC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tabs>
          <w:tab w:val="left" w:pos="600"/>
        </w:tabs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>
        <w:rPr>
          <w:sz w:val="20"/>
          <w:szCs w:val="20"/>
        </w:rPr>
        <w:tab/>
        <w:t>Iskolai előképzettség: alapfokú iskolai végzettség</w:t>
      </w:r>
    </w:p>
    <w:p w:rsidR="00C72FCC" w:rsidRDefault="00C72FCC" w:rsidP="00C72FCC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tabs>
          <w:tab w:val="left" w:pos="600"/>
        </w:tabs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>
        <w:rPr>
          <w:sz w:val="20"/>
          <w:szCs w:val="20"/>
        </w:rPr>
        <w:tab/>
        <w:t>Bemeneti kompetenciák: –</w:t>
      </w:r>
    </w:p>
    <w:p w:rsidR="00C72FCC" w:rsidRDefault="00C72FCC" w:rsidP="00C72FCC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>
        <w:rPr>
          <w:sz w:val="20"/>
          <w:szCs w:val="20"/>
        </w:rPr>
        <w:tab/>
        <w:t>Szakmai előképzettség: –</w:t>
      </w:r>
    </w:p>
    <w:p w:rsidR="00C72FCC" w:rsidRDefault="00C72FCC" w:rsidP="00C72FCC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2.3.</w:t>
      </w:r>
      <w:r>
        <w:rPr>
          <w:sz w:val="20"/>
          <w:szCs w:val="20"/>
        </w:rPr>
        <w:tab/>
        <w:t>Előírt gyakorlat: –</w:t>
      </w:r>
    </w:p>
    <w:p w:rsidR="00C72FCC" w:rsidRDefault="00C72FCC" w:rsidP="00C72FCC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2.4.</w:t>
      </w:r>
      <w:r>
        <w:rPr>
          <w:sz w:val="20"/>
          <w:szCs w:val="20"/>
        </w:rPr>
        <w:tab/>
        <w:t>Egészségügyi alkalmassági követelmények: szükségesek</w:t>
      </w:r>
    </w:p>
    <w:p w:rsidR="00C72FCC" w:rsidRDefault="00C72FCC" w:rsidP="00C72FCC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2.5.</w:t>
      </w:r>
      <w:r>
        <w:rPr>
          <w:sz w:val="20"/>
          <w:szCs w:val="20"/>
        </w:rPr>
        <w:tab/>
        <w:t>Pályaalkalmassági követelmények: –</w:t>
      </w:r>
    </w:p>
    <w:p w:rsidR="00C72FCC" w:rsidRDefault="00C72FCC" w:rsidP="00C72FCC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2.6.</w:t>
      </w:r>
      <w:r>
        <w:rPr>
          <w:sz w:val="20"/>
          <w:szCs w:val="20"/>
        </w:rPr>
        <w:tab/>
        <w:t>Elméleti képzési idő aránya: 50%</w:t>
      </w:r>
    </w:p>
    <w:p w:rsidR="00C72FCC" w:rsidRDefault="00C72FCC" w:rsidP="00C72FCC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2.7.</w:t>
      </w:r>
      <w:r>
        <w:rPr>
          <w:sz w:val="20"/>
          <w:szCs w:val="20"/>
        </w:rPr>
        <w:tab/>
        <w:t>Gyakorlati képzési idő aránya: 50%</w:t>
      </w:r>
    </w:p>
    <w:p w:rsidR="00C72FCC" w:rsidRDefault="00C72FCC" w:rsidP="00C72FCC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2.8.</w:t>
      </w:r>
      <w:r>
        <w:rPr>
          <w:sz w:val="20"/>
          <w:szCs w:val="20"/>
        </w:rPr>
        <w:tab/>
        <w:t>Szintvizsga: –</w:t>
      </w:r>
    </w:p>
    <w:p w:rsidR="00C72FCC" w:rsidRDefault="00C72FCC" w:rsidP="00C72FCC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2.9.</w:t>
      </w:r>
      <w:r>
        <w:rPr>
          <w:sz w:val="20"/>
          <w:szCs w:val="20"/>
        </w:rPr>
        <w:tab/>
        <w:t>Az iskolai rendszerű képzésben az összefüggő szakmai gyakorlat időtartama: –</w:t>
      </w:r>
    </w:p>
    <w:p w:rsidR="00C72FCC" w:rsidRDefault="00C72FCC" w:rsidP="00C72FCC">
      <w:pPr>
        <w:widowControl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C72FCC" w:rsidRDefault="00C72FCC" w:rsidP="00C72FCC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3. PÁLYATÜKÖR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>A szakképesítéssel legjellemzőbben betölthető munkakör, munkakörök, foglalkozás, foglalkozások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759"/>
        <w:gridCol w:w="1580"/>
        <w:gridCol w:w="2815"/>
        <w:gridCol w:w="4627"/>
      </w:tblGrid>
      <w:tr w:rsidR="00C72FCC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7914</w:t>
            </w:r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Kártevőirtó, gyomirtó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Kártevőirtó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Rágcsálóirtó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</w:t>
            </w: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Rovarirtó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3.1.5.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3339</w:t>
            </w:r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Egyéb, humánegészségügyhöz kapcsolódó foglalkozású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Egészségőr, fertőtlenítő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3.1.6.</w:t>
            </w: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kártevőirtó és fertőtlenítő</w:t>
            </w:r>
          </w:p>
        </w:tc>
      </w:tr>
    </w:tbl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>
        <w:rPr>
          <w:sz w:val="20"/>
          <w:szCs w:val="20"/>
        </w:rPr>
        <w:tab/>
        <w:t>A szakképesítés munkaterületének rövid leírása: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ember közvetlen környezetében végzi az egészségügyi szempontból káros rovarok és rágcsálók irtását, szabadforgalmú, veszélyes irtószerekkel, gázosítás során közreműködik az egészségügyi gázmester utasításainak megfelelően. Munkáját elsődlegesen egészségügyi intézmények, kereskedelmi– és </w:t>
      </w:r>
      <w:proofErr w:type="spellStart"/>
      <w:r>
        <w:rPr>
          <w:sz w:val="20"/>
          <w:szCs w:val="20"/>
        </w:rPr>
        <w:t>vendéglátóipari</w:t>
      </w:r>
      <w:proofErr w:type="spellEnd"/>
      <w:r>
        <w:rPr>
          <w:sz w:val="20"/>
          <w:szCs w:val="20"/>
        </w:rPr>
        <w:t xml:space="preserve"> szolgáltatók, ipar, mezőgazdaság (raktározott terményvédelem) területén végzi. Utasításra, a közreműködő hatóság, vagy a közegészségügyi–járványügyi szakemberek irányítása mellett közegészségügyi, prevenciós és </w:t>
      </w:r>
      <w:r>
        <w:rPr>
          <w:sz w:val="20"/>
          <w:szCs w:val="20"/>
        </w:rPr>
        <w:lastRenderedPageBreak/>
        <w:t>járványmegelőzéssel kapcsolatos feladatokat lát el.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szakképesítéssel rendelkező képes:</w:t>
      </w:r>
    </w:p>
    <w:p w:rsidR="00C72FCC" w:rsidRDefault="00C72FCC" w:rsidP="00C72FCC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munkáját környezettudatosan, az ökológiai alapelveket figyelembe véve végezni</w:t>
      </w:r>
    </w:p>
    <w:p w:rsidR="00C72FCC" w:rsidRDefault="00C72FCC" w:rsidP="00C72FCC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felelősségteljesen végezni feladatát</w:t>
      </w:r>
    </w:p>
    <w:p w:rsidR="00C72FCC" w:rsidRDefault="00C72FCC" w:rsidP="00C72FCC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kártevő–mentesítéssel kapcsolatos szakmai tanácsot adni</w:t>
      </w:r>
    </w:p>
    <w:p w:rsidR="00C72FCC" w:rsidRDefault="00C72FCC" w:rsidP="00C72FCC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észlelni és felmérni a káros rovarok és rágcsálók jelenlétét</w:t>
      </w:r>
    </w:p>
    <w:p w:rsidR="00C72FCC" w:rsidRDefault="00C72FCC" w:rsidP="00C72FCC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felismerni az irtást nehezítő környezeti vagy emberi tényezőket</w:t>
      </w:r>
    </w:p>
    <w:p w:rsidR="00C72FCC" w:rsidRDefault="00C72FCC" w:rsidP="00C72FCC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 káros rovarok, rágcsálók irtásához megfelelő irtószereket és gázosítószereket beszerezni</w:t>
      </w:r>
    </w:p>
    <w:p w:rsidR="00C72FCC" w:rsidRDefault="00C72FCC" w:rsidP="00C72FCC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az irtószereket biztonságosan szállítani és tárolni</w:t>
      </w:r>
    </w:p>
    <w:p w:rsidR="00C72FCC" w:rsidRDefault="00C72FCC" w:rsidP="00C72FCC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 munkavédelmi és tűzvédelmi szempontokat messzemenően betartani</w:t>
      </w:r>
    </w:p>
    <w:p w:rsidR="00C72FCC" w:rsidRDefault="00C72FCC" w:rsidP="00C72FCC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felmérni az irtószerek munkaegészségügyi, </w:t>
      </w:r>
      <w:proofErr w:type="spellStart"/>
      <w:r>
        <w:rPr>
          <w:sz w:val="20"/>
          <w:szCs w:val="20"/>
        </w:rPr>
        <w:t>környezetegészségügyi</w:t>
      </w:r>
      <w:proofErr w:type="spellEnd"/>
      <w:r>
        <w:rPr>
          <w:sz w:val="20"/>
          <w:szCs w:val="20"/>
        </w:rPr>
        <w:t xml:space="preserve"> kockázatát és toxicitásuk esetleges következményeit</w:t>
      </w:r>
    </w:p>
    <w:p w:rsidR="00C72FCC" w:rsidRDefault="00C72FCC" w:rsidP="00C72FCC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szakszerűen és biztonságosan használni az irtószereket</w:t>
      </w:r>
    </w:p>
    <w:p w:rsidR="00C72FCC" w:rsidRDefault="00C72FCC" w:rsidP="00C72FCC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közegészségügyi, prevenciós és járványmegelőzéssel kapcsolatos feladatokat ellátni</w:t>
      </w:r>
    </w:p>
    <w:p w:rsidR="00C72FCC" w:rsidRDefault="00C72FCC" w:rsidP="00C72FCC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részt venni az egészségügyi intézmények fertőtlenítéshez és sterilizáláshoz kapcsolódó folyamataiban</w:t>
      </w:r>
    </w:p>
    <w:p w:rsidR="00C72FCC" w:rsidRDefault="00C72FCC" w:rsidP="00C72FCC">
      <w:pPr>
        <w:widowControl w:val="0"/>
        <w:spacing w:after="0" w:line="240" w:lineRule="auto"/>
        <w:ind w:left="360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>
        <w:rPr>
          <w:sz w:val="20"/>
          <w:szCs w:val="20"/>
        </w:rPr>
        <w:tab/>
        <w:t>Kapcsolódó szakképesítések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837"/>
        <w:gridCol w:w="3967"/>
      </w:tblGrid>
      <w:tr w:rsidR="00C72FCC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>, szakképesítés–ráépülés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53 853 01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gázmester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szakképesítés–ráépülés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55 720 01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gyakorlatvezető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szakképesítés–ráépülés</w:t>
            </w:r>
          </w:p>
        </w:tc>
      </w:tr>
    </w:tbl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4. SZAKMAI KÖVETELMÉNYEK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1417"/>
        <w:gridCol w:w="8080"/>
      </w:tblGrid>
      <w:tr w:rsidR="00C72FCC" w:rsidTr="001349B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</w:t>
            </w:r>
          </w:p>
          <w:p w:rsidR="00C72FCC" w:rsidRDefault="00C72FCC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11127–12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Általános egészségügyi alapmodul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11128–12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Elsősegélynyújtás, toxikológia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11130–12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Fertőtlenítés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11129–12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Kártevőirtás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11497–12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Foglalkoztatás I.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11499–12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Foglalkoztatás II.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11500–12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Munkahelyi egészség és biztonság</w:t>
            </w:r>
          </w:p>
        </w:tc>
      </w:tr>
    </w:tbl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5. VIZSGÁZTATÁSI KÖVETELMÉNYEK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>A komplex szakmai vizsgára bocsátás feltételei: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Az iskolarendszeren kívüli szakképzésben az 5.2. alpontban előírt valamennyi modulzáró vizsga eredményes letétele, az előírt szakmai gyakorlatok igazolt teljesítése.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A modulzáró vizsga vizsgatevékenysége és az eredményesség feltétele: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1857"/>
        <w:gridCol w:w="3186"/>
        <w:gridCol w:w="4171"/>
      </w:tblGrid>
      <w:tr w:rsidR="00C72FCC" w:rsidTr="001349B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</w:t>
            </w:r>
          </w:p>
          <w:p w:rsidR="00C72FCC" w:rsidRDefault="00C72FCC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száma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  <w:p w:rsidR="00C72FCC" w:rsidRDefault="00C72FCC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megnevezése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 modulzáró vizsga vizsgatevékenysége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5.2.3.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11127–12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Általános egészségügyi alapmodul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 és szóbeli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11128–12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Elsősegélynyújtás, toxikológia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5.2.5.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11130–12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Fertőtlenítés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 és szóbeli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5.2.6.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11129–12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Kártevőirtás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 és szóbeli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5.2.7.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11497–12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Foglalkoztatás I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5.2.8.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11499–12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Foglalkoztatás II.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5.2.9.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11500–12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Munkahelyi egészség és biztonság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</w:tr>
    </w:tbl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Egy szakmai követelménymodulhoz kapcsolódó modulzáró vizsga akkor eredményes, ha a modulhoz előírt feladat végrehajtása legalább 51%–</w:t>
      </w:r>
      <w:proofErr w:type="spellStart"/>
      <w:r>
        <w:rPr>
          <w:sz w:val="20"/>
          <w:szCs w:val="20"/>
        </w:rPr>
        <w:t>osra</w:t>
      </w:r>
      <w:proofErr w:type="spellEnd"/>
      <w:r>
        <w:rPr>
          <w:sz w:val="20"/>
          <w:szCs w:val="20"/>
        </w:rPr>
        <w:t xml:space="preserve"> értékelhető.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</w:t>
      </w:r>
      <w:r>
        <w:rPr>
          <w:sz w:val="20"/>
          <w:szCs w:val="20"/>
        </w:rPr>
        <w:tab/>
        <w:t>A komplex szakmai vizsga vizsgatevékenységei és vizsgafeladatai: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tabs>
          <w:tab w:val="left" w:pos="6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5.3.1.</w:t>
      </w:r>
      <w:r>
        <w:rPr>
          <w:sz w:val="20"/>
          <w:szCs w:val="20"/>
        </w:rPr>
        <w:tab/>
        <w:t>Gyakorlati vizsgatevékenység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tabs>
          <w:tab w:val="left" w:pos="36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A</w:t>
      </w:r>
      <w:proofErr w:type="spellEnd"/>
      <w:proofErr w:type="gramEnd"/>
      <w:r>
        <w:rPr>
          <w:sz w:val="20"/>
          <w:szCs w:val="20"/>
        </w:rPr>
        <w:t xml:space="preserve"> vizsgafeladat megnevezése: Kártevőirtás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Feladatleírásban rögzítetten, meghatározás után kiválasztja a célszervezetet, a megfelelő módszert, technológiát, a szükséges gépeket, eszközöket, anyagokat, védőfelszereléseket, elvégzi a szükséges tájékoztatást, felvilágosítást és a tevékenységgel kapcsolatos adminisztrációt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30 perc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50%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tabs>
          <w:tab w:val="left" w:pos="3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vizsgafeladat megnevezése: Fertőtlenítés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Feladatleírásban rögzítetten, meghatározás után kiválasztja a megfelelő módszert, technológiát, a szükséges gépeket, eszközöket, anyagokat, védőfelszereléseket, elvégzi a fertőtlenítést és ellátja az azzal kapcsolatos adminisztrációt.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30 perc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20%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tabs>
          <w:tab w:val="left" w:pos="6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5.3.2.</w:t>
      </w:r>
      <w:r>
        <w:rPr>
          <w:sz w:val="20"/>
          <w:szCs w:val="20"/>
        </w:rPr>
        <w:tab/>
        <w:t>Központi írásbeli vizsgatevékenység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megnevezése: –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–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vizsgafeladat időtartama: – 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–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tabs>
          <w:tab w:val="left" w:pos="6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5.3.3.</w:t>
      </w:r>
      <w:r>
        <w:rPr>
          <w:sz w:val="20"/>
          <w:szCs w:val="20"/>
        </w:rPr>
        <w:tab/>
        <w:t>Szóbeli vizsgatevékenység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megnevezése: Kártevők elleni védekezés és fertőtlenítés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A szóbeli vizsgatevékenység központilag összeállított vizsgakérdései a 4. Szakmai követelmények fejezetben szereplő 11127–12 Általános egészségügyi alapmodul, 11128–12 Elsősegélynyújtás, toxikológia, 11130–12 Fertőtlenítés, 11129–12 Kártevőirtás szakmai követelménymodulok témaköreinek mindegyikét tartalmazzák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45 perc (felkészülési idő 30 perc, válaszadási idő 15 perc)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30%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5.4.</w:t>
      </w:r>
      <w:r>
        <w:rPr>
          <w:sz w:val="20"/>
          <w:szCs w:val="20"/>
        </w:rPr>
        <w:tab/>
        <w:t xml:space="preserve">A vizsgatevékenységek szervezésére, azok vizsgaidőpontjaira, a vizsgaidőszakokra, a vizsgatevékenységek vizsgatételeire, értékelési útmutatóira és egyéb dokumentumaira, a vizsgán használható segédeszközökre </w:t>
      </w:r>
      <w:r>
        <w:rPr>
          <w:sz w:val="20"/>
          <w:szCs w:val="20"/>
        </w:rPr>
        <w:lastRenderedPageBreak/>
        <w:t>vonatkozó részletes szabályok: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szakképesítéssel kapcsolatos előírások az állami szakképzési és felnőttképzési szerv http://www.nive.hu/ című weblapján érhetők el a Szak– és Felnőttképzés Vizsgák menüpontban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5.5.</w:t>
      </w:r>
      <w:r>
        <w:rPr>
          <w:sz w:val="20"/>
          <w:szCs w:val="20"/>
        </w:rPr>
        <w:tab/>
        <w:t>A szakmai vizsga értékelésének a szakmai vizsgaszabályzattól eltérő szempontjai: –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ESZKÖZ– </w:t>
      </w:r>
      <w:proofErr w:type="gramStart"/>
      <w:r>
        <w:rPr>
          <w:b/>
          <w:bCs/>
          <w:sz w:val="20"/>
          <w:szCs w:val="20"/>
        </w:rPr>
        <w:t>ÉS</w:t>
      </w:r>
      <w:proofErr w:type="gramEnd"/>
      <w:r>
        <w:rPr>
          <w:b/>
          <w:bCs/>
          <w:sz w:val="20"/>
          <w:szCs w:val="20"/>
        </w:rPr>
        <w:t xml:space="preserve"> FELSZERELÉSI JEGYZÉK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28"/>
        <w:gridCol w:w="778"/>
        <w:gridCol w:w="7500"/>
      </w:tblGrid>
      <w:tr w:rsidR="00C72FCC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képzési és vizsgáztatási feladatok teljesítéséhez szükséges eszközök minimumát meghatározó eszköz– és felszerelési jegyzék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védőeszközök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védőeszközök gázosításhoz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Légzésvédőhöz betétek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Vegyszer kimutatásához szükséges eszközök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Mentőládák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Gyógyszerek/ellenszerek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Elsősegélynyújtó eszközök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Biocid</w:t>
            </w:r>
            <w:proofErr w:type="spellEnd"/>
            <w:r>
              <w:rPr>
                <w:sz w:val="20"/>
                <w:szCs w:val="20"/>
              </w:rPr>
              <w:t xml:space="preserve"> szerek </w:t>
            </w:r>
            <w:proofErr w:type="gramStart"/>
            <w:r>
              <w:rPr>
                <w:sz w:val="20"/>
                <w:szCs w:val="20"/>
              </w:rPr>
              <w:t>( I</w:t>
            </w:r>
            <w:proofErr w:type="gramEnd"/>
            <w:r>
              <w:rPr>
                <w:sz w:val="20"/>
                <w:szCs w:val="20"/>
              </w:rPr>
              <w:t xml:space="preserve"> – II – III. kategóriás)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Permetezőgépek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Porozó gépek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Benzinmotoros gépek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Ultra </w:t>
            </w:r>
            <w:proofErr w:type="spellStart"/>
            <w:r>
              <w:rPr>
                <w:sz w:val="20"/>
                <w:szCs w:val="20"/>
              </w:rPr>
              <w:t>Low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Volume</w:t>
            </w:r>
            <w:proofErr w:type="spellEnd"/>
            <w:r>
              <w:rPr>
                <w:sz w:val="20"/>
                <w:szCs w:val="20"/>
              </w:rPr>
              <w:t>–gépek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Hidegködképző</w:t>
            </w:r>
            <w:proofErr w:type="spellEnd"/>
            <w:r>
              <w:rPr>
                <w:sz w:val="20"/>
                <w:szCs w:val="20"/>
              </w:rPr>
              <w:t xml:space="preserve"> gépek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Melegködképző</w:t>
            </w:r>
            <w:proofErr w:type="spellEnd"/>
            <w:r>
              <w:rPr>
                <w:sz w:val="20"/>
                <w:szCs w:val="20"/>
              </w:rPr>
              <w:t xml:space="preserve"> gépek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6.16.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Gélkijuttató</w:t>
            </w:r>
            <w:proofErr w:type="spellEnd"/>
            <w:r>
              <w:rPr>
                <w:sz w:val="20"/>
                <w:szCs w:val="20"/>
              </w:rPr>
              <w:t xml:space="preserve"> eszközök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6.17.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Készítmények keveréséhez alapanyagok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6.18.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Készítmények keveréséhez segédanyagok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6.19.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Készítmények keveréséhez eszközök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6.20.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Készítmények kijuttatásához eszközök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6.21.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Monitorállomások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6.22.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Veszélyes anyagok megsemmisítéséhez eszközök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6.23.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Kártevők jelenlétét kimutató eszközök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6.24.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Iratminták, dokumentációk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6.25.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Rovargyűjtemény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6.26.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Fertőtlenítő gépek, eszközök, szerek</w:t>
            </w:r>
          </w:p>
        </w:tc>
      </w:tr>
      <w:tr w:rsidR="00C72FCC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6.27.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CC" w:rsidRDefault="00C72FCC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Veszélyt jelző feliratok, táblák, szalagok</w:t>
            </w:r>
          </w:p>
        </w:tc>
      </w:tr>
    </w:tbl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7. EGYEBEK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72FCC" w:rsidRDefault="00C72FCC" w:rsidP="00C72FCC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7.1.</w:t>
      </w:r>
      <w:r>
        <w:rPr>
          <w:sz w:val="20"/>
          <w:szCs w:val="20"/>
        </w:rPr>
        <w:tab/>
        <w:t>A szakmai vizsgabizottságban való részvételre kijelölt szakmai szervezet:</w:t>
      </w:r>
    </w:p>
    <w:p w:rsidR="00C72FCC" w:rsidRDefault="00C72FCC" w:rsidP="00C72FCC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Magyar Kártevőirtók Országos Szövetsége</w:t>
      </w:r>
    </w:p>
    <w:p w:rsidR="00D12369" w:rsidRPr="00C72FCC" w:rsidRDefault="00D12369" w:rsidP="00C72FCC"/>
    <w:sectPr w:rsidR="00D12369" w:rsidRPr="00C72F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F4" w:rsidRDefault="005644F4" w:rsidP="005644F4">
      <w:pPr>
        <w:spacing w:after="0" w:line="240" w:lineRule="auto"/>
      </w:pPr>
      <w:r>
        <w:separator/>
      </w:r>
    </w:p>
  </w:endnote>
  <w:endnote w:type="continuationSeparator" w:id="0">
    <w:p w:rsidR="005644F4" w:rsidRDefault="005644F4" w:rsidP="0056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umanst521 B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F4" w:rsidRDefault="005644F4" w:rsidP="005644F4">
      <w:pPr>
        <w:spacing w:after="0" w:line="240" w:lineRule="auto"/>
      </w:pPr>
      <w:r>
        <w:separator/>
      </w:r>
    </w:p>
  </w:footnote>
  <w:footnote w:type="continuationSeparator" w:id="0">
    <w:p w:rsidR="005644F4" w:rsidRDefault="005644F4" w:rsidP="00564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F4" w:rsidRDefault="005644F4" w:rsidP="005644F4">
    <w:pPr>
      <w:spacing w:before="120" w:after="60"/>
      <w:jc w:val="center"/>
      <w:rPr>
        <w:color w:val="7F7F7F"/>
        <w:sz w:val="20"/>
        <w:szCs w:val="20"/>
      </w:rPr>
    </w:pPr>
    <w:r>
      <w:rPr>
        <w:color w:val="7F7F7F"/>
        <w:sz w:val="20"/>
        <w:szCs w:val="20"/>
      </w:rPr>
      <w:t>27/2016. (IX. 16.) EMMI rendelet az emberi erőforrások minisztere ágazatába tartozó szakképesítések szakmai és vizsgakövetelményeiről</w:t>
    </w:r>
  </w:p>
  <w:p w:rsidR="005644F4" w:rsidRDefault="005644F4" w:rsidP="005644F4">
    <w:pPr>
      <w:jc w:val="center"/>
    </w:pPr>
    <w:r>
      <w:rPr>
        <w:color w:val="7F7F7F"/>
        <w:sz w:val="20"/>
        <w:szCs w:val="20"/>
      </w:rPr>
      <w:t>Hatályos: 2016.09.16-től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F4"/>
    <w:rsid w:val="00091E48"/>
    <w:rsid w:val="00175DEF"/>
    <w:rsid w:val="001F47A8"/>
    <w:rsid w:val="002B7140"/>
    <w:rsid w:val="00376CE0"/>
    <w:rsid w:val="004C6F14"/>
    <w:rsid w:val="004D4CBE"/>
    <w:rsid w:val="005644F4"/>
    <w:rsid w:val="005B1BF1"/>
    <w:rsid w:val="005E38F5"/>
    <w:rsid w:val="008866C2"/>
    <w:rsid w:val="00987F47"/>
    <w:rsid w:val="00AC7BBD"/>
    <w:rsid w:val="00BB3B83"/>
    <w:rsid w:val="00C72FCC"/>
    <w:rsid w:val="00CC332F"/>
    <w:rsid w:val="00D12369"/>
    <w:rsid w:val="00D8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4F4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44F4"/>
    <w:rPr>
      <w:rFonts w:ascii="Times New Roman" w:eastAsiaTheme="minorEastAsia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56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44F4"/>
    <w:rPr>
      <w:rFonts w:ascii="Times New Roman" w:eastAsiaTheme="minorEastAsia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4F4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44F4"/>
    <w:rPr>
      <w:rFonts w:ascii="Times New Roman" w:eastAsiaTheme="minorEastAsia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56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44F4"/>
    <w:rPr>
      <w:rFonts w:ascii="Times New Roman" w:eastAsiaTheme="minorEastAsia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Ligetfalviné Szücs Fruzsina</cp:lastModifiedBy>
  <cp:revision>2</cp:revision>
  <dcterms:created xsi:type="dcterms:W3CDTF">2016-10-10T13:00:00Z</dcterms:created>
  <dcterms:modified xsi:type="dcterms:W3CDTF">2016-10-10T13:00:00Z</dcterms:modified>
</cp:coreProperties>
</file>