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14.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Epidemiológiai szakápoló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55 723 04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Szakképesítés-ráépülés megnevezése: Epidemiológiai szakápoló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500-720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55 723 01 Ápoló szakképesítés (bővebben a 7. Egyebek fejezetben)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2 év ápolói munkakörben eltöltött gyakorlat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nincsenek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B769E2" w:rsidTr="00B769E2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769E2" w:rsidTr="00B769E2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munka-</w:t>
            </w:r>
          </w:p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769E2" w:rsidTr="00B769E2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Ápoló, szakápoló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Szakápoló</w:t>
            </w:r>
          </w:p>
        </w:tc>
      </w:tr>
      <w:tr w:rsidR="00B769E2" w:rsidTr="00B769E2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Epidemiológiai szakápoló</w:t>
            </w:r>
          </w:p>
        </w:tc>
      </w:tr>
    </w:tbl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769E2" w:rsidRDefault="00B769E2" w:rsidP="00B769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epidemiológiai szakápoló az ápolási folyamatok, beavatkozások előírásainak, a higiénés követelményeknek megfelelő szemléletét képviseli. Tevékenysége az egészségügyi ellátórendszer valamennyi szintjére kiterjed. Az egészségügyi ellátással összefüggő fertőzések, járványok megelőzésével, felismerésével, azonosításával, felszámolásával foglalkozik.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betegbiztonságot segítő programokat, irányelveket, protokollokat, standardokat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Információt gyűjteni a felügyelő tevékenysége alá tartozó betegekről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beavatkozások higiénés körülményeit, a megfelelő eszközhasználatot, izolációs technikákat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az alapápolási tevékenységek higiénés körülményeit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betegosztályok, kezelők, vizsgálók takarítottságát és higiénés állapotát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Részt venni a </w:t>
      </w:r>
      <w:proofErr w:type="spellStart"/>
      <w:r>
        <w:rPr>
          <w:rFonts w:ascii="Times New Roman" w:hAnsi="Times New Roman" w:cs="Times New Roman"/>
          <w:sz w:val="20"/>
          <w:szCs w:val="20"/>
        </w:rPr>
        <w:t>nosocomiális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surveillance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tevékenységben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Szakszerűen mintát venni a </w:t>
      </w:r>
      <w:proofErr w:type="spellStart"/>
      <w:r>
        <w:rPr>
          <w:rFonts w:ascii="Times New Roman" w:hAnsi="Times New Roman" w:cs="Times New Roman"/>
          <w:sz w:val="20"/>
          <w:szCs w:val="20"/>
        </w:rPr>
        <w:t>mikorbiológiai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vizsgálatokhoz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Kapcsolatot </w:t>
      </w:r>
      <w:proofErr w:type="spellStart"/>
      <w:r>
        <w:rPr>
          <w:rFonts w:ascii="Times New Roman" w:hAnsi="Times New Roman" w:cs="Times New Roman"/>
          <w:sz w:val="20"/>
          <w:szCs w:val="20"/>
        </w:rPr>
        <w:t>tatani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népegészségügyi szakigazgatási szervekkel és mikrobiológiai laboratóriumokkal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Nyilvántartást vezetni és adatot szolgáltatni tevékenységéről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B769E2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769E2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769E2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769E2" w:rsidTr="00022E76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B769E2" w:rsidTr="00B769E2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769E2" w:rsidTr="00B769E2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B769E2" w:rsidTr="00B769E2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769E2" w:rsidTr="00B769E2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11134-12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Epidemiológiai szakápolás</w:t>
            </w:r>
          </w:p>
        </w:tc>
      </w:tr>
    </w:tbl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letétele, az előírt szakmai gyakorlatok igazolt teljesítése.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B769E2" w:rsidTr="00B769E2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769E2" w:rsidTr="00B769E2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B769E2" w:rsidTr="00B769E2">
        <w:trPr>
          <w:trHeight w:hRule="exact" w:val="47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B769E2" w:rsidTr="00B769E2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11134-12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Epidemiológiai szakápolás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Epidemiológiai szakápolási feladatok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feladatleírásnak megfelelően az egészségügyi ellátással összefüggő fertőzések kezelése, mintavétel, fertőtlenítés, sterilizálás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Mikrobiológiai, járványtani ismeretek, infekciókontroll, szakmai előírások az </w:t>
      </w:r>
      <w:r>
        <w:rPr>
          <w:rFonts w:ascii="Times New Roman" w:hAnsi="Times New Roman" w:cs="Times New Roman"/>
          <w:sz w:val="20"/>
          <w:szCs w:val="20"/>
        </w:rPr>
        <w:lastRenderedPageBreak/>
        <w:t>epidemiológia területén.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tartalmazza.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- 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B769E2" w:rsidTr="00022E76">
        <w:trPr>
          <w:trHeight w:hRule="exact" w:val="24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769E2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B769E2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Dokumentáció- és archiválás eszközei</w:t>
            </w:r>
          </w:p>
        </w:tc>
      </w:tr>
      <w:tr w:rsidR="00B769E2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Mintavételi eszközök</w:t>
            </w:r>
          </w:p>
        </w:tc>
      </w:tr>
      <w:tr w:rsidR="00B769E2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 eszközei</w:t>
            </w:r>
          </w:p>
        </w:tc>
      </w:tr>
      <w:tr w:rsidR="00B769E2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Izoláció eszközei</w:t>
            </w:r>
          </w:p>
        </w:tc>
      </w:tr>
      <w:tr w:rsidR="00B769E2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Fertőtlenítés eszközei</w:t>
            </w:r>
          </w:p>
        </w:tc>
      </w:tr>
      <w:tr w:rsidR="00B769E2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Sterilizálás eszközei</w:t>
            </w:r>
          </w:p>
        </w:tc>
      </w:tr>
      <w:tr w:rsidR="00B769E2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B769E2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oktatóhe-</w:t>
            </w:r>
            <w:proofErr w:type="spellEnd"/>
          </w:p>
          <w:p w:rsidR="00B769E2" w:rsidRDefault="00B769E2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lyiség</w:t>
            </w:r>
            <w:proofErr w:type="spellEnd"/>
          </w:p>
        </w:tc>
      </w:tr>
    </w:tbl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Szakmai előképzettség: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55 723 01 azonosító számú Ápoló szakképesítés, 54 723 01 0010 54 01 azonosító számú Ápoló szakképesítés, 54 723 01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számú Ápoló szakképesítés és az 54 5012 01 azonosító számú Ápoló szakképesítés, valamint Okleveles ápoló (egyetemi végzettség), Okleveles ápoló (</w:t>
      </w:r>
      <w:proofErr w:type="spellStart"/>
      <w:r>
        <w:rPr>
          <w:rFonts w:ascii="Times New Roman" w:hAnsi="Times New Roman" w:cs="Times New Roman"/>
          <w:sz w:val="20"/>
          <w:szCs w:val="20"/>
        </w:rPr>
        <w:t>MSc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Egyetemi okleveles ápoló, </w:t>
      </w:r>
      <w:proofErr w:type="spellStart"/>
      <w:r>
        <w:rPr>
          <w:rFonts w:ascii="Times New Roman" w:hAnsi="Times New Roman" w:cs="Times New Roman"/>
          <w:sz w:val="20"/>
          <w:szCs w:val="20"/>
        </w:rPr>
        <w:t>Ápoló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BSc</w:t>
      </w:r>
      <w:proofErr w:type="spellEnd"/>
      <w:r>
        <w:rPr>
          <w:rFonts w:ascii="Times New Roman" w:hAnsi="Times New Roman" w:cs="Times New Roman"/>
          <w:sz w:val="20"/>
          <w:szCs w:val="20"/>
        </w:rPr>
        <w:t>), Ápoló (főiskolai végzettség), Diplomás ápoló végzettség.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szakmai vizsgabizottságban való részvételre kijelölt szakmai szervezet: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B769E2" w:rsidRDefault="00B769E2" w:rsidP="00B7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E2"/>
    <w:rsid w:val="00842CA6"/>
    <w:rsid w:val="00B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9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9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2013-06-20T10:43:00Z</dcterms:created>
  <dcterms:modified xsi:type="dcterms:W3CDTF">2013-06-20T10:47:00Z</dcterms:modified>
</cp:coreProperties>
</file>