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142.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Szociális szakgondozó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 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7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54 762 03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Szociális szakgondozó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2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1300-1560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-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60%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40 % (az összefüggő szakmai gyakorlat és a szakmai készségfejlesztés is beleértendő)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5 évfolyamos képzés esetén a 9. évfolyamot követően 70 óra, a 10. évfolyamot követően 105 óra, a 11. évfolyamot követően 140 óra;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3121"/>
        <w:gridCol w:w="3031"/>
      </w:tblGrid>
      <w:tr w:rsidR="001452D1" w:rsidTr="001452D1">
        <w:trPr>
          <w:cantSplit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452D1" w:rsidTr="001452D1">
        <w:trPr>
          <w:cantSplit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gondozó, szakgondozó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gerontológiai gondozó,</w:t>
            </w:r>
          </w:p>
        </w:tc>
      </w:tr>
      <w:tr w:rsidR="001452D1" w:rsidTr="001452D1">
        <w:trPr>
          <w:cantSplit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gondozó, szakgondozó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pszichiátriai gondozó,</w:t>
            </w:r>
          </w:p>
        </w:tc>
      </w:tr>
      <w:tr w:rsidR="001452D1" w:rsidTr="001452D1">
        <w:trPr>
          <w:cantSplit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gondozó, szakgondozó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szenvedélybeteg gondozó</w:t>
            </w:r>
          </w:p>
        </w:tc>
      </w:tr>
      <w:tr w:rsidR="001452D1" w:rsidTr="001452D1">
        <w:trPr>
          <w:cantSplit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gondozó, szakgondozó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gondozó, szervező</w:t>
            </w:r>
          </w:p>
        </w:tc>
      </w:tr>
      <w:tr w:rsidR="001452D1" w:rsidTr="001452D1">
        <w:trPr>
          <w:cantSplit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szociális gondozó,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szak gondozó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fogyatékossággal élők gondozója</w:t>
            </w:r>
          </w:p>
        </w:tc>
      </w:tr>
      <w:tr w:rsidR="001452D1" w:rsidTr="001452D1">
        <w:trPr>
          <w:cantSplit/>
          <w:trHeight w:val="149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gondozó, szakgondozó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gondozó és ápoló</w:t>
            </w:r>
          </w:p>
        </w:tc>
      </w:tr>
    </w:tbl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szociális szakgondozó, felsőfokú szociális diplomával rendelkező szakember irányításával képes a szociális ellátás intézményi és intézményen kívüli, a személyes szolgáltatások és a személytől távoli területeken szükséges szociális segítő feladatok ellátására. Segítséget nyújt - az ápolás, a személyes gondozás, a tervezés, a szervezés módszereinek és eszközeinek felhasználásával, a szolgáltatást igénybe vevő fizikai, mentális, szociális és lakókörnyezeti szükségleteinek kielégítéséhez, figyelembe véve annak életkorát, élethelyzetét, egészségi állapotát.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Munkája eredményessége érdekében a kliensekkel és munkatársaival személyes kapcsolatokat kialakít ki, velük együttműködik. A szociális problémamegoldásban irányítással és kompetenciájának megfelelő területeken önállóan dolgozik. Ha szükséges, baleset vagy hirtelen egészségromlás esetén elsősegély nyújtására is képes. A szociális munka adminisztrációjának kialakításában és működtetésében tevékenykedik.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információk gyűjtésére, információforrások kezelésére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különböző helyzetben élő emberek iránti empátiára, toleranciára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érzelmileg stabil, kiegyensúlyozott magatartásra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segítőkész kapcsolatteremtésre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adekvát kommunikációra, </w:t>
      </w:r>
      <w:proofErr w:type="spellStart"/>
      <w:r>
        <w:rPr>
          <w:rFonts w:ascii="Times New Roman" w:hAnsi="Times New Roman" w:cs="Times New Roman"/>
          <w:sz w:val="20"/>
          <w:szCs w:val="20"/>
        </w:rPr>
        <w:t>nondirektív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segítő beszélgetésre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konfliktusmegoldásra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konszenzusok keresésére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klienseit és munkatársait motiválni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nyitott hozzáállásra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általános ismereteket speciális helyzetekben alkalmazni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szociális problémák felismerésére, problémaelemzésre, - feltárásra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szakmai etikai szabályok betartására, a szakmai értékek képviseletére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feladatmegoldási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folyamat tervezésére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módszeres munkavégzésre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info-kommunikációs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eszközök és a számítógép használatára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rendszerben való gondolkodásra, gyakorlatias feladatértelmezésre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elsősegélynyújtáshoz szükséges eszközök és kötszerek használatára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különböző rendezvények, akciók szervezésére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játékok és a kreatív foglalkozások eszközeinek használatára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sportszerek használatára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263"/>
        <w:gridCol w:w="1591"/>
        <w:gridCol w:w="3219"/>
        <w:gridCol w:w="2343"/>
      </w:tblGrid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55 762 02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Gerontológiai gondozó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55 762 04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Pszichiátriai gondozó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55 762 05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Szenvedélybeteg gondozó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013"/>
        <w:gridCol w:w="1776"/>
        <w:gridCol w:w="5841"/>
      </w:tblGrid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10525-12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szociális ellátás általános tevékenységei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10559-12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Elsősegély-nyújtási feladatok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Gondozási-ápolási feladatok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10574-12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Személyes gondoskodás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10575-12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szervezés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10576-12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Szakgondozási adminisztráció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 xml:space="preserve">A komplex szakmai vizsgára bocsátás feltételei: 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felnőttképzések esetén:</w:t>
      </w:r>
    </w:p>
    <w:p w:rsidR="001452D1" w:rsidRDefault="001452D1" w:rsidP="001452D1">
      <w:pPr>
        <w:widowControl w:val="0"/>
        <w:tabs>
          <w:tab w:val="left" w:pos="567"/>
          <w:tab w:val="left" w:pos="11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5.2. pontban előírt valamennyi modulzáró vizsga eredményes letétele, illetve a képzés során elkészített alábbi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munkák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bemutatása, leadása:</w:t>
      </w:r>
    </w:p>
    <w:p w:rsidR="001452D1" w:rsidRDefault="001452D1" w:rsidP="001452D1">
      <w:pPr>
        <w:widowControl w:val="0"/>
        <w:tabs>
          <w:tab w:val="left" w:pos="19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„Párbeszédes formában, minimum 15 oldalon leírt, önállóan felvett életútinterjú”</w:t>
      </w:r>
    </w:p>
    <w:p w:rsidR="001452D1" w:rsidRDefault="001452D1" w:rsidP="001452D1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„Egy konkrét ellátott körül végzett, előzetesen megvalósított, egybefüggő, két hetes ápolási-gondozási gyakorlatról szóló Napló bemutatása (leadása)”;</w:t>
      </w:r>
    </w:p>
    <w:p w:rsidR="001452D1" w:rsidRDefault="001452D1" w:rsidP="001452D1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„Egy előzetesen megvalósított, egybefüggő, két hetes szociális szervezési gyakorlatról szóló Napló bemutatása (leadása)”;</w:t>
      </w:r>
    </w:p>
    <w:p w:rsidR="001452D1" w:rsidRDefault="001452D1" w:rsidP="001452D1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„A képzés során összegyűjtött, a gondozási folyamathoz és a szervezési munkához kapcsolódó adminisztrációs tevékenység során használt nyomtatvány-sablonok leadása”</w:t>
      </w:r>
    </w:p>
    <w:p w:rsidR="001452D1" w:rsidRDefault="001452D1" w:rsidP="001452D1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Egy konkrét ellátott körül végzett (előzetesen megvalósított, egybefüggő, két hetes) gondozási-ápolási tevékenységről készült, minimum 15 oldal terjedelmű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komplex szakmai vizsgát megelőzően legalább 30 nappal, melyet a szakmai bírálattal együtt a vizsgabizottság elnökének rendelkezésére kell bocsátani a komplex szakmai vizsgát megelőzően legalább 10 nappal.</w:t>
      </w:r>
    </w:p>
    <w:p w:rsidR="001452D1" w:rsidRDefault="001452D1" w:rsidP="001452D1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Egy (előzetesen megvalósított, egybefüggő, két hetes) szociális szervezési gyakorlatról készült minimum 15 oldal terjedelmű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komplex szakmai vizsgát megelőzően legalább 30 nappal, melyet a szakmai bírálattal együtt a vizsgabizottság elnökének rendelkezésére kell bocsátani a komplex szakmai vizsgát megelőzően legalább 10 nappal.</w:t>
      </w:r>
    </w:p>
    <w:p w:rsidR="001452D1" w:rsidRDefault="001452D1" w:rsidP="001452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120 órás szakmai (60 óra kommunikációs, 60 óra személyiségfejlesztő) készségfejlesztésről szóló igazolás.</w:t>
      </w:r>
    </w:p>
    <w:p w:rsidR="001452D1" w:rsidRDefault="001452D1" w:rsidP="001452D1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Minimum 400 óra (20%-a demonstrációs/gyakorló termi, 80% a szociális és egészségügyi ellátórendszer intézményeiben tereptanár végzettséggel rendelkező szakember irányításával letöltött) gyakorlat teljesítéséről szóló igazolás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Iskolai rendszerű szakképzés esetén:</w:t>
      </w:r>
    </w:p>
    <w:p w:rsidR="001452D1" w:rsidRDefault="001452D1" w:rsidP="001452D1">
      <w:pPr>
        <w:widowControl w:val="0"/>
        <w:tabs>
          <w:tab w:val="left" w:pos="878"/>
          <w:tab w:val="left" w:pos="10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452D1" w:rsidRDefault="001452D1" w:rsidP="001452D1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képzés során elkészített alábbi munkák bemutatása, leadása:</w:t>
      </w:r>
    </w:p>
    <w:p w:rsidR="001452D1" w:rsidRDefault="001452D1" w:rsidP="001452D1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ab/>
        <w:t>„Párbeszédes formában, minimum 15 oldalon leírt, önállóan felvett életútinterjú”</w:t>
      </w:r>
    </w:p>
    <w:p w:rsidR="001452D1" w:rsidRDefault="001452D1" w:rsidP="001452D1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ab/>
        <w:t>„Egy konkrét ellátott körül végzett, előzetesen megvalósított, egybefüggő, két hetes ápolási-gondozási gyakorlatról szóló Napló bemutatása (leadása)”;</w:t>
      </w:r>
    </w:p>
    <w:p w:rsidR="001452D1" w:rsidRDefault="001452D1" w:rsidP="001452D1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ab/>
        <w:t>„Egy előzetesen megvalósított, egybefüggő, két hetes szociális szervezési gyakorlatról szóló Napló bemutatása (leadása)”;</w:t>
      </w:r>
    </w:p>
    <w:p w:rsidR="001452D1" w:rsidRDefault="001452D1" w:rsidP="001452D1">
      <w:pPr>
        <w:widowControl w:val="0"/>
        <w:tabs>
          <w:tab w:val="left" w:pos="19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ab/>
        <w:t>„A képzés során összegyűjtött, a gondozási folyamathoz és a szervezési munkához kapcsolódó adminisztrációs tevékenység során használt nyomtatvány-sablonok leadása”</w:t>
      </w:r>
    </w:p>
    <w:p w:rsidR="001452D1" w:rsidRDefault="001452D1" w:rsidP="001452D1">
      <w:pPr>
        <w:widowControl w:val="0"/>
        <w:tabs>
          <w:tab w:val="left" w:pos="19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ab/>
        <w:t xml:space="preserve">Egy konkrét ellátott körül végzett (előzetesen megvalósított, egybefüggő, két hetes) gondozási-ápolási tevékenységről készült, minimum 15 oldal terjedelmű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előzetes leadása legkésőbb az utolsó tanítási nap előtt 30 nappal, melyet a szakmai bírálattal együtt a vizsgabizottság elnökének rendelkezésére kell bocsátani a komplex szakmai vizsgát megelőzően legalább 10 nappal.</w:t>
      </w:r>
    </w:p>
    <w:p w:rsidR="001452D1" w:rsidRDefault="001452D1" w:rsidP="001452D1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ab/>
        <w:t xml:space="preserve">Egy (előzetesen megvalósított, egybefüggő, két hetes) szociális szervezési gyakorlatról készült, minimum 15 oldal terjedelmű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előzetes leadása legkésőbb az utolsó tanítási nap előtt 30 nappal, melyet a szakmai bírálattal együtt a vizsgabizottság elnökének rendelkezésére kell bocsátani a komplex szakmai vizsgát megelőzően legalább 10 nappal.</w:t>
      </w:r>
    </w:p>
    <w:p w:rsidR="001452D1" w:rsidRDefault="001452D1" w:rsidP="001452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120 órás szakmai (60 óra kommunikációs, 60 óra személyiségfejlesztő) készségfejlesztésről szóló igazolás.</w:t>
      </w:r>
    </w:p>
    <w:p w:rsidR="001452D1" w:rsidRDefault="001452D1" w:rsidP="001452D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kerettantervben előírt (a képzőintézmény gyakorló termében, valamint a gyakorlati követelmények teljesítésére alkalmas szociális és egészségügyi ellátórendszer intézményeiben tereptanár végzettséggel rendelkező szociális szakember irányításával) letöltött gyakorlat teljesítéséről szóló igazolás.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59"/>
        <w:gridCol w:w="4165"/>
        <w:gridCol w:w="2072"/>
      </w:tblGrid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10525-12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szociális ellátás általános tevékenységei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10559-12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Elsősegély-nyújtási feladatok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10556-12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Gondozási-ápolási feladatok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10574-12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Személyes gondoskodás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10575-12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szervezés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10576-12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Szakgondozási adminisztráció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452D1" w:rsidTr="001452D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  <w:tab w:val="left" w:pos="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Napi ápolási-gondozási feladatok ellátása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Napi ápolási-gondozási feladatok ellátása bentlakásos szociális intézményben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Gondozási-ápolási tevékenységről készült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és bemutatása.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Egy konkrét ellátott körül végzett (előzetesen megvalósított, egybefüggő, két hetes) gondozási- ápolási tevékenységről készült - előzetesen leadott és értékelt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és bemutatása.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 (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készítése: 10%, bemutatása: 10%)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szociális szervezési gyakorlatról készült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és bemutatása.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Egy (előzetesen megvalósított, egybefüggő, két hetes) szociális szervezési gyakorlatról készült - előzetesen leadott és értékelt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és bemutatása.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 (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készítése: 15%, bemutatása: 15%)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 xml:space="preserve">Központi írásbeli vizsgatevékenység 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Esetleírás értelmezése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szociális gondozás dilemmáinak értelmezése egy esetleírás alapján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szociális ellátások feltételei, a szociális szervezés feladatai és a szociális munka módszerei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szociális ellátások feltételei, a szociális szervezés feladatai és a szociális munka módszerei témakörből központilag összeállított szóbeli tételsor alapján.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30 perc (felkészülési idő 15 perc, válaszadási idő: 15 perc)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értékelési súlyaránya: 20 %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http://www.munka.hu/ </w:t>
      </w:r>
      <w:r>
        <w:rPr>
          <w:rFonts w:ascii="Times New Roman" w:hAnsi="Times New Roman" w:cs="Times New Roman"/>
          <w:sz w:val="20"/>
          <w:szCs w:val="20"/>
        </w:rPr>
        <w:t>című weblapján érhetők el a Szak- és Felnőttképzés Vizsgák menüpontjában.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www.ncsszi.hu </w:t>
      </w:r>
      <w:r>
        <w:rPr>
          <w:rFonts w:ascii="Times New Roman" w:hAnsi="Times New Roman" w:cs="Times New Roman"/>
          <w:sz w:val="20"/>
          <w:szCs w:val="20"/>
        </w:rPr>
        <w:t>weblapon érhetők el, a Szakképzési Főosztály oldalán.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szempontjai:-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2"/>
        <w:gridCol w:w="7656"/>
      </w:tblGrid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A demonstrációs terem felszerelése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funkcionális betegágy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betegemelő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kapaszkodó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védőrács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lábtámasz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kombinált éjjeliszekrény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 támlás szék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ülőke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zsámoly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spanyolfal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előkészítő kocsi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ágyazó kocsi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szennyes ledobó kocsi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gyógyszerszekrény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 szekrény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gördülő WC-szék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személymérleg magasság-mérővel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pedálos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Ágynemű és egyéb fehérnemű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nagylepedő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haránt lepedő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takaróhuzat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párnahuzat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kispárna huzat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matracvédő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ágymatrac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kispárna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párna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pléd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törölköző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hálóing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pizsama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köntös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papucs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borogató ruha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mosdókesztyű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konyharuha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szennyeszsák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gyopár párnacsalád sorozat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Az ápolás-gondozás eszközei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 tálca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evőeszköz készlet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étkészlet (tányérok)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pohárkészlet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csésze (készlet)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csőrös csésze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kancsó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üvegmosó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mosdótál (kicsi és nagy)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6.3.10.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vödör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vízhőmérő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hőmérő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szappantartó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sampon, szappan, stb.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fésű, hajkefe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hajszárító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tükör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fogkefe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fogkrém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fogmosó pohár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körömkefe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körömcsipesz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körömolló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hintőporos doboz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 használatos borotva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nylon köpeny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Váladékfelfogó és vizsgálatra küldésre szolgáló 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vesetál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köpőcsésze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ágytál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ágytálmosó kefe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vizelő edény, férfi, női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vizelőüveg mosókefe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Petri csésze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széklettartály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mérőhenger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Gumi 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gumikesztyű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gumiujj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gumilepedő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katéterek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termofor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jégtömlő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sarok és könyökgyűrű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Egyszer használatos 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fecskendő (2, 5, 10, 20 ml)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inzulin fecskendő</w:t>
            </w:r>
            <w:proofErr w:type="gram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 használatos tűk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szájmaszk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decubitus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alátét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inkontinencia betét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vizeletgyűjtő zsák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anus-prea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tartály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spatula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Laboratóriumi 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vércukorszint-mérő készülék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tesztcsík vércukorszint meghatározáshoz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tesztcsík vizelet meghatározáshoz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kémcsövek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Gyógyszerek, vegyszerek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gyógyszerek (bemutatáshoz, gyakorláshoz)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 szerek bőr- és eszközfertőtlenítéshez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vazelin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parafinolaj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jódtinktúra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háztartási tisztító és fertőtlenítőszerek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Kötszerek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vatta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papírvatta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gézpólya különböző méretben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gyorskötöző pólya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Ramofix</w:t>
            </w:r>
            <w:proofErr w:type="spell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különböző méretben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rugalmas pólya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Alutex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fólia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kötszerek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Egyéb 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vérnyomásmérő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fonendoszkóp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lázmérő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mérőszalag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horgas csipesz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anatómiai csipesz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vatta tartó</w:t>
            </w:r>
            <w:proofErr w:type="gram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szemcseppentő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veszélyes hulladéktároló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inhaláló készülék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nyomtatványok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Az elsősegélynyújtás eszközei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mentőláda, felszereléssel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pléd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lepedő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sebimitációs készlet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steril mullpólya különböző méretben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különböző méretben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vatta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papírvatta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bőrfertőtlenítő szer többféle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ragtapasz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Ramofix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csőháló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kötszer különböző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méretben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steril gyorskötöző mullpólya különböző méretben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rugalmas pólya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kötszerkapocs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biztosítótű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kötszerolló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anatómiai csipesz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ledobó-tál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tálka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kézfertőtlenítő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papírtörölköző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törölköző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pneumatikus sín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nyakrögzítő gallér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háromszögletű kendő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Alutex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fólia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reanimációs fantom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6.11.30.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lélegeztető ballon + arcmaszk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6.11.31.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hordágy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Szemléltető 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csontváz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szív falitábla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6.12.3.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vérkeringés falitábla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emésztőrendszer falitábla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agy falitábla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 test izomrendszer falitábla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 falitábla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idegrendszer falitábla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nemi szervek falitábla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nyirokkeringés falitábla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szétszedhető törzs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moulage</w:t>
            </w:r>
            <w:proofErr w:type="spell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moulage</w:t>
            </w:r>
            <w:proofErr w:type="spell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fül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moulage</w:t>
            </w:r>
            <w:proofErr w:type="spell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moulage</w:t>
            </w:r>
            <w:proofErr w:type="spell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moulage</w:t>
            </w:r>
            <w:proofErr w:type="spell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légúti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moulage</w:t>
            </w:r>
            <w:proofErr w:type="spell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GONDOZÁSHOZ SZÜKSÉGES 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 Háztartási- és konyhatechnikai 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konyhaszekrény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 asztal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hűtőgép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hűtőhőmérő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tűzhely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mikrohullámú sütő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edény készlet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étkészlet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tálkészlet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szalvétatartó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evőeszközkészlet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tálca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kancsó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mércézett pohár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pohárkészlet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robotgép és egyéb konyhatechnikai eszközök: aprító, daráló, passzírozó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-konyhamérleg</w:t>
            </w:r>
            <w:proofErr w:type="spell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asztalterítő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konyharuha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kötény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háztartási tisztítószerek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pedálos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méregszekrény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 eszközök (szivacs, kefe, vödör, seprő, stb.)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porszívó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mosógép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ruhaszárító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6.13.30.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vasalódeszka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6.13.31.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szobahőmérő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 Gyógyászati segédeszközök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támbot</w:t>
            </w:r>
            <w:proofErr w:type="spellEnd"/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járókeret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kerekesszék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hallókészülék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 Eszközök a foglalkozás és aktivitás szervezéséhez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Videó lejátszó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videokamera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CD-, DVD lejátszó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6.15.5.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rádió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társasjátékok (sakk, stb.)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kézimunka eszközei (szabásminták, szabóolló, textil, filc, tű, kötőtű, horgolótű, fonál, stb.)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eszközök papírmunkákhoz, rajzoláshoz (karton, festék, színes ceruza stb.)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 Egyéb eszközök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védőruhák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védőcipők</w:t>
            </w:r>
          </w:p>
        </w:tc>
      </w:tr>
      <w:tr w:rsidR="001452D1" w:rsidTr="001452D1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1" w:rsidRDefault="001452D1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tűzoltó készülék</w:t>
            </w:r>
          </w:p>
        </w:tc>
      </w:tr>
    </w:tbl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képzésben az összefüggő szakmai gyakorlat időtartama 160 óra, mely olyan bentlakásos szociális intézményben szervezhető, amellyel a vizsgázó nem áll munkaviszonyban.</w:t>
      </w:r>
    </w:p>
    <w:p w:rsidR="001452D1" w:rsidRDefault="001452D1" w:rsidP="0014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szakmai vizsgabizottságban való részvételre kijelölt szakmai szervezet: 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Családsegítő és Gyermekjóléti Szolgálatok Országos Egyesülete (1094 Budapest, Liliom u. 8.)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Hilscher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Rezső Szociálpolitikai Egyesület (1117 Budapest Pázmány Péter sétány 1/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Magyarországi Szociális Szakemberek Képzéséért Egyesület (Iskolaszövetség) (1094 Budapest, Liliom u. 8.) 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Szociális Munkások Magyarországi Egyesülete (1094 Budapest, Liliom u. 8.)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Regionális Forrásközpontok Országos Egyesülete (8900 Zalaegerszeg, Dísz tér 7.) 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Szociális Szakmai Szövetség (1094 Budapest, Liliom u. 8.)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Szociális Igazgatók Magyarországi Egyesülete (SZIME) 7621 Pécs Jókai u.1. </w:t>
      </w:r>
    </w:p>
    <w:p w:rsidR="001452D1" w:rsidRDefault="001452D1" w:rsidP="0014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Szociális Intézmények Országos Szövetsége (SZIOSZ)</w:t>
      </w:r>
    </w:p>
    <w:p w:rsidR="00754A93" w:rsidRDefault="00754A93"/>
    <w:sectPr w:rsidR="007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D1"/>
    <w:rsid w:val="001452D1"/>
    <w:rsid w:val="007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2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2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2451</Words>
  <Characters>16913</Characters>
  <Application>Microsoft Office Word</Application>
  <DocSecurity>0</DocSecurity>
  <Lines>140</Lines>
  <Paragraphs>38</Paragraphs>
  <ScaleCrop>false</ScaleCrop>
  <Company>Nemzeti Munkaügyi Hivatal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2013-06-21T08:44:00Z</dcterms:created>
  <dcterms:modified xsi:type="dcterms:W3CDTF">2013-06-21T08:48:00Z</dcterms:modified>
</cp:coreProperties>
</file>