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27.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Gyakorló képi diagnosztikai, nukleáris medicina és sugárterápiás asszisztens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52 725 02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Gyakorló képi diagnosztikai, nukleáris medicina és sugárterápiás asszisztens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2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1400-1700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50%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50%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6"/>
        <w:gridCol w:w="2881"/>
        <w:gridCol w:w="4126"/>
      </w:tblGrid>
      <w:tr w:rsidR="008074D8" w:rsidTr="008074D8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074D8" w:rsidTr="008074D8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074D8" w:rsidTr="008074D8">
        <w:trPr>
          <w:trHeight w:hRule="exact" w:val="47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Orvosi képalkotó diagnosztikai és</w:t>
            </w: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terápiás berendezések kezelője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képi diagnosztikai nukleáris medicina és</w:t>
            </w: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sugárterápiás asszisztens</w:t>
            </w:r>
          </w:p>
        </w:tc>
      </w:tr>
    </w:tbl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074D8" w:rsidRDefault="008074D8" w:rsidP="008074D8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gyakorló képi diagnosztikai, nukleáris medicina és sugárterápiás asszisztens a képi diagnosztikai, a nukleáris medicina és a sugárterápiás betegellátás területén tevékenykedik, team tagjaként, szakorvos (a radiológiában, nukleáris medicinában, sugárterápiában szakorvos, vagy diplomás </w:t>
      </w:r>
      <w:proofErr w:type="spellStart"/>
      <w:r>
        <w:rPr>
          <w:rFonts w:ascii="Times New Roman" w:hAnsi="Times New Roman" w:cs="Times New Roman"/>
          <w:sz w:val="20"/>
          <w:szCs w:val="20"/>
        </w:rPr>
        <w:t>radiográfus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irányításával. Kompetenciájának megfelelően önállóan vesz részt a betegek diagnosztikus és terápiás ellátásában.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Elősegíti a képi diagnosztikai, nukleáris medicina és sugárterápiás betegellátás optimális feltételeit, a napi tevékenységet megszervezi, betegirányítási és - tájékoztatási feladatokat lát el.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Megfelelő kapcsolatteremtő képességgel rendelkezik, munkáját hivatásként, empátiával gyakorolja, betartja, </w:t>
      </w:r>
      <w:r>
        <w:rPr>
          <w:rFonts w:ascii="Times New Roman" w:hAnsi="Times New Roman" w:cs="Times New Roman"/>
          <w:sz w:val="20"/>
          <w:szCs w:val="20"/>
        </w:rPr>
        <w:lastRenderedPageBreak/>
        <w:t>illetve betartatja annak jogi szabályait, valamint etikai normáit.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radiológiai osztályon röntgenfelvételeket készíteni, a röntgen-átvilágításoknál segédkezni, asszisztálni a kontrasztanyagok beadásánál, </w:t>
      </w:r>
      <w:proofErr w:type="spellStart"/>
      <w:r>
        <w:rPr>
          <w:rFonts w:ascii="Times New Roman" w:hAnsi="Times New Roman" w:cs="Times New Roman"/>
          <w:sz w:val="20"/>
          <w:szCs w:val="20"/>
        </w:rPr>
        <w:t>denzitometriás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vizsgálatot végezni;</w:t>
      </w:r>
    </w:p>
    <w:p w:rsidR="008074D8" w:rsidRDefault="008074D8" w:rsidP="008074D8">
      <w:pPr>
        <w:widowControl w:val="0"/>
        <w:tabs>
          <w:tab w:val="left" w:pos="859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nukleáris medicina osztályon a nukleáris medicina vizsgálatokat elvégezni, a </w:t>
      </w:r>
      <w:proofErr w:type="spellStart"/>
      <w:r>
        <w:rPr>
          <w:rFonts w:ascii="Times New Roman" w:hAnsi="Times New Roman" w:cs="Times New Roman"/>
          <w:sz w:val="20"/>
          <w:szCs w:val="20"/>
        </w:rPr>
        <w:t>radiofarmakonok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beadásánál és az izotópterápiánál segédkezni;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sugárterápiás osztályon a besugárzási tervet értelmezni, a besugárzást előkészíteni, orvosi utasításra sugárterápiás kezelést végezni;</w:t>
      </w:r>
    </w:p>
    <w:p w:rsidR="008074D8" w:rsidRDefault="008074D8" w:rsidP="008074D8">
      <w:pPr>
        <w:widowControl w:val="0"/>
        <w:tabs>
          <w:tab w:val="left" w:pos="859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mindhárom területen a használatos gépeket, berendezéseket és eszközöket előírásszerűen kezelni, meghibásodásukat felismerni és jelezni;</w:t>
      </w:r>
    </w:p>
    <w:p w:rsidR="008074D8" w:rsidRDefault="008074D8" w:rsidP="008074D8">
      <w:pPr>
        <w:widowControl w:val="0"/>
        <w:tabs>
          <w:tab w:val="left" w:pos="930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feladatait szakszerűen, maximális biztonsággal, az aszepszis, antiszepszis, valamint a sugárvédelmi és környezetvédelmi szabályok betartásával végezni.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21"/>
      </w:tblGrid>
      <w:tr w:rsidR="008074D8" w:rsidTr="008074D8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074D8" w:rsidTr="008074D8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8074D8" w:rsidTr="008074D8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074D8" w:rsidTr="008074D8">
        <w:trPr>
          <w:trHeight w:hRule="exact" w:val="7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55 725 10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Képi diagnosztikai, nukleáris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me-</w:t>
            </w:r>
            <w:proofErr w:type="spellEnd"/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sugárterápiás asszisztens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438"/>
      </w:tblGrid>
      <w:tr w:rsidR="008074D8" w:rsidTr="008074D8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74D8" w:rsidTr="008074D8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8074D8" w:rsidTr="008074D8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8074D8" w:rsidTr="008074D8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Alapápolás</w:t>
            </w:r>
          </w:p>
        </w:tc>
      </w:tr>
      <w:tr w:rsidR="008074D8" w:rsidTr="008074D8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alapismeretek</w:t>
            </w:r>
          </w:p>
        </w:tc>
      </w:tr>
      <w:tr w:rsidR="008074D8" w:rsidTr="008074D8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11222-12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Klinikumi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ismeretek</w:t>
            </w:r>
          </w:p>
        </w:tc>
      </w:tr>
      <w:tr w:rsidR="008074D8" w:rsidTr="008074D8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11157-12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képi diagnosztika alapjai</w:t>
            </w:r>
          </w:p>
        </w:tc>
      </w:tr>
      <w:tr w:rsidR="008074D8" w:rsidTr="008074D8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11158-12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nukleáris medicina alapjai</w:t>
            </w:r>
          </w:p>
        </w:tc>
      </w:tr>
      <w:tr w:rsidR="008074D8" w:rsidTr="008074D8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11159-12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sugárterápia alapjai</w:t>
            </w:r>
          </w:p>
        </w:tc>
      </w:tr>
      <w:tr w:rsidR="008074D8" w:rsidTr="008074D8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8074D8" w:rsidTr="008074D8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8074D8" w:rsidTr="008074D8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letétele, valamint a szakmai gyakorlat igazolt teljesítése.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3418"/>
      </w:tblGrid>
      <w:tr w:rsidR="008074D8" w:rsidTr="008074D8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074D8" w:rsidTr="008074D8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8074D8" w:rsidTr="008074D8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074D8" w:rsidTr="008074D8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Alapápolás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 és szóbeli</w:t>
            </w:r>
          </w:p>
        </w:tc>
      </w:tr>
      <w:tr w:rsidR="008074D8" w:rsidTr="008074D8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alapismeretek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 és írásbeli</w:t>
            </w:r>
          </w:p>
        </w:tc>
      </w:tr>
      <w:tr w:rsidR="008074D8" w:rsidTr="008074D8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11222-12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Klinikumi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ismeretek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 és írásbeli</w:t>
            </w:r>
          </w:p>
        </w:tc>
      </w:tr>
      <w:tr w:rsidR="008074D8" w:rsidTr="008074D8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11157-12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képi diagnosztika alapjai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 és gyakorlati</w:t>
            </w:r>
          </w:p>
        </w:tc>
      </w:tr>
      <w:tr w:rsidR="008074D8" w:rsidTr="008074D8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11158-12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nukleáris medicina alapjai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 és gyakorlati</w:t>
            </w:r>
          </w:p>
        </w:tc>
      </w:tr>
      <w:tr w:rsidR="008074D8" w:rsidTr="008074D8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11159-12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sugárterápia alapjai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 és gyakorlati</w:t>
            </w:r>
          </w:p>
        </w:tc>
      </w:tr>
      <w:tr w:rsidR="008074D8" w:rsidTr="008074D8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</w:t>
            </w: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épülő képzések esetén)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074D8" w:rsidTr="008074D8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4D8" w:rsidTr="008074D8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074D8" w:rsidTr="008074D8">
        <w:trPr>
          <w:trHeight w:hRule="exact" w:val="471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bizton-</w:t>
            </w: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ság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Sugaras vizsgálatot végez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radiológiai osztályon a képi diagnosztikai vizsgálatot előkészíti, kivitelezi a sugárvédelmi és higiénés szabályok betartásával és betartatásával, a beteg klinikai állapotától függően. A vizsgálat során betegirányítást, betegtájékoztatást, beteggondozást végez. A röntgenfelvétel/</w:t>
      </w:r>
      <w:proofErr w:type="spellStart"/>
      <w:r>
        <w:rPr>
          <w:rFonts w:ascii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minőségét megítéli. A vizsgálat befejezését követően az elkészített röntgenfelvételt demonstrálja.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4D8" w:rsidRDefault="008074D8" w:rsidP="008074D8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Sugaras vizsgálatot és kezelést végez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nukleáris medicina osztályon a nukleáris medicina diagnosztikai vizsgálatot elvégzi, az izotópkezelést előkészíti a sugárvédelmi és higiénés szabályok betartásával és betartatásával. A vizsgálat/kezelés során betegirányítást, betegtájékoztatást, beteggondozást végez.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tabs>
          <w:tab w:val="left" w:pos="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Sugaras kezelést végez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sugárterápiás osztályon a sugárterápiás kezelést előkészíti, kivitelezi a sugárvédelmi és higiénés szabályok betartásával és betartatásával, a beteg klinikai állapotától függően. A terápiás kezelés során betegirányítást, betegtájékoztatást, beteggondozást végez.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Sugaras vizsgálatok és kezelések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Szóbeli vizsgafeladatok az alábbi témakörökből: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Anatómia-élettan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Képi diagnosztika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Sugárvédelem-dozimetria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Sugárbiológia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Sugárfizika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Radiológiai vizsgálómódszerek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Digitális képalkotás és képtárolás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Kontrasztanyagok és alkalmazásuk, szövődmények elhárítása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Dokumentáció, betegirányítás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-tájékoztatás</w:t>
      </w:r>
      <w:proofErr w:type="spellEnd"/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Sürgősségi ellátás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Képalkotó berendezések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koponya ép és kóros morfológiája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gerinc ép és kóros morfológiája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mellkas és mellkasi szervek ép és kóros morfológiája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has ép és kóros morfológiája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kismedence ép és kóros morfológiája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végtagok ép és kóros morfológiája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Betegbiztonság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Nukleáris medicina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radioaktív izotópok klinikai alkalmazásának elméleti alapjai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Sugárfizika, radioaktív sugárzások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Sugárbiológia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Sugárvédelem. Dózisfogalmak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radiofarmakológia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alapjai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Meleglabor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 (generátor, izotópos jelzés, radioaktív hulladékkezelés) Izotópdiagnosztikai berendezések (gamma-kamera, SPECT, PET) felépítése, működési elve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Izotópdiagnosztikai eljárások alapjai: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endokrinológiai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csont/ízületi, neurológiai, kardiológiai, pulmonológiai, </w:t>
      </w:r>
      <w:proofErr w:type="spellStart"/>
      <w:r>
        <w:rPr>
          <w:rFonts w:ascii="Times New Roman" w:hAnsi="Times New Roman" w:cs="Times New Roman"/>
          <w:sz w:val="20"/>
          <w:szCs w:val="20"/>
        </w:rPr>
        <w:t>nefrourológiai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gasztroenterológiai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>, hematológiai izotóp-diagnosztikai módszerek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Gyulladásszcintigráfia</w:t>
      </w:r>
      <w:proofErr w:type="spellEnd"/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Onkológiai izotópdiagnosztika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Radioizotóp-terápia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Betegbiztonság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Sugárterápia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Sugárterápiás gépek, berendezések felépítése, működési elve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Nukleáris medicina terápia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Bőrtumorok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sugárterápiás kezelésük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Fej-nyaki tumorok és sugárterápiás kezelésük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Tüdődaganatok és sugárterápiás kezelésük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colorectalis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rendszer daganatai - </w:t>
      </w:r>
      <w:proofErr w:type="spellStart"/>
      <w:r>
        <w:rPr>
          <w:rFonts w:ascii="Times New Roman" w:hAnsi="Times New Roman" w:cs="Times New Roman"/>
          <w:sz w:val="20"/>
          <w:szCs w:val="20"/>
        </w:rPr>
        <w:t>malignus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lymphomák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sugárterápiás kezelésük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Nőgyógyászati tumorok és sugárterápiás kezelésük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Urológiai tumorok és sugárterápiás kezelésük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Központi idegrendszer daganatai és sugárterápiás kezelésük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Sürgősségi sugárterápia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Tüneti és palliatív sugárterápia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sugármellékhatások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tüneti kezelése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Betegbiztonság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389"/>
      </w:tblGrid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74D8" w:rsidTr="00022E76"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Képalkotó berendezések</w:t>
            </w:r>
          </w:p>
        </w:tc>
      </w:tr>
      <w:tr w:rsidR="008074D8" w:rsidTr="00022E76">
        <w:trPr>
          <w:trHeight w:hRule="exact" w:val="46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Kontrasztanyagok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radiofarmakonok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azok bejuttatásának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eszkö-</w:t>
            </w:r>
            <w:proofErr w:type="spellEnd"/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zei</w:t>
            </w:r>
            <w:proofErr w:type="spellEnd"/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előkészítés során alkalmazott eszközök, műszerek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Aszepszis-antiszepszis eszközei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Védőfelszerelések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Készenléti táska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Készenléti gyógyszerek és infúziók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 eszközei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 légutak biztosításának eszközei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Dokumentáció, archiválás eszközei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Fotótechnikai eszközök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Sugárterápiás egység (lineáris gyorsítóval)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Audiovizuális eszközök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Képi diagnosztikai oktatásra alkalmas demonstrációs terem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Oxigénterápia eszközei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Újraélesztés eszközei</w:t>
            </w:r>
          </w:p>
        </w:tc>
      </w:tr>
      <w:tr w:rsidR="008074D8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Nukleáris medicina mérőhelyek (üreges mérőhely és aktivitás-</w:t>
            </w: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kalibrátor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74D8" w:rsidTr="00022E76">
        <w:trPr>
          <w:trHeight w:hRule="exact" w:val="47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Oktatástechnikai eszközökkel felszerelt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szaktante-</w:t>
            </w:r>
            <w:proofErr w:type="spellEnd"/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/demonstrációs terem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Alapszintű újraélesztés eszköze (szimulátor)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ápolási és kényelmi eszközök, berendezések</w:t>
            </w:r>
          </w:p>
        </w:tc>
      </w:tr>
      <w:tr w:rsidR="008074D8" w:rsidTr="00022E76">
        <w:trPr>
          <w:trHeight w:hRule="exact" w:val="46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Dokumentációk, informatikai berendezések (hardver és szoftver,</w:t>
            </w: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valamint perifériák)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Betegmegfigyelés eszközei és műszerei</w:t>
            </w:r>
          </w:p>
        </w:tc>
      </w:tr>
      <w:tr w:rsidR="008074D8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Egyszerűbb diagnosztikus és terápiás beavatkozáshoz szükséges</w:t>
            </w:r>
          </w:p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eszközök, felszerelések, fantomok</w:t>
            </w:r>
          </w:p>
        </w:tc>
      </w:tr>
      <w:tr w:rsidR="008074D8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8" w:rsidRDefault="008074D8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Fertőtlenítőszerek és eszközök</w:t>
            </w:r>
          </w:p>
        </w:tc>
      </w:tr>
    </w:tbl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szakmai vizsgabizottságban való részvételre kijelölt szakmai szervezet: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8074D8" w:rsidRDefault="008074D8" w:rsidP="0080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meszk@meszk.hu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D8"/>
    <w:rsid w:val="008074D8"/>
    <w:rsid w:val="008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4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4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1456</Words>
  <Characters>10052</Characters>
  <Application>Microsoft Office Word</Application>
  <DocSecurity>0</DocSecurity>
  <Lines>83</Lines>
  <Paragraphs>22</Paragraphs>
  <ScaleCrop>false</ScaleCrop>
  <Company>Nemzeti Munkaügyi Hivatal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2013-06-20T10:43:00Z</dcterms:created>
  <dcterms:modified xsi:type="dcterms:W3CDTF">2013-06-20T11:02:00Z</dcterms:modified>
</cp:coreProperties>
</file>