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A 181. sorszámú Pénztárkezelő és valutapénztáros megnevezésű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és vizsgakövetelménye</w:t>
      </w:r>
    </w:p>
    <w:p w:rsidR="009C2FF5" w:rsidRDefault="009C2FF5" w:rsidP="009C2FF5">
      <w:pPr>
        <w:autoSpaceDE w:val="0"/>
        <w:autoSpaceDN w:val="0"/>
        <w:adjustRightInd w:val="0"/>
        <w:spacing w:after="0" w:line="240" w:lineRule="auto"/>
        <w:ind w:firstLine="204"/>
        <w:jc w:val="center"/>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51 343 03</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Pénztárkezelő és valutapénztáros</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w:t>
      </w:r>
      <w:r>
        <w:rPr>
          <w:rFonts w:ascii="Times New Roman" w:hAnsi="Times New Roman" w:cs="Times New Roman"/>
          <w:i/>
          <w:iCs/>
          <w:sz w:val="20"/>
          <w:szCs w:val="20"/>
        </w:rPr>
        <w:t xml:space="preserve">: </w:t>
      </w:r>
      <w:r>
        <w:rPr>
          <w:rFonts w:ascii="Times New Roman" w:hAnsi="Times New Roman" w:cs="Times New Roman"/>
          <w:sz w:val="20"/>
          <w:szCs w:val="20"/>
        </w:rPr>
        <w:t>-</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 Iskolarendszeren kívüli szakképzésben az óraszám: 30-50</w:t>
      </w: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2.1.2. Bemeneti kompetenciák: –</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 Szakmai előképzettség:–</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 Előírt gyakorlat:–</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 Elméleti képzési idő aránya: 50 %</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Gyakorlati képzési idő aránya: 50 %</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w:t>
      </w:r>
      <w:r>
        <w:rPr>
          <w:rFonts w:ascii="Times New Roman" w:hAnsi="Times New Roman" w:cs="Times New Roman"/>
          <w:i/>
          <w:iCs/>
          <w:sz w:val="20"/>
          <w:szCs w:val="20"/>
        </w:rPr>
        <w:t>–</w:t>
      </w: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9C2FF5" w:rsidRDefault="009C2FF5" w:rsidP="009C2FF5">
      <w:pPr>
        <w:autoSpaceDE w:val="0"/>
        <w:autoSpaceDN w:val="0"/>
        <w:adjustRightInd w:val="0"/>
        <w:spacing w:after="0" w:line="240" w:lineRule="auto"/>
        <w:rPr>
          <w:rFonts w:ascii="Times New Roman" w:hAnsi="Times New Roman" w:cs="Times New Roman"/>
          <w:sz w:val="20"/>
          <w:szCs w:val="20"/>
          <w:u w:val="single"/>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418"/>
        <w:gridCol w:w="2835"/>
        <w:gridCol w:w="3685"/>
      </w:tblGrid>
      <w:tr w:rsidR="009C2FF5" w:rsidTr="00CC0FE3">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A</w:t>
            </w:r>
          </w:p>
        </w:tc>
        <w:tc>
          <w:tcPr>
            <w:tcW w:w="283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B</w:t>
            </w: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C</w:t>
            </w:r>
          </w:p>
        </w:tc>
      </w:tr>
      <w:tr w:rsidR="009C2FF5" w:rsidTr="00CC0FE3">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8"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ind w:firstLine="5"/>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835"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ind w:firstLine="5"/>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685"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ind w:firstLine="5"/>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részszakképesítéssel</w:t>
            </w:r>
            <w:proofErr w:type="spellEnd"/>
            <w:r>
              <w:rPr>
                <w:rFonts w:ascii="Times New Roman" w:hAnsi="Times New Roman" w:cs="Times New Roman"/>
                <w:b/>
                <w:bCs/>
                <w:sz w:val="20"/>
                <w:szCs w:val="20"/>
              </w:rPr>
              <w:t xml:space="preserve">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9C2FF5" w:rsidTr="00CC0FE3">
        <w:trPr>
          <w:cantSplit/>
          <w:trHeight w:val="188"/>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8" w:type="dxa"/>
            <w:vMerge w:val="restart"/>
            <w:tcBorders>
              <w:top w:val="single" w:sz="4" w:space="0" w:color="auto"/>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r>
              <w:rPr>
                <w:rFonts w:ascii="Times New Roman" w:hAnsi="Times New Roman" w:cs="Times New Roman"/>
                <w:sz w:val="20"/>
                <w:szCs w:val="20"/>
              </w:rPr>
              <w:t>3612</w:t>
            </w:r>
          </w:p>
        </w:tc>
        <w:tc>
          <w:tcPr>
            <w:tcW w:w="2835" w:type="dxa"/>
            <w:vMerge w:val="restart"/>
            <w:tcBorders>
              <w:top w:val="single" w:sz="4" w:space="0" w:color="auto"/>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Pénzintézeti ügyintéző</w:t>
            </w: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Banki és pénzforgalmi ügyintéző</w:t>
            </w:r>
          </w:p>
        </w:tc>
      </w:tr>
      <w:tr w:rsidR="009C2FF5" w:rsidTr="00CC0FE3">
        <w:trPr>
          <w:cantSplit/>
          <w:trHeight w:val="250"/>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8"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p>
        </w:tc>
        <w:tc>
          <w:tcPr>
            <w:tcW w:w="2835"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roofErr w:type="spellStart"/>
            <w:r>
              <w:rPr>
                <w:rFonts w:ascii="Times New Roman" w:hAnsi="Times New Roman" w:cs="Times New Roman"/>
                <w:sz w:val="20"/>
                <w:szCs w:val="20"/>
              </w:rPr>
              <w:t>Értéktárkezelő</w:t>
            </w:r>
            <w:proofErr w:type="spellEnd"/>
            <w:r>
              <w:rPr>
                <w:rFonts w:ascii="Times New Roman" w:hAnsi="Times New Roman" w:cs="Times New Roman"/>
                <w:sz w:val="20"/>
                <w:szCs w:val="20"/>
              </w:rPr>
              <w:t xml:space="preserve"> (banki) </w:t>
            </w:r>
            <w:proofErr w:type="spellStart"/>
            <w:r>
              <w:rPr>
                <w:rFonts w:ascii="Times New Roman" w:hAnsi="Times New Roman" w:cs="Times New Roman"/>
                <w:sz w:val="20"/>
                <w:szCs w:val="20"/>
              </w:rPr>
              <w:t>Értéktáros</w:t>
            </w:r>
            <w:proofErr w:type="spellEnd"/>
            <w:r>
              <w:rPr>
                <w:rFonts w:ascii="Times New Roman" w:hAnsi="Times New Roman" w:cs="Times New Roman"/>
                <w:sz w:val="20"/>
                <w:szCs w:val="20"/>
              </w:rPr>
              <w:t xml:space="preserve"> (banki)</w:t>
            </w:r>
          </w:p>
        </w:tc>
      </w:tr>
      <w:tr w:rsidR="009C2FF5" w:rsidTr="00CC0FE3">
        <w:trPr>
          <w:cantSplit/>
          <w:trHeight w:val="225"/>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8"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p>
        </w:tc>
        <w:tc>
          <w:tcPr>
            <w:tcW w:w="2835"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Valutapénztáros</w:t>
            </w:r>
          </w:p>
        </w:tc>
      </w:tr>
      <w:tr w:rsidR="009C2FF5" w:rsidTr="00CC0FE3">
        <w:trPr>
          <w:cantSplit/>
          <w:trHeight w:val="225"/>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8" w:type="dxa"/>
            <w:vMerge/>
            <w:tcBorders>
              <w:top w:val="nil"/>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Pénzfeldolgozó</w:t>
            </w:r>
          </w:p>
        </w:tc>
      </w:tr>
      <w:tr w:rsidR="009C2FF5" w:rsidTr="00CC0FE3">
        <w:trPr>
          <w:cantSplit/>
          <w:trHeight w:val="213"/>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8" w:type="dxa"/>
            <w:vMerge w:val="restart"/>
            <w:tcBorders>
              <w:top w:val="single" w:sz="4" w:space="0" w:color="auto"/>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r>
              <w:rPr>
                <w:rFonts w:ascii="Times New Roman" w:hAnsi="Times New Roman" w:cs="Times New Roman"/>
                <w:sz w:val="20"/>
                <w:szCs w:val="20"/>
              </w:rPr>
              <w:t>4211</w:t>
            </w:r>
          </w:p>
        </w:tc>
        <w:tc>
          <w:tcPr>
            <w:tcW w:w="2835" w:type="dxa"/>
            <w:vMerge w:val="restart"/>
            <w:tcBorders>
              <w:top w:val="single" w:sz="4" w:space="0" w:color="auto"/>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Banki pénztáros</w:t>
            </w: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 xml:space="preserve">Valutapénztáros </w:t>
            </w:r>
          </w:p>
        </w:tc>
      </w:tr>
      <w:tr w:rsidR="009C2FF5" w:rsidTr="00CC0FE3">
        <w:trPr>
          <w:cantSplit/>
          <w:trHeight w:val="200"/>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8"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p>
        </w:tc>
        <w:tc>
          <w:tcPr>
            <w:tcW w:w="2835" w:type="dxa"/>
            <w:vMerge/>
            <w:tcBorders>
              <w:top w:val="nil"/>
              <w:left w:val="single" w:sz="4" w:space="0" w:color="auto"/>
              <w:bottom w:val="nil"/>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Valutaváltó</w:t>
            </w:r>
          </w:p>
        </w:tc>
      </w:tr>
      <w:tr w:rsidR="009C2FF5" w:rsidTr="00CC0FE3">
        <w:trPr>
          <w:cantSplit/>
          <w:trHeight w:val="263"/>
        </w:trPr>
        <w:tc>
          <w:tcPr>
            <w:tcW w:w="1134"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8" w:type="dxa"/>
            <w:vMerge/>
            <w:tcBorders>
              <w:top w:val="nil"/>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5" w:right="-283"/>
              <w:jc w:val="center"/>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7" w:right="-283"/>
              <w:rPr>
                <w:rFonts w:ascii="Times New Roman" w:hAnsi="Times New Roman" w:cs="Times New Roman"/>
                <w:sz w:val="20"/>
                <w:szCs w:val="20"/>
              </w:rPr>
            </w:pPr>
            <w:r>
              <w:rPr>
                <w:rFonts w:ascii="Times New Roman" w:hAnsi="Times New Roman" w:cs="Times New Roman"/>
                <w:sz w:val="20"/>
                <w:szCs w:val="20"/>
              </w:rPr>
              <w:t>Bankpénztáros</w:t>
            </w:r>
          </w:p>
        </w:tc>
      </w:tr>
    </w:tbl>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pénztárkezelő és valutapénztáros a pénzforgalmi és pénzváltási tevékenységet végző hitelintézeti, illetve a pénzváltó közvetítő szakmában tevékenykedik. A vonatkozó jogszabályoknak és a belső eljárásrendnek megfelelően önállóan valutaváltással kapcsolatos feladatokat végez, ellátja a pénzváltással kapcsolatos ügyintézői és pénztári, pénzkezelői, </w:t>
      </w:r>
      <w:proofErr w:type="spellStart"/>
      <w:r>
        <w:rPr>
          <w:rFonts w:ascii="Times New Roman" w:hAnsi="Times New Roman" w:cs="Times New Roman"/>
          <w:sz w:val="20"/>
          <w:szCs w:val="20"/>
        </w:rPr>
        <w:t>értéktárosi</w:t>
      </w:r>
      <w:proofErr w:type="spellEnd"/>
      <w:r>
        <w:rPr>
          <w:rFonts w:ascii="Times New Roman" w:hAnsi="Times New Roman" w:cs="Times New Roman"/>
          <w:sz w:val="20"/>
          <w:szCs w:val="20"/>
        </w:rPr>
        <w:t xml:space="preserve"> feladatokat. Közreműködik a készpénzforgalom lebonyolításában, elszámolásában. A hazai és külföldi fizetőeszközök vonatkozásában bankjegyfelismerést, forgalomképesség és valódiság tekintetében bankjegyvizsgálatot végez. A valutapénztáros a specifikált </w:t>
      </w:r>
      <w:r>
        <w:rPr>
          <w:rFonts w:ascii="Times New Roman" w:hAnsi="Times New Roman" w:cs="Times New Roman"/>
          <w:sz w:val="20"/>
          <w:szCs w:val="20"/>
        </w:rPr>
        <w:lastRenderedPageBreak/>
        <w:t xml:space="preserve">okmányismerete alapján ügyfél-átvilágítást és személyazonosság vizsgálatot végez. Felelősségi körébe tartozik a pénzmosás és a terrorizmus finanszírozása ellen hatékonyan fellépni, melynek révén hozzájárul a pénzváltó és a pénzügyi intézmények </w:t>
      </w:r>
      <w:proofErr w:type="spellStart"/>
      <w:r>
        <w:rPr>
          <w:rFonts w:ascii="Times New Roman" w:hAnsi="Times New Roman" w:cs="Times New Roman"/>
          <w:sz w:val="20"/>
          <w:szCs w:val="20"/>
        </w:rPr>
        <w:t>prudens</w:t>
      </w:r>
      <w:proofErr w:type="spellEnd"/>
      <w:r>
        <w:rPr>
          <w:rFonts w:ascii="Times New Roman" w:hAnsi="Times New Roman" w:cs="Times New Roman"/>
          <w:sz w:val="20"/>
          <w:szCs w:val="20"/>
        </w:rPr>
        <w:t xml:space="preserve"> működéséhez.</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valuta és csekk beváltását, eladását, konverzióját elvégezni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árfolyamot</w:t>
      </w:r>
      <w:proofErr w:type="gramEnd"/>
      <w:r>
        <w:rPr>
          <w:rFonts w:ascii="Times New Roman" w:hAnsi="Times New Roman" w:cs="Times New Roman"/>
          <w:sz w:val="20"/>
          <w:szCs w:val="20"/>
        </w:rPr>
        <w:t>, jutalékot alkalmazni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árfolyamok meghatározásában, meghirdetésében közreműködni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természetes személy, vállalkozás, szervezet okmányai alapján devizajogi státuszt megállapítani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ügyfél okmányait felismerni, azok alapján személyazonosítást végrehajtani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különféle okmányok hatályosságát, érvényességét megállapítani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ügyfél-átvilágítási</w:t>
      </w:r>
      <w:proofErr w:type="gramEnd"/>
      <w:r>
        <w:rPr>
          <w:rFonts w:ascii="Times New Roman" w:hAnsi="Times New Roman" w:cs="Times New Roman"/>
          <w:sz w:val="20"/>
          <w:szCs w:val="20"/>
        </w:rPr>
        <w:t xml:space="preserve"> intézkedést végrehajtani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egyszerűsített és fokozott ügyfél-átvilágítást megkülönböztetni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különféle ügyfél-nyilatkozatok kitöltésében az ügyfélnek segítséget nyújtani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pénzmosás és terrorizmus finanszírozása gyanúját felismerni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pénzmosás és terrorizmus finanszírozása gyanúja felmerülésekor bejelentést tenni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bejelentéshez alkalmazandó számítógépes programot használni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különféle pénznemeket és csekk típusokat felismerni, megkülönböztetni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forint és valuta forgalomképességét és valódiságát megvizsgálni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csekk érvényességét, valódiságát megállapítani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hamisgyanús forintot, valutát, csekket felismerni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hamisgyanús fizetőeszközök bevonásával kapcsolatos feladatokat végrehajtani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forgalomképtelen bankjegy, érme kezelésével kapcsolatos feladatokat ellátni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pénzváltási műveletet és készletmozgást </w:t>
      </w:r>
      <w:proofErr w:type="spellStart"/>
      <w:r>
        <w:rPr>
          <w:rFonts w:ascii="Times New Roman" w:hAnsi="Times New Roman" w:cs="Times New Roman"/>
          <w:sz w:val="20"/>
          <w:szCs w:val="20"/>
        </w:rPr>
        <w:t>bizonylatolni</w:t>
      </w:r>
      <w:proofErr w:type="spellEnd"/>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pénzváltási bizonylaton, az azonosító adatbázisban ügyféladatokat rögzíteni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pénztárkezeléssel kapcsolatos feladatokat ellátni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értéktári</w:t>
      </w:r>
      <w:proofErr w:type="gramEnd"/>
      <w:r>
        <w:rPr>
          <w:rFonts w:ascii="Times New Roman" w:hAnsi="Times New Roman" w:cs="Times New Roman"/>
          <w:sz w:val="20"/>
          <w:szCs w:val="20"/>
        </w:rPr>
        <w:t xml:space="preserve"> teendőket elvégezni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szükséges napi készletállomány megállapításában közreműködni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pénztárnaplót</w:t>
      </w:r>
      <w:proofErr w:type="gramEnd"/>
      <w:r>
        <w:rPr>
          <w:rFonts w:ascii="Times New Roman" w:hAnsi="Times New Roman" w:cs="Times New Roman"/>
          <w:sz w:val="20"/>
          <w:szCs w:val="20"/>
        </w:rPr>
        <w:t>, értéktári nyilvántartást vezetni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pénzváltó- és nyilvántartó számítógépes programokat használni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papíralapú</w:t>
      </w:r>
      <w:proofErr w:type="gramEnd"/>
      <w:r>
        <w:rPr>
          <w:rFonts w:ascii="Times New Roman" w:hAnsi="Times New Roman" w:cs="Times New Roman"/>
          <w:sz w:val="20"/>
          <w:szCs w:val="20"/>
        </w:rPr>
        <w:t xml:space="preserve"> vagy digitális valuta- és csekktájékoztatót, UV-lámpát, nagyítót használni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munkaköréhez</w:t>
      </w:r>
      <w:proofErr w:type="gramEnd"/>
      <w:r>
        <w:rPr>
          <w:rFonts w:ascii="Times New Roman" w:hAnsi="Times New Roman" w:cs="Times New Roman"/>
          <w:sz w:val="20"/>
          <w:szCs w:val="20"/>
        </w:rPr>
        <w:t xml:space="preserve"> kapcsolódóan iratkezelést végezni</w:t>
      </w:r>
    </w:p>
    <w:p w:rsidR="009C2FF5" w:rsidRDefault="009C2FF5" w:rsidP="009C2FF5">
      <w:pPr>
        <w:autoSpaceDE w:val="0"/>
        <w:autoSpaceDN w:val="0"/>
        <w:adjustRightInd w:val="0"/>
        <w:spacing w:after="0" w:line="240" w:lineRule="auto"/>
        <w:ind w:left="714" w:hanging="35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munkaköréhez</w:t>
      </w:r>
      <w:proofErr w:type="gramEnd"/>
      <w:r>
        <w:rPr>
          <w:rFonts w:ascii="Times New Roman" w:hAnsi="Times New Roman" w:cs="Times New Roman"/>
          <w:sz w:val="20"/>
          <w:szCs w:val="20"/>
        </w:rPr>
        <w:t xml:space="preserve"> kapcsolódóan az ügyfelet tájékoztatni</w:t>
      </w: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851"/>
        <w:gridCol w:w="1701"/>
        <w:gridCol w:w="3685"/>
        <w:gridCol w:w="284"/>
        <w:gridCol w:w="2551"/>
      </w:tblGrid>
      <w:tr w:rsidR="009C2FF5" w:rsidTr="00CC0FE3">
        <w:tc>
          <w:tcPr>
            <w:tcW w:w="8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04"/>
              <w:jc w:val="center"/>
              <w:rPr>
                <w:rFonts w:ascii="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A</w:t>
            </w:r>
          </w:p>
        </w:tc>
        <w:tc>
          <w:tcPr>
            <w:tcW w:w="3685"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sz w:val="20"/>
                <w:szCs w:val="20"/>
              </w:rPr>
              <w:t>C</w:t>
            </w:r>
          </w:p>
        </w:tc>
      </w:tr>
      <w:tr w:rsidR="009C2FF5" w:rsidTr="00CC0FE3">
        <w:tc>
          <w:tcPr>
            <w:tcW w:w="8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8221" w:type="dxa"/>
            <w:gridSpan w:val="4"/>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9C2FF5" w:rsidTr="00CC0FE3">
        <w:tc>
          <w:tcPr>
            <w:tcW w:w="8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0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b/>
                <w:bCs/>
                <w:sz w:val="20"/>
                <w:szCs w:val="20"/>
              </w:rPr>
              <w:t>azonosító száma</w:t>
            </w:r>
          </w:p>
        </w:tc>
        <w:tc>
          <w:tcPr>
            <w:tcW w:w="3969" w:type="dxa"/>
            <w:gridSpan w:val="2"/>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25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firstLine="280"/>
              <w:jc w:val="center"/>
              <w:rPr>
                <w:rFonts w:ascii="Times New Roman" w:hAnsi="Times New Roman" w:cs="Times New Roman"/>
                <w:sz w:val="20"/>
                <w:szCs w:val="20"/>
              </w:rPr>
            </w:pPr>
            <w:r>
              <w:rPr>
                <w:rFonts w:ascii="Times New Roman" w:hAnsi="Times New Roman" w:cs="Times New Roman"/>
                <w:b/>
                <w:bCs/>
                <w:sz w:val="20"/>
                <w:szCs w:val="20"/>
              </w:rPr>
              <w:t>a kapcsolódás módja</w:t>
            </w:r>
          </w:p>
        </w:tc>
      </w:tr>
      <w:tr w:rsidR="009C2FF5" w:rsidTr="00CC0FE3">
        <w:tc>
          <w:tcPr>
            <w:tcW w:w="8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0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1"/>
              <w:jc w:val="both"/>
              <w:rPr>
                <w:rFonts w:ascii="Times New Roman" w:hAnsi="Times New Roman" w:cs="Times New Roman"/>
                <w:sz w:val="20"/>
                <w:szCs w:val="20"/>
              </w:rPr>
            </w:pPr>
            <w:r>
              <w:rPr>
                <w:rFonts w:ascii="Times New Roman" w:hAnsi="Times New Roman" w:cs="Times New Roman"/>
                <w:sz w:val="20"/>
                <w:szCs w:val="20"/>
              </w:rPr>
              <w:t>54 343 01</w:t>
            </w:r>
          </w:p>
        </w:tc>
        <w:tc>
          <w:tcPr>
            <w:tcW w:w="3969" w:type="dxa"/>
            <w:gridSpan w:val="2"/>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1"/>
              <w:rPr>
                <w:rFonts w:ascii="Times New Roman" w:hAnsi="Times New Roman" w:cs="Times New Roman"/>
                <w:sz w:val="20"/>
                <w:szCs w:val="20"/>
              </w:rPr>
            </w:pPr>
            <w:r>
              <w:rPr>
                <w:rFonts w:ascii="Times New Roman" w:hAnsi="Times New Roman" w:cs="Times New Roman"/>
                <w:sz w:val="20"/>
                <w:szCs w:val="20"/>
              </w:rPr>
              <w:t>Pénzügyi termékértékesítő (bank, befektetés, biztosítás)</w:t>
            </w:r>
          </w:p>
        </w:tc>
        <w:tc>
          <w:tcPr>
            <w:tcW w:w="2551"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ind w:left="141"/>
              <w:rPr>
                <w:rFonts w:ascii="Times New Roman" w:hAnsi="Times New Roman" w:cs="Times New Roman"/>
                <w:sz w:val="20"/>
                <w:szCs w:val="20"/>
              </w:rPr>
            </w:pPr>
            <w:r>
              <w:rPr>
                <w:rFonts w:ascii="Times New Roman" w:hAnsi="Times New Roman" w:cs="Times New Roman"/>
                <w:sz w:val="20"/>
                <w:szCs w:val="20"/>
              </w:rPr>
              <w:t>szakképesítés</w:t>
            </w:r>
          </w:p>
        </w:tc>
      </w:tr>
    </w:tbl>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6520"/>
      </w:tblGrid>
      <w:tr w:rsidR="009C2FF5" w:rsidTr="00CC0FE3">
        <w:tc>
          <w:tcPr>
            <w:tcW w:w="851" w:type="dxa"/>
          </w:tcPr>
          <w:p w:rsidR="009C2FF5" w:rsidRDefault="009C2FF5" w:rsidP="00CC0FE3">
            <w:pPr>
              <w:autoSpaceDE w:val="0"/>
              <w:autoSpaceDN w:val="0"/>
              <w:adjustRightInd w:val="0"/>
              <w:spacing w:after="0" w:line="240" w:lineRule="auto"/>
              <w:rPr>
                <w:rFonts w:ascii="Times New Roman" w:hAnsi="Times New Roman" w:cs="Times New Roman"/>
                <w:b/>
                <w:bCs/>
                <w:sz w:val="20"/>
                <w:szCs w:val="20"/>
              </w:rPr>
            </w:pPr>
          </w:p>
        </w:tc>
        <w:tc>
          <w:tcPr>
            <w:tcW w:w="1701"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520"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9C2FF5" w:rsidTr="00CC0FE3">
        <w:tc>
          <w:tcPr>
            <w:tcW w:w="851"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221" w:type="dxa"/>
            <w:gridSpan w:val="2"/>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9C2FF5" w:rsidTr="00CC0FE3">
        <w:tc>
          <w:tcPr>
            <w:tcW w:w="851"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9C2FF5" w:rsidRDefault="009C2FF5" w:rsidP="00CC0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azonosító száma</w:t>
            </w:r>
          </w:p>
        </w:tc>
        <w:tc>
          <w:tcPr>
            <w:tcW w:w="6520"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megnevezése </w:t>
            </w:r>
          </w:p>
        </w:tc>
      </w:tr>
      <w:tr w:rsidR="009C2FF5" w:rsidTr="00CC0FE3">
        <w:tc>
          <w:tcPr>
            <w:tcW w:w="851"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1"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10146-12</w:t>
            </w:r>
          </w:p>
        </w:tc>
        <w:tc>
          <w:tcPr>
            <w:tcW w:w="6520"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Speciális ügyintézői feladatok ellátása</w:t>
            </w:r>
          </w:p>
        </w:tc>
      </w:tr>
      <w:tr w:rsidR="009C2FF5" w:rsidTr="00CC0FE3">
        <w:tc>
          <w:tcPr>
            <w:tcW w:w="851"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1"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10139-12</w:t>
            </w:r>
          </w:p>
        </w:tc>
        <w:tc>
          <w:tcPr>
            <w:tcW w:w="6520"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Bankjegyfelismerés, bankjegyvizsgálat végzése</w:t>
            </w:r>
          </w:p>
        </w:tc>
      </w:tr>
    </w:tbl>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9C2FF5" w:rsidRDefault="009C2FF5" w:rsidP="009C2FF5">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016"/>
        <w:gridCol w:w="4229"/>
        <w:gridCol w:w="2387"/>
      </w:tblGrid>
      <w:tr w:rsidR="009C2FF5" w:rsidTr="00CC0FE3">
        <w:tc>
          <w:tcPr>
            <w:tcW w:w="839" w:type="dxa"/>
          </w:tcPr>
          <w:p w:rsidR="009C2FF5" w:rsidRDefault="009C2FF5" w:rsidP="00CC0FE3">
            <w:pPr>
              <w:autoSpaceDE w:val="0"/>
              <w:autoSpaceDN w:val="0"/>
              <w:adjustRightInd w:val="0"/>
              <w:spacing w:after="0" w:line="240" w:lineRule="auto"/>
              <w:jc w:val="center"/>
              <w:rPr>
                <w:rFonts w:ascii="Times New Roman" w:hAnsi="Times New Roman" w:cs="Times New Roman"/>
                <w:b/>
                <w:bCs/>
                <w:sz w:val="20"/>
                <w:szCs w:val="20"/>
              </w:rPr>
            </w:pPr>
          </w:p>
        </w:tc>
        <w:tc>
          <w:tcPr>
            <w:tcW w:w="1016"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422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387"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C2FF5" w:rsidTr="00CC0FE3">
        <w:tc>
          <w:tcPr>
            <w:tcW w:w="83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632" w:type="dxa"/>
            <w:gridSpan w:val="3"/>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w:t>
            </w:r>
          </w:p>
        </w:tc>
      </w:tr>
      <w:tr w:rsidR="009C2FF5" w:rsidTr="00CC0FE3">
        <w:tc>
          <w:tcPr>
            <w:tcW w:w="83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016"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 száma</w:t>
            </w:r>
          </w:p>
        </w:tc>
        <w:tc>
          <w:tcPr>
            <w:tcW w:w="422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2387"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modulzáró vizsga vizsgatevékenysége</w:t>
            </w:r>
          </w:p>
        </w:tc>
      </w:tr>
      <w:tr w:rsidR="009C2FF5" w:rsidTr="00CC0FE3">
        <w:tc>
          <w:tcPr>
            <w:tcW w:w="83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016"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10146-12</w:t>
            </w:r>
          </w:p>
        </w:tc>
        <w:tc>
          <w:tcPr>
            <w:tcW w:w="4229" w:type="dxa"/>
          </w:tcPr>
          <w:p w:rsidR="009C2FF5" w:rsidRDefault="009C2FF5" w:rsidP="00CC0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Speciális ügyintézői feladatok ellátása</w:t>
            </w:r>
          </w:p>
        </w:tc>
        <w:tc>
          <w:tcPr>
            <w:tcW w:w="2387" w:type="dxa"/>
          </w:tcPr>
          <w:p w:rsidR="009C2FF5" w:rsidRDefault="009C2FF5" w:rsidP="00CC0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9C2FF5" w:rsidTr="00CC0FE3">
        <w:tc>
          <w:tcPr>
            <w:tcW w:w="839" w:type="dxa"/>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016" w:type="dxa"/>
          </w:tcPr>
          <w:p w:rsidR="009C2FF5" w:rsidRDefault="009C2FF5" w:rsidP="00CC0F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10139-12</w:t>
            </w:r>
          </w:p>
        </w:tc>
        <w:tc>
          <w:tcPr>
            <w:tcW w:w="4229" w:type="dxa"/>
          </w:tcPr>
          <w:p w:rsidR="009C2FF5" w:rsidRDefault="009C2FF5" w:rsidP="00CC0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Bankjegyfelismerés, bankjegyvizsgálat végzése</w:t>
            </w:r>
          </w:p>
        </w:tc>
        <w:tc>
          <w:tcPr>
            <w:tcW w:w="2387" w:type="dxa"/>
          </w:tcPr>
          <w:p w:rsidR="009C2FF5" w:rsidRDefault="009C2FF5" w:rsidP="00CC0FE3">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írásbeli</w:t>
            </w:r>
          </w:p>
        </w:tc>
      </w:tr>
    </w:tbl>
    <w:p w:rsidR="009C2FF5" w:rsidRDefault="009C2FF5" w:rsidP="009C2FF5">
      <w:pPr>
        <w:autoSpaceDE w:val="0"/>
        <w:autoSpaceDN w:val="0"/>
        <w:adjustRightInd w:val="0"/>
        <w:spacing w:after="0" w:line="240" w:lineRule="auto"/>
        <w:ind w:left="567"/>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80%-os szinten teljesíti.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9C2FF5" w:rsidRDefault="009C2FF5" w:rsidP="009C2FF5">
      <w:pPr>
        <w:autoSpaceDE w:val="0"/>
        <w:autoSpaceDN w:val="0"/>
        <w:adjustRightInd w:val="0"/>
        <w:spacing w:after="0" w:line="240" w:lineRule="auto"/>
        <w:ind w:left="567"/>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Bankjegyfelismerés, bankjegyvizsgálat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gyakorlati tételsorból a vizsgázó véletlenszerűen húz és szituációs feladaton keresztül a szakmai követelményeknek megfelelően forint és külföldi bankjegy felismerést végez, megállapítja azok valódiságát és forgalomképességét, számot ad a hamisgyanús fizetőeszközök kezelésével kapcsolatos teendőkről.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25%</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Speciális ügyintézői feladatok, bankjegyfelismerés, bankjegyvizsgálat</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Speciális ügyintézői feladatokat, valamint a bankjegyfelismerést, bankjegyvizsgálatot 50% - 50%-ban tartalmazza.</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 a szakképesítésért felelős miniszter által kiadott és a honlapján közzétett Útmutató alapján kerül lebonyolításra.</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Speciális ügyintézői feladatok: a pénzváltási tevékenység alapfogalmainak (pénzváltás, hitelintézet, pénzváltó közvetítő, fizetőeszközök, valuta, deviza, devizabelföldi, devizakülföldi) értelmezése. Ügyintézői feladatok (pénzforgalom lebonyolításának módozatai, pénz- és értékkezelés) eljárási szabályai. Speciális ügyintézői feladatok (valuta-és csekkváltás szabályai, a pénzmosás és terrorizmus finanszírozásának megelőzésével kapcsolatos intézkedések, specifikált okmányismeret, belső szabályozási mechanizmus, bizonylatolás, fogyasztói bejelentések kezelése) értelmezése, eljárási szabályok alkalmazása, alapvető esetmegoldások és számítási feladatok, 25 kérdésből álló feleletválasztós írásbeli feladatlap alapján.</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Bankjegyfelismerés, bankjegyvizsgálat: A hazai és külföldi bankjegyismeret (érvényesség, valódiságellenőrzési ismérvek), a bankjegypapírban és nyomtatásban alkalmazott biztonsági eljárások bemutatása, 25 kérdésből álló feleletválasztós írásbeli feladatlap alapján.</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 (30 perc + 30 perc)</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50%</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5.3.3. Szóbeli vizsgatevékenység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Speciális ügyintézői feladatok</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A vizsgafeladat ismertetése: A hitelintézeti pénzváltó és a pénzváltó közvetítő jogszerű működésének, működési feltételeinek sajátosságait; a pénzváltási műveleteket; az ügyfél-kiszolgálás kérdéseit és esetmegoldásait; az </w:t>
      </w:r>
      <w:r>
        <w:rPr>
          <w:rFonts w:ascii="Times New Roman" w:hAnsi="Times New Roman" w:cs="Times New Roman"/>
          <w:sz w:val="20"/>
          <w:szCs w:val="20"/>
        </w:rPr>
        <w:lastRenderedPageBreak/>
        <w:t xml:space="preserve">ügyfél-átvilágítás menetét, elemeinek részletes kifejtését; természetes személyek, vállalkozások okmányismertetését; a devizajogi státusz megállapításának esetmegoldásait; a különféle nyilatkozatok kitöltésének eseteit; a hamisgyanús és forgalomképtelen készpénz kezelését; a pénz- és értékkezelést; pénzváltás során az adatvédelem, adatkezelés és panaszkezelés sajátosságait; </w:t>
      </w:r>
      <w:proofErr w:type="gramEnd"/>
      <w:r>
        <w:rPr>
          <w:rFonts w:ascii="Times New Roman" w:hAnsi="Times New Roman" w:cs="Times New Roman"/>
          <w:sz w:val="20"/>
          <w:szCs w:val="20"/>
        </w:rPr>
        <w:t xml:space="preserve">a </w:t>
      </w:r>
      <w:proofErr w:type="gramStart"/>
      <w:r>
        <w:rPr>
          <w:rFonts w:ascii="Times New Roman" w:hAnsi="Times New Roman" w:cs="Times New Roman"/>
          <w:sz w:val="20"/>
          <w:szCs w:val="20"/>
        </w:rPr>
        <w:t>bizonylatok</w:t>
      </w:r>
      <w:proofErr w:type="gramEnd"/>
      <w:r>
        <w:rPr>
          <w:rFonts w:ascii="Times New Roman" w:hAnsi="Times New Roman" w:cs="Times New Roman"/>
          <w:sz w:val="20"/>
          <w:szCs w:val="20"/>
        </w:rPr>
        <w:t xml:space="preserve"> kitöltését, pénztárnapló elkészítését esetmegoldásokkal tartalmazza.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25%</w:t>
      </w: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9C2FF5" w:rsidRDefault="009C2FF5" w:rsidP="009C2FF5">
      <w:pPr>
        <w:autoSpaceDE w:val="0"/>
        <w:autoSpaceDN w:val="0"/>
        <w:adjustRightInd w:val="0"/>
        <w:spacing w:after="0" w:line="240" w:lineRule="auto"/>
        <w:ind w:left="567"/>
        <w:jc w:val="both"/>
        <w:rPr>
          <w:rFonts w:ascii="Times New Roman" w:hAnsi="Times New Roman" w:cs="Times New Roman"/>
          <w:sz w:val="20"/>
          <w:szCs w:val="20"/>
        </w:rPr>
      </w:pPr>
    </w:p>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modulzáró vizsgatevékenységek szervezésére, lebonyolítására és az értékelésre vonatkozó szabályokat a szakképesítésért felelős miniszter a http://www.kormany.hu/hu/nemzetgazdasagi-miniszterium/ado-es-penzugyekert-felelos-allamtitkarsag/hirek/penzugyi-agazati-szakkepzesi-es-szabalyozott-szakmak című honlapján közzéteszi.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szóbeli vizsgatevékenységét és a Bankjegyfelismerés, bankjegyvizsgálat gyakorlati vizsgatevékenységét egy vizsganapon kell lebonyolítani.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vizsgatevékenységek vizsgaidőpontjai tekintetében a szakképesítésért felelős miniszter honlapján közreadott </w:t>
      </w:r>
      <w:proofErr w:type="spellStart"/>
      <w:r>
        <w:rPr>
          <w:rFonts w:ascii="Times New Roman" w:hAnsi="Times New Roman" w:cs="Times New Roman"/>
          <w:sz w:val="20"/>
          <w:szCs w:val="20"/>
        </w:rPr>
        <w:t>vizsganaptára</w:t>
      </w:r>
      <w:proofErr w:type="spellEnd"/>
      <w:r>
        <w:rPr>
          <w:rFonts w:ascii="Times New Roman" w:hAnsi="Times New Roman" w:cs="Times New Roman"/>
          <w:sz w:val="20"/>
          <w:szCs w:val="20"/>
        </w:rPr>
        <w:t xml:space="preserve"> az irányadó.</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tételeket.</w:t>
      </w:r>
    </w:p>
    <w:p w:rsidR="009C2FF5" w:rsidRDefault="009C2FF5" w:rsidP="009C2FF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szakmai vizsgán kizárólag a felelős miniszter honlapján közzétett segédeszközök használhatóak.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kapcsolatos előírások az állami szakképzési és felnőttképzési szerv http://www.munka.hu/ című weblapján is elérhetők a Szak- és felnőttképzés Vizsgák menüpontjában.</w:t>
      </w: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5.5. A szakmai vizsga értékelésének a szakmai vizsgaszabályzattól eltérő szempontjai: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csak akkor eredményes, ha a vizsgázó a speciális ügyintézői feladatokat és a bankjegyfelismerés, bankjegyvizsgálathoz kapcsolódó feladatokat külön-külön legalább 80%-os szinten teljesíti.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szóbeli vizsgatevékenysége csak akkor kezdhető meg, ha a Speciális ügyintézői feladatok, bankjegyfelismerés, bankjegyvizsgálat vizsgafeladat írásbeli vizsgatevékenysége során a vizsgázó a speciális ügyintézői feladatrészben (vonatkozó 25 kérdéses rész) legalább 80 %-os teljesítményt ért el.</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Bankjegyfelismerés, bankjegyvizsgálat gyakorlati vizsgatevékenysége csak akkor kezdhető meg, ha a Speciális ügyintézői feladatok, bankjegyfelismerés, bankjegyvizsgálat vizsgafeladat írásbeli vizsgatevékenysége során a vizsgázó a bankjegyfelismerés, bankjegyvizsgálat feladatrészben (vonatkozó 25 kérdéses rész) legalább 80 %-os teljesítményt ért el.</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szóbeli vizsgatevékenysége akkor eredményes, ha a szóbeli vizsgatevékenység során a vizsgázó legalább 80 %-os teljesítményt ért el.</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Bankjegyfelismerés, bankjegyvizsgálat gyakorlati vizsgatevékenysége csak akkor eredményes, ha a gyakorlati vizsgatevékenység során a vizsgázó legalább 80 %-os teljesítményt ért el.</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vizsgatevékenységeinek érdemjegye az elért %-os teljesítmények alapján:</w:t>
      </w:r>
    </w:p>
    <w:p w:rsidR="009C2FF5" w:rsidRDefault="009C2FF5" w:rsidP="009C2FF5">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95–100%</w:t>
      </w:r>
      <w:r>
        <w:rPr>
          <w:rFonts w:ascii="Times New Roman" w:hAnsi="Times New Roman" w:cs="Times New Roman"/>
          <w:sz w:val="20"/>
          <w:szCs w:val="20"/>
        </w:rPr>
        <w:tab/>
        <w:t>jeles (5)</w:t>
      </w:r>
    </w:p>
    <w:p w:rsidR="009C2FF5" w:rsidRDefault="009C2FF5" w:rsidP="009C2FF5">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90–94%</w:t>
      </w:r>
      <w:r>
        <w:rPr>
          <w:rFonts w:ascii="Times New Roman" w:hAnsi="Times New Roman" w:cs="Times New Roman"/>
          <w:sz w:val="20"/>
          <w:szCs w:val="20"/>
        </w:rPr>
        <w:tab/>
        <w:t>jó (4)</w:t>
      </w:r>
    </w:p>
    <w:p w:rsidR="009C2FF5" w:rsidRDefault="009C2FF5" w:rsidP="009C2FF5">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85–89%</w:t>
      </w:r>
      <w:r>
        <w:rPr>
          <w:rFonts w:ascii="Times New Roman" w:hAnsi="Times New Roman" w:cs="Times New Roman"/>
          <w:sz w:val="20"/>
          <w:szCs w:val="20"/>
        </w:rPr>
        <w:tab/>
        <w:t>közepes (3)</w:t>
      </w:r>
    </w:p>
    <w:p w:rsidR="009C2FF5" w:rsidRDefault="009C2FF5" w:rsidP="009C2FF5">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80–84%</w:t>
      </w:r>
      <w:r>
        <w:rPr>
          <w:rFonts w:ascii="Times New Roman" w:hAnsi="Times New Roman" w:cs="Times New Roman"/>
          <w:sz w:val="20"/>
          <w:szCs w:val="20"/>
        </w:rPr>
        <w:tab/>
        <w:t>elégséges (2)</w:t>
      </w:r>
    </w:p>
    <w:p w:rsidR="009C2FF5" w:rsidRDefault="009C2FF5" w:rsidP="009C2FF5">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0-79 %</w:t>
      </w:r>
      <w:r>
        <w:rPr>
          <w:rFonts w:ascii="Times New Roman" w:hAnsi="Times New Roman" w:cs="Times New Roman"/>
          <w:sz w:val="20"/>
          <w:szCs w:val="20"/>
        </w:rPr>
        <w:tab/>
        <w:t>elégtelen (1)</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vizsgatevékenység eredményes, úgy a komplex szakmai vizsga osztályzatát a vizsgatevékenységenként elért érdemjegyek vizsgafeladat arányával súlyozott átlaga alapján két tizedesre kerekítve az általános szabályok szerint (0,50-től felfelé) kell meghatározni.</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vizsgatevékenységének érdemjegye elégtelen (1). Javítóvizsgát abból a vizsgatevékenységből kell tenni, amelyből a vizsgázó teljesítményét elégtelenre (1) minősítette a vizsgabizottság.</w:t>
      </w:r>
    </w:p>
    <w:p w:rsidR="009C2FF5" w:rsidRDefault="009C2FF5" w:rsidP="009C2FF5">
      <w:pPr>
        <w:autoSpaceDE w:val="0"/>
        <w:autoSpaceDN w:val="0"/>
        <w:adjustRightInd w:val="0"/>
        <w:spacing w:after="0" w:line="240" w:lineRule="auto"/>
        <w:rPr>
          <w:rFonts w:ascii="Times New Roman" w:hAnsi="Times New Roman" w:cs="Times New Roman"/>
          <w:b/>
          <w:bCs/>
          <w:sz w:val="20"/>
          <w:szCs w:val="20"/>
          <w:u w:val="single"/>
        </w:rPr>
      </w:pPr>
    </w:p>
    <w:p w:rsidR="009C2FF5" w:rsidRDefault="009C2FF5" w:rsidP="009C2FF5">
      <w:pPr>
        <w:autoSpaceDE w:val="0"/>
        <w:autoSpaceDN w:val="0"/>
        <w:adjustRightInd w:val="0"/>
        <w:spacing w:after="0" w:line="240" w:lineRule="auto"/>
        <w:rPr>
          <w:rFonts w:ascii="Times New Roman" w:hAnsi="Times New Roman" w:cs="Times New Roman"/>
          <w:b/>
          <w:bCs/>
          <w:sz w:val="20"/>
          <w:szCs w:val="20"/>
          <w:u w:val="single"/>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9C2FF5" w:rsidRDefault="009C2FF5" w:rsidP="009C2FF5">
      <w:pPr>
        <w:autoSpaceDE w:val="0"/>
        <w:autoSpaceDN w:val="0"/>
        <w:adjustRightInd w:val="0"/>
        <w:spacing w:after="0" w:line="240" w:lineRule="auto"/>
        <w:rPr>
          <w:rFonts w:ascii="Times New Roman" w:hAnsi="Times New Roman" w:cs="Times New Roman"/>
          <w:b/>
          <w:bCs/>
          <w:sz w:val="20"/>
          <w:szCs w:val="20"/>
          <w:u w:val="single"/>
        </w:rPr>
      </w:pPr>
    </w:p>
    <w:tbl>
      <w:tblPr>
        <w:tblW w:w="0" w:type="auto"/>
        <w:jc w:val="center"/>
        <w:tblLayout w:type="fixed"/>
        <w:tblCellMar>
          <w:left w:w="0" w:type="dxa"/>
          <w:right w:w="0" w:type="dxa"/>
        </w:tblCellMar>
        <w:tblLook w:val="0000" w:firstRow="0" w:lastRow="0" w:firstColumn="0" w:lastColumn="0" w:noHBand="0" w:noVBand="0"/>
      </w:tblPr>
      <w:tblGrid>
        <w:gridCol w:w="993"/>
        <w:gridCol w:w="6378"/>
      </w:tblGrid>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w:t>
            </w:r>
          </w:p>
        </w:tc>
      </w:tr>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378"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378" w:type="dxa"/>
            <w:tcBorders>
              <w:top w:val="single" w:sz="4" w:space="0" w:color="auto"/>
              <w:left w:val="single" w:sz="4" w:space="0" w:color="auto"/>
              <w:bottom w:val="single" w:sz="4" w:space="0" w:color="auto"/>
              <w:right w:val="single" w:sz="4" w:space="0" w:color="auto"/>
            </w:tcBorders>
            <w:vAlign w:val="bottom"/>
          </w:tcPr>
          <w:p w:rsidR="009C2FF5" w:rsidRDefault="009C2FF5" w:rsidP="00CC0FE3">
            <w:pPr>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UV-lámpa</w:t>
            </w:r>
          </w:p>
        </w:tc>
      </w:tr>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378" w:type="dxa"/>
            <w:tcBorders>
              <w:top w:val="single" w:sz="4" w:space="0" w:color="auto"/>
              <w:left w:val="single" w:sz="4" w:space="0" w:color="auto"/>
              <w:bottom w:val="single" w:sz="4" w:space="0" w:color="auto"/>
              <w:right w:val="single" w:sz="4" w:space="0" w:color="auto"/>
            </w:tcBorders>
            <w:vAlign w:val="bottom"/>
          </w:tcPr>
          <w:p w:rsidR="009C2FF5" w:rsidRDefault="009C2FF5" w:rsidP="00CC0FE3">
            <w:pPr>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Nagyító</w:t>
            </w:r>
          </w:p>
        </w:tc>
      </w:tr>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378" w:type="dxa"/>
            <w:tcBorders>
              <w:top w:val="single" w:sz="4" w:space="0" w:color="auto"/>
              <w:left w:val="single" w:sz="4" w:space="0" w:color="auto"/>
              <w:bottom w:val="single" w:sz="4" w:space="0" w:color="auto"/>
              <w:right w:val="single" w:sz="4" w:space="0" w:color="auto"/>
            </w:tcBorders>
            <w:vAlign w:val="bottom"/>
          </w:tcPr>
          <w:p w:rsidR="009C2FF5" w:rsidRDefault="009C2FF5" w:rsidP="00CC0FE3">
            <w:pPr>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Mintaszabályzatok</w:t>
            </w:r>
          </w:p>
        </w:tc>
      </w:tr>
      <w:tr w:rsidR="009C2FF5" w:rsidTr="00CC0FE3">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C2FF5" w:rsidRDefault="009C2FF5" w:rsidP="00CC0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6378" w:type="dxa"/>
            <w:tcBorders>
              <w:top w:val="single" w:sz="4" w:space="0" w:color="auto"/>
              <w:left w:val="single" w:sz="4" w:space="0" w:color="auto"/>
              <w:bottom w:val="single" w:sz="4" w:space="0" w:color="auto"/>
              <w:right w:val="single" w:sz="4" w:space="0" w:color="auto"/>
            </w:tcBorders>
            <w:vAlign w:val="bottom"/>
          </w:tcPr>
          <w:p w:rsidR="009C2FF5" w:rsidRDefault="009C2FF5" w:rsidP="00CC0FE3">
            <w:pPr>
              <w:autoSpaceDE w:val="0"/>
              <w:autoSpaceDN w:val="0"/>
              <w:adjustRightInd w:val="0"/>
              <w:spacing w:after="0" w:line="240" w:lineRule="auto"/>
              <w:ind w:left="142"/>
              <w:rPr>
                <w:rFonts w:ascii="Times New Roman" w:hAnsi="Times New Roman" w:cs="Times New Roman"/>
                <w:sz w:val="20"/>
                <w:szCs w:val="20"/>
              </w:rPr>
            </w:pPr>
            <w:r>
              <w:rPr>
                <w:rFonts w:ascii="Times New Roman" w:hAnsi="Times New Roman" w:cs="Times New Roman"/>
                <w:sz w:val="20"/>
                <w:szCs w:val="20"/>
              </w:rPr>
              <w:t>Bizonylatok, formanyomtatványok</w:t>
            </w:r>
          </w:p>
        </w:tc>
      </w:tr>
    </w:tbl>
    <w:p w:rsidR="009C2FF5" w:rsidRDefault="009C2FF5" w:rsidP="009C2FF5">
      <w:pPr>
        <w:autoSpaceDE w:val="0"/>
        <w:autoSpaceDN w:val="0"/>
        <w:adjustRightInd w:val="0"/>
        <w:spacing w:after="0" w:line="240" w:lineRule="auto"/>
        <w:jc w:val="center"/>
        <w:rPr>
          <w:rFonts w:ascii="Times New Roman" w:hAnsi="Times New Roman" w:cs="Times New Roman"/>
          <w:sz w:val="20"/>
          <w:szCs w:val="20"/>
        </w:rPr>
      </w:pPr>
    </w:p>
    <w:p w:rsidR="009C2FF5" w:rsidRDefault="009C2FF5" w:rsidP="009C2FF5">
      <w:pPr>
        <w:autoSpaceDE w:val="0"/>
        <w:autoSpaceDN w:val="0"/>
        <w:adjustRightInd w:val="0"/>
        <w:spacing w:after="0" w:line="240" w:lineRule="auto"/>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9C2FF5" w:rsidRDefault="009C2FF5" w:rsidP="009C2FF5">
      <w:pPr>
        <w:autoSpaceDE w:val="0"/>
        <w:autoSpaceDN w:val="0"/>
        <w:adjustRightInd w:val="0"/>
        <w:spacing w:after="0" w:line="240" w:lineRule="auto"/>
        <w:jc w:val="center"/>
        <w:rPr>
          <w:rFonts w:ascii="Times New Roman" w:hAnsi="Times New Roman" w:cs="Times New Roman"/>
          <w:b/>
          <w:bCs/>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 A modulzáró </w:t>
      </w:r>
      <w:proofErr w:type="gramStart"/>
      <w:r>
        <w:rPr>
          <w:rFonts w:ascii="Times New Roman" w:hAnsi="Times New Roman" w:cs="Times New Roman"/>
          <w:sz w:val="20"/>
          <w:szCs w:val="20"/>
        </w:rPr>
        <w:t>vizsga kötelező</w:t>
      </w:r>
      <w:proofErr w:type="gramEnd"/>
      <w:r>
        <w:rPr>
          <w:rFonts w:ascii="Times New Roman" w:hAnsi="Times New Roman" w:cs="Times New Roman"/>
          <w:sz w:val="20"/>
          <w:szCs w:val="20"/>
        </w:rPr>
        <w:t xml:space="preserve"> tartalmi elemei: </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10146-12 Speciális ügyintézői feladatok ellátása és a 10139-12 Bankjegyfelismerés, bankjegyvizsgálat végzése szakmai követelménymodulokhoz rendelt írásbeli modulzáró vizsgafeladatait a szakmai követelményekkel összhangban a szakmai képzést folytató intézmény állítja össze.</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szakmai vizsgabizottságban való részvételre kijelölt szakmai szervezet:</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Nemzeti Bank</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állami szakképzési és felnőttképzési szerv a vizsgabizottság egy tagját csak az MNB javaslata alapján bízhatja meg.</w:t>
      </w:r>
    </w:p>
    <w:p w:rsidR="009C2FF5" w:rsidRDefault="009C2FF5" w:rsidP="009C2F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szakmai vizsgabizottság munkáját segítő szakértői feladatok ellátására csak a pénzváltás szakmai felügyeletét korábban és jelenleg ellátó hatóság (MNB, PSZÁF), vagy </w:t>
      </w:r>
      <w:proofErr w:type="gramStart"/>
      <w:r>
        <w:rPr>
          <w:rFonts w:ascii="Times New Roman" w:hAnsi="Times New Roman" w:cs="Times New Roman"/>
          <w:sz w:val="20"/>
          <w:szCs w:val="20"/>
        </w:rPr>
        <w:t>intézmény engedélyezéssel</w:t>
      </w:r>
      <w:proofErr w:type="gramEnd"/>
      <w:r>
        <w:rPr>
          <w:rFonts w:ascii="Times New Roman" w:hAnsi="Times New Roman" w:cs="Times New Roman"/>
          <w:sz w:val="20"/>
          <w:szCs w:val="20"/>
        </w:rPr>
        <w:t>, ellenőrzéssel foglalkozó volt, vagy jelenlegi szakértő munkatársa jogosult.</w:t>
      </w:r>
    </w:p>
    <w:p w:rsidR="00495191" w:rsidRDefault="00307BCE"/>
    <w:sectPr w:rsidR="004951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CE" w:rsidRDefault="00307BCE" w:rsidP="00227B5A">
      <w:pPr>
        <w:spacing w:after="0" w:line="240" w:lineRule="auto"/>
      </w:pPr>
      <w:r>
        <w:separator/>
      </w:r>
    </w:p>
  </w:endnote>
  <w:endnote w:type="continuationSeparator" w:id="0">
    <w:p w:rsidR="00307BCE" w:rsidRDefault="00307BCE" w:rsidP="0022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38998"/>
      <w:docPartObj>
        <w:docPartGallery w:val="Page Numbers (Bottom of Page)"/>
        <w:docPartUnique/>
      </w:docPartObj>
    </w:sdtPr>
    <w:sdtEndPr>
      <w:rPr>
        <w:rFonts w:ascii="Times New Roman" w:hAnsi="Times New Roman" w:cs="Times New Roman"/>
        <w:sz w:val="20"/>
        <w:szCs w:val="20"/>
      </w:rPr>
    </w:sdtEndPr>
    <w:sdtContent>
      <w:p w:rsidR="00227B5A" w:rsidRPr="00227B5A" w:rsidRDefault="00227B5A">
        <w:pPr>
          <w:pStyle w:val="llb"/>
          <w:jc w:val="center"/>
          <w:rPr>
            <w:rFonts w:ascii="Times New Roman" w:hAnsi="Times New Roman" w:cs="Times New Roman"/>
            <w:sz w:val="20"/>
            <w:szCs w:val="20"/>
          </w:rPr>
        </w:pPr>
        <w:r w:rsidRPr="00227B5A">
          <w:rPr>
            <w:rFonts w:ascii="Times New Roman" w:hAnsi="Times New Roman" w:cs="Times New Roman"/>
            <w:sz w:val="20"/>
            <w:szCs w:val="20"/>
          </w:rPr>
          <w:fldChar w:fldCharType="begin"/>
        </w:r>
        <w:r w:rsidRPr="00227B5A">
          <w:rPr>
            <w:rFonts w:ascii="Times New Roman" w:hAnsi="Times New Roman" w:cs="Times New Roman"/>
            <w:sz w:val="20"/>
            <w:szCs w:val="20"/>
          </w:rPr>
          <w:instrText>PAGE   \* MERGEFORMAT</w:instrText>
        </w:r>
        <w:r w:rsidRPr="00227B5A">
          <w:rPr>
            <w:rFonts w:ascii="Times New Roman" w:hAnsi="Times New Roman" w:cs="Times New Roman"/>
            <w:sz w:val="20"/>
            <w:szCs w:val="20"/>
          </w:rPr>
          <w:fldChar w:fldCharType="separate"/>
        </w:r>
        <w:r>
          <w:rPr>
            <w:rFonts w:ascii="Times New Roman" w:hAnsi="Times New Roman" w:cs="Times New Roman"/>
            <w:noProof/>
            <w:sz w:val="20"/>
            <w:szCs w:val="20"/>
          </w:rPr>
          <w:t>1</w:t>
        </w:r>
        <w:r w:rsidRPr="00227B5A">
          <w:rPr>
            <w:rFonts w:ascii="Times New Roman" w:hAnsi="Times New Roman" w:cs="Times New Roman"/>
            <w:sz w:val="20"/>
            <w:szCs w:val="20"/>
          </w:rPr>
          <w:fldChar w:fldCharType="end"/>
        </w:r>
      </w:p>
    </w:sdtContent>
  </w:sdt>
  <w:p w:rsidR="00227B5A" w:rsidRDefault="00227B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CE" w:rsidRDefault="00307BCE" w:rsidP="00227B5A">
      <w:pPr>
        <w:spacing w:after="0" w:line="240" w:lineRule="auto"/>
      </w:pPr>
      <w:r>
        <w:separator/>
      </w:r>
    </w:p>
  </w:footnote>
  <w:footnote w:type="continuationSeparator" w:id="0">
    <w:p w:rsidR="00307BCE" w:rsidRDefault="00307BCE" w:rsidP="0022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5A" w:rsidRDefault="00227B5A" w:rsidP="00227B5A">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227B5A" w:rsidRDefault="00227B5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F5"/>
    <w:rsid w:val="00227B5A"/>
    <w:rsid w:val="002C1716"/>
    <w:rsid w:val="00307BCE"/>
    <w:rsid w:val="005B133E"/>
    <w:rsid w:val="009C2F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2FF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7B5A"/>
    <w:pPr>
      <w:tabs>
        <w:tab w:val="center" w:pos="4536"/>
        <w:tab w:val="right" w:pos="9072"/>
      </w:tabs>
      <w:spacing w:after="0" w:line="240" w:lineRule="auto"/>
    </w:pPr>
  </w:style>
  <w:style w:type="character" w:customStyle="1" w:styleId="lfejChar">
    <w:name w:val="Élőfej Char"/>
    <w:basedOn w:val="Bekezdsalapbettpusa"/>
    <w:link w:val="lfej"/>
    <w:uiPriority w:val="99"/>
    <w:rsid w:val="00227B5A"/>
  </w:style>
  <w:style w:type="paragraph" w:styleId="llb">
    <w:name w:val="footer"/>
    <w:basedOn w:val="Norml"/>
    <w:link w:val="llbChar"/>
    <w:uiPriority w:val="99"/>
    <w:unhideWhenUsed/>
    <w:rsid w:val="00227B5A"/>
    <w:pPr>
      <w:tabs>
        <w:tab w:val="center" w:pos="4536"/>
        <w:tab w:val="right" w:pos="9072"/>
      </w:tabs>
      <w:spacing w:after="0" w:line="240" w:lineRule="auto"/>
    </w:pPr>
  </w:style>
  <w:style w:type="character" w:customStyle="1" w:styleId="llbChar">
    <w:name w:val="Élőláb Char"/>
    <w:basedOn w:val="Bekezdsalapbettpusa"/>
    <w:link w:val="llb"/>
    <w:uiPriority w:val="99"/>
    <w:rsid w:val="00227B5A"/>
  </w:style>
  <w:style w:type="paragraph" w:styleId="Buborkszveg">
    <w:name w:val="Balloon Text"/>
    <w:basedOn w:val="Norml"/>
    <w:link w:val="BuborkszvegChar"/>
    <w:uiPriority w:val="99"/>
    <w:semiHidden/>
    <w:unhideWhenUsed/>
    <w:rsid w:val="00227B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7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2FF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7B5A"/>
    <w:pPr>
      <w:tabs>
        <w:tab w:val="center" w:pos="4536"/>
        <w:tab w:val="right" w:pos="9072"/>
      </w:tabs>
      <w:spacing w:after="0" w:line="240" w:lineRule="auto"/>
    </w:pPr>
  </w:style>
  <w:style w:type="character" w:customStyle="1" w:styleId="lfejChar">
    <w:name w:val="Élőfej Char"/>
    <w:basedOn w:val="Bekezdsalapbettpusa"/>
    <w:link w:val="lfej"/>
    <w:uiPriority w:val="99"/>
    <w:rsid w:val="00227B5A"/>
  </w:style>
  <w:style w:type="paragraph" w:styleId="llb">
    <w:name w:val="footer"/>
    <w:basedOn w:val="Norml"/>
    <w:link w:val="llbChar"/>
    <w:uiPriority w:val="99"/>
    <w:unhideWhenUsed/>
    <w:rsid w:val="00227B5A"/>
    <w:pPr>
      <w:tabs>
        <w:tab w:val="center" w:pos="4536"/>
        <w:tab w:val="right" w:pos="9072"/>
      </w:tabs>
      <w:spacing w:after="0" w:line="240" w:lineRule="auto"/>
    </w:pPr>
  </w:style>
  <w:style w:type="character" w:customStyle="1" w:styleId="llbChar">
    <w:name w:val="Élőláb Char"/>
    <w:basedOn w:val="Bekezdsalapbettpusa"/>
    <w:link w:val="llb"/>
    <w:uiPriority w:val="99"/>
    <w:rsid w:val="00227B5A"/>
  </w:style>
  <w:style w:type="paragraph" w:styleId="Buborkszveg">
    <w:name w:val="Balloon Text"/>
    <w:basedOn w:val="Norml"/>
    <w:link w:val="BuborkszvegChar"/>
    <w:uiPriority w:val="99"/>
    <w:semiHidden/>
    <w:unhideWhenUsed/>
    <w:rsid w:val="00227B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C7"/>
    <w:rsid w:val="001C0392"/>
    <w:rsid w:val="00E06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756A84FAC5D4B76A0EC68DD90B020DE">
    <w:name w:val="9756A84FAC5D4B76A0EC68DD90B020DE"/>
    <w:rsid w:val="00E06E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756A84FAC5D4B76A0EC68DD90B020DE">
    <w:name w:val="9756A84FAC5D4B76A0EC68DD90B020DE"/>
    <w:rsid w:val="00E06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11568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NMH-SZFI</dc:creator>
  <cp:keywords/>
  <dc:description/>
  <cp:lastModifiedBy>NSZFI</cp:lastModifiedBy>
  <cp:revision>2</cp:revision>
  <dcterms:created xsi:type="dcterms:W3CDTF">2013-05-24T07:58:00Z</dcterms:created>
  <dcterms:modified xsi:type="dcterms:W3CDTF">2013-05-28T09:55:00Z</dcterms:modified>
</cp:coreProperties>
</file>