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8F" w:rsidRDefault="005D6E8F" w:rsidP="005D6E8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30. sorszámú Cukrász megnevezésű szakképesítés szakmai és vizsgakövetelménye</w:t>
      </w:r>
    </w:p>
    <w:p w:rsidR="005D6E8F" w:rsidRDefault="005D6E8F" w:rsidP="005D6E8F">
      <w:pPr>
        <w:widowControl w:val="0"/>
        <w:autoSpaceDE w:val="0"/>
        <w:autoSpaceDN w:val="0"/>
        <w:adjustRightInd w:val="0"/>
        <w:spacing w:after="0" w:line="240" w:lineRule="auto"/>
        <w:jc w:val="center"/>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AZ ORSZÁGOS KÉPZÉSI JEGYZÉKBEN SZEREPLŐ ADATOK</w:t>
      </w:r>
    </w:p>
    <w:p w:rsidR="005D6E8F" w:rsidRDefault="005D6E8F" w:rsidP="005D6E8F">
      <w:pPr>
        <w:widowControl w:val="0"/>
        <w:autoSpaceDE w:val="0"/>
        <w:autoSpaceDN w:val="0"/>
        <w:adjustRightInd w:val="0"/>
        <w:spacing w:after="0" w:line="240" w:lineRule="auto"/>
        <w:ind w:firstLine="204"/>
        <w:jc w:val="both"/>
        <w:rPr>
          <w:rFonts w:ascii="Times New Roman" w:hAnsi="Times New Roman" w:cs="Times New Roman"/>
          <w:b/>
          <w:bCs/>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 A szakképesítés azonosító száma: 34 811 01</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 Szakképesítés megnevezése: Cukrász</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 Iskolai rendszerű szakképzésben a szakképzési évfolyamok száma: 3</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 Iskolarendszeren kívüli szakképzésben az óraszám: 960-1440</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EGYÉB ADATOK</w:t>
      </w:r>
    </w:p>
    <w:p w:rsidR="005D6E8F" w:rsidRDefault="005D6E8F" w:rsidP="005D6E8F">
      <w:pPr>
        <w:widowControl w:val="0"/>
        <w:autoSpaceDE w:val="0"/>
        <w:autoSpaceDN w:val="0"/>
        <w:adjustRightInd w:val="0"/>
        <w:spacing w:after="0" w:line="240" w:lineRule="auto"/>
        <w:jc w:val="center"/>
        <w:rPr>
          <w:rFonts w:ascii="Times New Roman" w:hAnsi="Times New Roman" w:cs="Times New Roman"/>
          <w:sz w:val="20"/>
          <w:szCs w:val="20"/>
        </w:rPr>
      </w:pPr>
    </w:p>
    <w:p w:rsidR="005D6E8F" w:rsidRDefault="005D6E8F" w:rsidP="005D6E8F">
      <w:pPr>
        <w:widowControl w:val="0"/>
        <w:tabs>
          <w:tab w:val="left" w:pos="564"/>
        </w:tabs>
        <w:autoSpaceDE w:val="0"/>
        <w:autoSpaceDN w:val="0"/>
        <w:adjustRightInd w:val="0"/>
        <w:spacing w:after="0" w:line="240" w:lineRule="auto"/>
        <w:ind w:left="564" w:hanging="360"/>
        <w:jc w:val="both"/>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rPr>
        <w:tab/>
        <w:t>A képzés megkezdésének feltételei:</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2.1.1. Iskolai előképzettség: alapfokú iskolai végzettség vagy iskolai előképzettség hiányában</w:t>
      </w:r>
    </w:p>
    <w:p w:rsidR="005D6E8F" w:rsidRDefault="005D6E8F" w:rsidP="00605EA3">
      <w:pPr>
        <w:widowControl w:val="0"/>
        <w:autoSpaceDE w:val="0"/>
        <w:autoSpaceDN w:val="0"/>
        <w:adjustRightInd w:val="0"/>
        <w:spacing w:after="0" w:line="240" w:lineRule="auto"/>
        <w:ind w:left="2832" w:hanging="2832"/>
        <w:jc w:val="both"/>
        <w:rPr>
          <w:rFonts w:ascii="Times New Roman" w:hAnsi="Times New Roman" w:cs="Times New Roman"/>
          <w:sz w:val="20"/>
          <w:szCs w:val="20"/>
        </w:rPr>
      </w:pPr>
      <w:r>
        <w:rPr>
          <w:rFonts w:ascii="Times New Roman" w:hAnsi="Times New Roman" w:cs="Times New Roman"/>
          <w:sz w:val="20"/>
          <w:szCs w:val="20"/>
        </w:rPr>
        <w:t xml:space="preserve">2.1.2. Bemeneti kompetenciák: </w:t>
      </w:r>
      <w:r>
        <w:rPr>
          <w:rFonts w:ascii="Times New Roman" w:hAnsi="Times New Roman" w:cs="Times New Roman"/>
          <w:sz w:val="20"/>
          <w:szCs w:val="20"/>
        </w:rPr>
        <w:tab/>
        <w:t>a képzés megkezdhető e rendelet 3. számú mellékletében a Vendéglátás-</w:t>
      </w:r>
      <w:bookmarkStart w:id="0" w:name="_GoBack"/>
      <w:bookmarkEnd w:id="0"/>
      <w:r>
        <w:rPr>
          <w:rFonts w:ascii="Times New Roman" w:hAnsi="Times New Roman" w:cs="Times New Roman"/>
          <w:sz w:val="20"/>
          <w:szCs w:val="20"/>
        </w:rPr>
        <w:t>turisztika szakmacsoportra meghatározott kompetenciák birtokában.</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 Szakmai előképzettség: –</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 Előírt gyakorlat: –</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szükségesek</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 Pályaalkalmassági követelmények: szükségesek</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2.6. Elméleti képzési idő aránya: 30 </w:t>
      </w:r>
      <w:r>
        <w:rPr>
          <w:rFonts w:ascii="Times New Roman" w:hAnsi="Times New Roman" w:cs="Times New Roman"/>
          <w:i/>
          <w:iCs/>
          <w:sz w:val="20"/>
          <w:szCs w:val="20"/>
        </w:rPr>
        <w:t>%</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2.7. Gyakorlati képzési idő aránya: 70 </w:t>
      </w:r>
      <w:r>
        <w:rPr>
          <w:rFonts w:ascii="Times New Roman" w:hAnsi="Times New Roman" w:cs="Times New Roman"/>
          <w:i/>
          <w:iCs/>
          <w:sz w:val="20"/>
          <w:szCs w:val="20"/>
        </w:rPr>
        <w:t>%</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 Szintvizsga: nappali rendszerű oktatás vagy a nappali oktatás munkarendje szerint szervezett</w:t>
      </w:r>
      <w:r>
        <w:rPr>
          <w:rFonts w:ascii="Times New Roman" w:hAnsi="Times New Roman" w:cs="Times New Roman"/>
          <w:sz w:val="20"/>
          <w:szCs w:val="20"/>
        </w:rPr>
        <w:br/>
        <w:t>felnőttoktatás esetén kötelező</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u w:val="single"/>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2.9. Az iskolai rendszerű képzésben az összefüggő szakmai gyakorlat időtartama: 3 évfolyamos képzés esetén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9. évfolyamot követően 140 óra, a 10. évfolyamot követően 140 óra; 2 évfolyamos képzés esetén az első szakképzési évfolyamot követően 160 óra</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PÁLYATÜKÖR</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3.1. A szakképesítéssel legjellemzőbben betölthető </w:t>
      </w:r>
      <w:proofErr w:type="gramStart"/>
      <w:r>
        <w:rPr>
          <w:rFonts w:ascii="Times New Roman" w:hAnsi="Times New Roman" w:cs="Times New Roman"/>
          <w:sz w:val="20"/>
          <w:szCs w:val="20"/>
        </w:rPr>
        <w:t>munkakör(</w:t>
      </w:r>
      <w:proofErr w:type="spellStart"/>
      <w:proofErr w:type="gramEnd"/>
      <w:r>
        <w:rPr>
          <w:rFonts w:ascii="Times New Roman" w:hAnsi="Times New Roman" w:cs="Times New Roman"/>
          <w:sz w:val="20"/>
          <w:szCs w:val="20"/>
        </w:rPr>
        <w:t>ök</w:t>
      </w:r>
      <w:proofErr w:type="spellEnd"/>
      <w:r>
        <w:rPr>
          <w:rFonts w:ascii="Times New Roman" w:hAnsi="Times New Roman" w:cs="Times New Roman"/>
          <w:sz w:val="20"/>
          <w:szCs w:val="20"/>
        </w:rPr>
        <w:t>), foglalkozás(ok)</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00"/>
        <w:gridCol w:w="2880"/>
        <w:gridCol w:w="2577"/>
        <w:gridCol w:w="2410"/>
      </w:tblGrid>
      <w:tr w:rsidR="005D6E8F" w:rsidTr="007002A0">
        <w:trPr>
          <w:jc w:val="center"/>
        </w:trPr>
        <w:tc>
          <w:tcPr>
            <w:tcW w:w="1800" w:type="dxa"/>
            <w:tcBorders>
              <w:top w:val="single" w:sz="4" w:space="0" w:color="auto"/>
            </w:tcBorders>
          </w:tcPr>
          <w:p w:rsidR="005D6E8F" w:rsidRDefault="005D6E8F" w:rsidP="007002A0">
            <w:pPr>
              <w:widowControl w:val="0"/>
              <w:autoSpaceDE w:val="0"/>
              <w:autoSpaceDN w:val="0"/>
              <w:adjustRightInd w:val="0"/>
              <w:spacing w:after="0" w:line="240" w:lineRule="auto"/>
              <w:ind w:firstLine="204"/>
              <w:jc w:val="center"/>
              <w:rPr>
                <w:rFonts w:ascii="Times New Roman" w:hAnsi="Times New Roman" w:cs="Times New Roman"/>
                <w:sz w:val="20"/>
                <w:szCs w:val="20"/>
              </w:rPr>
            </w:pPr>
          </w:p>
        </w:tc>
        <w:tc>
          <w:tcPr>
            <w:tcW w:w="2880" w:type="dxa"/>
            <w:tcBorders>
              <w:top w:val="single" w:sz="4" w:space="0" w:color="auto"/>
            </w:tcBorders>
            <w:vAlign w:val="center"/>
          </w:tcPr>
          <w:p w:rsidR="005D6E8F" w:rsidRDefault="005D6E8F" w:rsidP="007002A0">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w:t>
            </w:r>
          </w:p>
        </w:tc>
        <w:tc>
          <w:tcPr>
            <w:tcW w:w="2577" w:type="dxa"/>
            <w:tcBorders>
              <w:top w:val="single" w:sz="4" w:space="0" w:color="auto"/>
            </w:tcBorders>
            <w:vAlign w:val="center"/>
          </w:tcPr>
          <w:p w:rsidR="005D6E8F" w:rsidRDefault="005D6E8F" w:rsidP="007002A0">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B</w:t>
            </w:r>
          </w:p>
        </w:tc>
        <w:tc>
          <w:tcPr>
            <w:tcW w:w="2410" w:type="dxa"/>
            <w:tcBorders>
              <w:top w:val="single" w:sz="4" w:space="0" w:color="auto"/>
            </w:tcBorders>
            <w:vAlign w:val="center"/>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5D6E8F" w:rsidTr="007002A0">
        <w:trPr>
          <w:jc w:val="center"/>
        </w:trPr>
        <w:tc>
          <w:tcPr>
            <w:tcW w:w="1800" w:type="dxa"/>
          </w:tcPr>
          <w:p w:rsidR="005D6E8F" w:rsidRDefault="005D6E8F" w:rsidP="007002A0">
            <w:pPr>
              <w:widowControl w:val="0"/>
              <w:autoSpaceDE w:val="0"/>
              <w:autoSpaceDN w:val="0"/>
              <w:adjustRightInd w:val="0"/>
              <w:spacing w:after="0" w:line="240" w:lineRule="auto"/>
              <w:ind w:firstLine="204"/>
              <w:rPr>
                <w:rFonts w:ascii="Times New Roman" w:hAnsi="Times New Roman" w:cs="Times New Roman"/>
                <w:sz w:val="20"/>
                <w:szCs w:val="20"/>
              </w:rPr>
            </w:pPr>
            <w:r>
              <w:rPr>
                <w:rFonts w:ascii="Times New Roman" w:hAnsi="Times New Roman" w:cs="Times New Roman"/>
                <w:sz w:val="20"/>
                <w:szCs w:val="20"/>
              </w:rPr>
              <w:t xml:space="preserve">         3.1.1.</w:t>
            </w:r>
          </w:p>
        </w:tc>
        <w:tc>
          <w:tcPr>
            <w:tcW w:w="2880" w:type="dxa"/>
            <w:vAlign w:val="center"/>
          </w:tcPr>
          <w:p w:rsidR="005D6E8F" w:rsidRDefault="005D6E8F" w:rsidP="007002A0">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2577" w:type="dxa"/>
            <w:vAlign w:val="center"/>
          </w:tcPr>
          <w:p w:rsidR="005D6E8F" w:rsidRDefault="005D6E8F" w:rsidP="007002A0">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2410" w:type="dxa"/>
            <w:vAlign w:val="center"/>
          </w:tcPr>
          <w:p w:rsidR="005D6E8F" w:rsidRDefault="005D6E8F" w:rsidP="007002A0">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szakképesítéssel betölthető </w:t>
            </w:r>
            <w:proofErr w:type="gramStart"/>
            <w:r>
              <w:rPr>
                <w:rFonts w:ascii="Times New Roman" w:hAnsi="Times New Roman" w:cs="Times New Roman"/>
                <w:b/>
                <w:bCs/>
                <w:sz w:val="20"/>
                <w:szCs w:val="20"/>
              </w:rPr>
              <w:t>munkakör(</w:t>
            </w:r>
            <w:proofErr w:type="spellStart"/>
            <w:proofErr w:type="gramEnd"/>
            <w:r>
              <w:rPr>
                <w:rFonts w:ascii="Times New Roman" w:hAnsi="Times New Roman" w:cs="Times New Roman"/>
                <w:b/>
                <w:bCs/>
                <w:sz w:val="20"/>
                <w:szCs w:val="20"/>
              </w:rPr>
              <w:t>ök</w:t>
            </w:r>
            <w:proofErr w:type="spellEnd"/>
            <w:r>
              <w:rPr>
                <w:rFonts w:ascii="Times New Roman" w:hAnsi="Times New Roman" w:cs="Times New Roman"/>
                <w:b/>
                <w:bCs/>
                <w:sz w:val="20"/>
                <w:szCs w:val="20"/>
              </w:rPr>
              <w:t>)</w:t>
            </w:r>
          </w:p>
        </w:tc>
      </w:tr>
      <w:tr w:rsidR="005D6E8F" w:rsidTr="007002A0">
        <w:trPr>
          <w:cantSplit/>
          <w:trHeight w:val="229"/>
          <w:jc w:val="center"/>
        </w:trPr>
        <w:tc>
          <w:tcPr>
            <w:tcW w:w="1800"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2880" w:type="dxa"/>
            <w:vMerge w:val="restart"/>
            <w:vAlign w:val="center"/>
          </w:tcPr>
          <w:p w:rsidR="005D6E8F" w:rsidRDefault="005D6E8F" w:rsidP="007002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5135</w:t>
            </w:r>
          </w:p>
        </w:tc>
        <w:tc>
          <w:tcPr>
            <w:tcW w:w="2577" w:type="dxa"/>
            <w:vMerge w:val="restart"/>
            <w:vAlign w:val="center"/>
          </w:tcPr>
          <w:p w:rsidR="005D6E8F" w:rsidRDefault="005D6E8F" w:rsidP="007002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Cukrász</w:t>
            </w:r>
          </w:p>
        </w:tc>
        <w:tc>
          <w:tcPr>
            <w:tcW w:w="2410" w:type="dxa"/>
          </w:tcPr>
          <w:p w:rsidR="005D6E8F" w:rsidRDefault="005D6E8F" w:rsidP="007002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Fagylaltkészítő</w:t>
            </w:r>
          </w:p>
        </w:tc>
      </w:tr>
      <w:tr w:rsidR="005D6E8F" w:rsidTr="007002A0">
        <w:trPr>
          <w:cantSplit/>
          <w:trHeight w:val="231"/>
          <w:jc w:val="center"/>
        </w:trPr>
        <w:tc>
          <w:tcPr>
            <w:tcW w:w="1800"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2880" w:type="dxa"/>
            <w:vMerge/>
            <w:vAlign w:val="center"/>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p>
        </w:tc>
        <w:tc>
          <w:tcPr>
            <w:tcW w:w="2577" w:type="dxa"/>
            <w:vMerge/>
            <w:vAlign w:val="center"/>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Pr>
          <w:p w:rsidR="005D6E8F" w:rsidRDefault="005D6E8F" w:rsidP="007002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Karamell cukrász</w:t>
            </w:r>
          </w:p>
        </w:tc>
      </w:tr>
      <w:tr w:rsidR="005D6E8F" w:rsidTr="007002A0">
        <w:trPr>
          <w:cantSplit/>
          <w:trHeight w:val="231"/>
          <w:jc w:val="center"/>
        </w:trPr>
        <w:tc>
          <w:tcPr>
            <w:tcW w:w="1800"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2880" w:type="dxa"/>
            <w:vMerge/>
            <w:vAlign w:val="center"/>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p>
        </w:tc>
        <w:tc>
          <w:tcPr>
            <w:tcW w:w="2577" w:type="dxa"/>
            <w:vMerge/>
            <w:vAlign w:val="center"/>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Pr>
          <w:p w:rsidR="005D6E8F" w:rsidRDefault="005D6E8F" w:rsidP="007002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Lágyfagylaltos</w:t>
            </w:r>
          </w:p>
        </w:tc>
      </w:tr>
      <w:tr w:rsidR="005D6E8F" w:rsidTr="007002A0">
        <w:trPr>
          <w:cantSplit/>
          <w:trHeight w:val="231"/>
          <w:jc w:val="center"/>
        </w:trPr>
        <w:tc>
          <w:tcPr>
            <w:tcW w:w="1800"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2880" w:type="dxa"/>
            <w:vMerge/>
            <w:vAlign w:val="center"/>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p>
        </w:tc>
        <w:tc>
          <w:tcPr>
            <w:tcW w:w="2577" w:type="dxa"/>
            <w:vMerge/>
            <w:vAlign w:val="center"/>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Pr>
          <w:p w:rsidR="005D6E8F" w:rsidRDefault="005D6E8F" w:rsidP="007002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Marcipánfigura készítő</w:t>
            </w:r>
          </w:p>
        </w:tc>
      </w:tr>
      <w:tr w:rsidR="005D6E8F" w:rsidTr="007002A0">
        <w:trPr>
          <w:cantSplit/>
          <w:trHeight w:val="231"/>
          <w:jc w:val="center"/>
        </w:trPr>
        <w:tc>
          <w:tcPr>
            <w:tcW w:w="1800"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3.1.6.</w:t>
            </w:r>
          </w:p>
        </w:tc>
        <w:tc>
          <w:tcPr>
            <w:tcW w:w="2880" w:type="dxa"/>
            <w:vMerge/>
            <w:vAlign w:val="center"/>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p>
        </w:tc>
        <w:tc>
          <w:tcPr>
            <w:tcW w:w="2577" w:type="dxa"/>
            <w:vMerge/>
            <w:vAlign w:val="center"/>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Pr>
          <w:p w:rsidR="005D6E8F" w:rsidRDefault="005D6E8F" w:rsidP="007002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Süteménykészítő</w:t>
            </w:r>
          </w:p>
        </w:tc>
      </w:tr>
      <w:tr w:rsidR="005D6E8F" w:rsidTr="007002A0">
        <w:trPr>
          <w:cantSplit/>
          <w:trHeight w:val="231"/>
          <w:jc w:val="center"/>
        </w:trPr>
        <w:tc>
          <w:tcPr>
            <w:tcW w:w="1800" w:type="dxa"/>
            <w:tcBorders>
              <w:bottom w:val="single" w:sz="4" w:space="0" w:color="auto"/>
            </w:tcBorders>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3.1.7.</w:t>
            </w:r>
          </w:p>
        </w:tc>
        <w:tc>
          <w:tcPr>
            <w:tcW w:w="2880" w:type="dxa"/>
            <w:vMerge/>
            <w:tcBorders>
              <w:bottom w:val="single" w:sz="4" w:space="0" w:color="auto"/>
            </w:tcBorders>
            <w:vAlign w:val="center"/>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p>
        </w:tc>
        <w:tc>
          <w:tcPr>
            <w:tcW w:w="2577" w:type="dxa"/>
            <w:vMerge/>
            <w:tcBorders>
              <w:bottom w:val="single" w:sz="4" w:space="0" w:color="auto"/>
            </w:tcBorders>
            <w:vAlign w:val="center"/>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bottom w:val="single" w:sz="4" w:space="0" w:color="auto"/>
            </w:tcBorders>
          </w:tcPr>
          <w:p w:rsidR="005D6E8F" w:rsidRDefault="005D6E8F" w:rsidP="007002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Tortakészítő</w:t>
            </w:r>
          </w:p>
        </w:tc>
      </w:tr>
    </w:tbl>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3.2. A szakképesítés munkaterületének rövid leírása:</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cukrász szakember a cukrászatban, cukrászüzemben, fagylaltozóban a termelési tevékenységeket végzi, felelős a technológiai, higiéniai, munkavédelmi szabályok betartásáért.</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szakképesítéssel rendelkező képes:</w:t>
      </w:r>
    </w:p>
    <w:p w:rsidR="005D6E8F" w:rsidRDefault="005D6E8F" w:rsidP="005D6E8F">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saját munkáját megszervezni,</w:t>
      </w:r>
    </w:p>
    <w:p w:rsidR="005D6E8F" w:rsidRDefault="005D6E8F" w:rsidP="005D6E8F">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élelmiszer előállítás higiéniai alapkövetelményeinek betartásával korszerű táplálkozáshoz mindjobban igazodó cukrászati terméket készíteni,</w:t>
      </w:r>
    </w:p>
    <w:p w:rsidR="005D6E8F" w:rsidRDefault="005D6E8F" w:rsidP="005D6E8F">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cukrásztechnológiai alapműveleteket végezni,</w:t>
      </w:r>
    </w:p>
    <w:p w:rsidR="005D6E8F" w:rsidRDefault="005D6E8F" w:rsidP="005D6E8F">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cukorkészítményeket előállítni,</w:t>
      </w:r>
    </w:p>
    <w:p w:rsidR="005D6E8F" w:rsidRDefault="005D6E8F" w:rsidP="005D6E8F">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bevonó anyagokat készíteni, felhasználni,</w:t>
      </w:r>
    </w:p>
    <w:p w:rsidR="005D6E8F" w:rsidRDefault="005D6E8F" w:rsidP="005D6E8F">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cukrászati félkész- és késztermékeket és </w:t>
      </w:r>
      <w:proofErr w:type="spellStart"/>
      <w:r>
        <w:rPr>
          <w:rFonts w:ascii="Times New Roman" w:hAnsi="Times New Roman" w:cs="Times New Roman"/>
          <w:sz w:val="20"/>
          <w:szCs w:val="20"/>
        </w:rPr>
        <w:t>bevonóanyagot</w:t>
      </w:r>
      <w:proofErr w:type="spellEnd"/>
      <w:r>
        <w:rPr>
          <w:rFonts w:ascii="Times New Roman" w:hAnsi="Times New Roman" w:cs="Times New Roman"/>
          <w:sz w:val="20"/>
          <w:szCs w:val="20"/>
        </w:rPr>
        <w:t xml:space="preserve"> készíteni,</w:t>
      </w:r>
    </w:p>
    <w:p w:rsidR="005D6E8F" w:rsidRDefault="005D6E8F" w:rsidP="005D6E8F">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uzsonnasüteményeket készíteni,</w:t>
      </w:r>
    </w:p>
    <w:p w:rsidR="005D6E8F" w:rsidRDefault="005D6E8F" w:rsidP="005D6E8F">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kikészített süteményeket készíteni,</w:t>
      </w:r>
    </w:p>
    <w:p w:rsidR="005D6E8F" w:rsidRDefault="005D6E8F" w:rsidP="005D6E8F">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fagylaltokat készíteni,</w:t>
      </w:r>
    </w:p>
    <w:p w:rsidR="005D6E8F" w:rsidRDefault="005D6E8F" w:rsidP="005D6E8F">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bonbonokat készíteni,</w:t>
      </w:r>
    </w:p>
    <w:p w:rsidR="005D6E8F" w:rsidRDefault="005D6E8F" w:rsidP="005D6E8F">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alkalmi díszmunkákat a vendég kérésének megfelelően elkészíteni.</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 Kapcsolódó szakképesítések</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910"/>
        <w:gridCol w:w="2144"/>
        <w:gridCol w:w="2977"/>
        <w:gridCol w:w="2834"/>
      </w:tblGrid>
      <w:tr w:rsidR="005D6E8F" w:rsidTr="007002A0">
        <w:trPr>
          <w:jc w:val="center"/>
        </w:trPr>
        <w:tc>
          <w:tcPr>
            <w:tcW w:w="910" w:type="dxa"/>
            <w:tcBorders>
              <w:top w:val="single" w:sz="4" w:space="0" w:color="auto"/>
              <w:left w:val="single" w:sz="4" w:space="0" w:color="auto"/>
              <w:bottom w:val="single" w:sz="4" w:space="0" w:color="auto"/>
              <w:right w:val="single" w:sz="4" w:space="0" w:color="auto"/>
            </w:tcBorders>
          </w:tcPr>
          <w:p w:rsidR="005D6E8F" w:rsidRDefault="005D6E8F" w:rsidP="007002A0">
            <w:pPr>
              <w:widowControl w:val="0"/>
              <w:autoSpaceDE w:val="0"/>
              <w:autoSpaceDN w:val="0"/>
              <w:adjustRightInd w:val="0"/>
              <w:spacing w:after="0" w:line="240" w:lineRule="auto"/>
              <w:ind w:firstLine="204"/>
              <w:jc w:val="center"/>
              <w:rPr>
                <w:rFonts w:ascii="Times New Roman" w:hAnsi="Times New Roman" w:cs="Times New Roman"/>
                <w:b/>
                <w:bCs/>
                <w:sz w:val="20"/>
                <w:szCs w:val="20"/>
              </w:rPr>
            </w:pPr>
          </w:p>
        </w:tc>
        <w:tc>
          <w:tcPr>
            <w:tcW w:w="2144" w:type="dxa"/>
            <w:tcBorders>
              <w:top w:val="single" w:sz="4" w:space="0" w:color="auto"/>
              <w:left w:val="single" w:sz="4" w:space="0" w:color="auto"/>
              <w:bottom w:val="single" w:sz="4" w:space="0" w:color="auto"/>
              <w:right w:val="single" w:sz="4" w:space="0" w:color="auto"/>
            </w:tcBorders>
          </w:tcPr>
          <w:p w:rsidR="005D6E8F" w:rsidRDefault="005D6E8F" w:rsidP="007002A0">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w:t>
            </w:r>
          </w:p>
        </w:tc>
        <w:tc>
          <w:tcPr>
            <w:tcW w:w="2977" w:type="dxa"/>
            <w:tcBorders>
              <w:top w:val="single" w:sz="4" w:space="0" w:color="auto"/>
              <w:left w:val="single" w:sz="4" w:space="0" w:color="auto"/>
              <w:bottom w:val="single" w:sz="4" w:space="0" w:color="auto"/>
              <w:right w:val="single" w:sz="4" w:space="0" w:color="auto"/>
            </w:tcBorders>
          </w:tcPr>
          <w:p w:rsidR="005D6E8F" w:rsidRDefault="005D6E8F" w:rsidP="007002A0">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B</w:t>
            </w:r>
          </w:p>
        </w:tc>
        <w:tc>
          <w:tcPr>
            <w:tcW w:w="2834" w:type="dxa"/>
            <w:tcBorders>
              <w:top w:val="single" w:sz="4" w:space="0" w:color="auto"/>
              <w:left w:val="single" w:sz="4" w:space="0" w:color="auto"/>
              <w:bottom w:val="single" w:sz="4" w:space="0" w:color="auto"/>
              <w:right w:val="single" w:sz="4" w:space="0" w:color="auto"/>
            </w:tcBorders>
          </w:tcPr>
          <w:p w:rsidR="005D6E8F" w:rsidRDefault="005D6E8F" w:rsidP="007002A0">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C</w:t>
            </w:r>
          </w:p>
        </w:tc>
      </w:tr>
      <w:tr w:rsidR="005D6E8F" w:rsidTr="007002A0">
        <w:trPr>
          <w:jc w:val="center"/>
        </w:trPr>
        <w:tc>
          <w:tcPr>
            <w:tcW w:w="910" w:type="dxa"/>
            <w:tcBorders>
              <w:top w:val="single" w:sz="4" w:space="0" w:color="auto"/>
              <w:left w:val="single" w:sz="4" w:space="0" w:color="auto"/>
              <w:bottom w:val="single" w:sz="4" w:space="0" w:color="auto"/>
              <w:right w:val="single" w:sz="4" w:space="0" w:color="auto"/>
            </w:tcBorders>
          </w:tcPr>
          <w:p w:rsidR="005D6E8F" w:rsidRDefault="005D6E8F" w:rsidP="007002A0">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3.3.1.</w:t>
            </w:r>
          </w:p>
        </w:tc>
        <w:tc>
          <w:tcPr>
            <w:tcW w:w="7955" w:type="dxa"/>
            <w:gridSpan w:val="3"/>
            <w:tcBorders>
              <w:top w:val="single" w:sz="4" w:space="0" w:color="auto"/>
              <w:left w:val="single" w:sz="4" w:space="0" w:color="auto"/>
              <w:bottom w:val="single" w:sz="4" w:space="0" w:color="auto"/>
              <w:right w:val="single" w:sz="4" w:space="0" w:color="auto"/>
            </w:tcBorders>
          </w:tcPr>
          <w:p w:rsidR="005D6E8F" w:rsidRDefault="005D6E8F" w:rsidP="007002A0">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5D6E8F" w:rsidTr="007002A0">
        <w:trPr>
          <w:jc w:val="center"/>
        </w:trPr>
        <w:tc>
          <w:tcPr>
            <w:tcW w:w="910" w:type="dxa"/>
            <w:tcBorders>
              <w:top w:val="single" w:sz="4" w:space="0" w:color="auto"/>
              <w:left w:val="single" w:sz="4" w:space="0" w:color="auto"/>
              <w:bottom w:val="single" w:sz="4" w:space="0" w:color="auto"/>
              <w:right w:val="single" w:sz="4" w:space="0" w:color="auto"/>
            </w:tcBorders>
          </w:tcPr>
          <w:p w:rsidR="005D6E8F" w:rsidRDefault="005D6E8F" w:rsidP="007002A0">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3.3.2.</w:t>
            </w:r>
          </w:p>
        </w:tc>
        <w:tc>
          <w:tcPr>
            <w:tcW w:w="2144" w:type="dxa"/>
            <w:tcBorders>
              <w:top w:val="single" w:sz="4" w:space="0" w:color="auto"/>
              <w:left w:val="single" w:sz="4" w:space="0" w:color="auto"/>
              <w:bottom w:val="single" w:sz="4" w:space="0" w:color="auto"/>
              <w:right w:val="single" w:sz="4" w:space="0" w:color="auto"/>
            </w:tcBorders>
          </w:tcPr>
          <w:p w:rsidR="005D6E8F" w:rsidRDefault="005D6E8F" w:rsidP="007002A0">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977" w:type="dxa"/>
            <w:tcBorders>
              <w:top w:val="single" w:sz="4" w:space="0" w:color="auto"/>
              <w:left w:val="single" w:sz="4" w:space="0" w:color="auto"/>
              <w:bottom w:val="single" w:sz="4" w:space="0" w:color="auto"/>
              <w:right w:val="single" w:sz="4" w:space="0" w:color="auto"/>
            </w:tcBorders>
          </w:tcPr>
          <w:p w:rsidR="005D6E8F" w:rsidRDefault="005D6E8F" w:rsidP="007002A0">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 xml:space="preserve"> megnevezése</w:t>
            </w:r>
          </w:p>
        </w:tc>
        <w:tc>
          <w:tcPr>
            <w:tcW w:w="2834" w:type="dxa"/>
            <w:tcBorders>
              <w:top w:val="single" w:sz="4" w:space="0" w:color="auto"/>
              <w:left w:val="single" w:sz="4" w:space="0" w:color="auto"/>
              <w:bottom w:val="single" w:sz="4" w:space="0" w:color="auto"/>
              <w:right w:val="single" w:sz="4" w:space="0" w:color="auto"/>
            </w:tcBorders>
          </w:tcPr>
          <w:p w:rsidR="005D6E8F" w:rsidRDefault="005D6E8F" w:rsidP="007002A0">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 kapcsolódás módja</w:t>
            </w:r>
          </w:p>
        </w:tc>
      </w:tr>
      <w:tr w:rsidR="005D6E8F" w:rsidTr="007002A0">
        <w:trPr>
          <w:jc w:val="center"/>
        </w:trPr>
        <w:tc>
          <w:tcPr>
            <w:tcW w:w="910" w:type="dxa"/>
            <w:tcBorders>
              <w:top w:val="single" w:sz="4" w:space="0" w:color="auto"/>
              <w:left w:val="single" w:sz="4" w:space="0" w:color="auto"/>
              <w:bottom w:val="single" w:sz="4" w:space="0" w:color="auto"/>
              <w:right w:val="single" w:sz="4" w:space="0" w:color="auto"/>
            </w:tcBorders>
          </w:tcPr>
          <w:p w:rsidR="005D6E8F" w:rsidRDefault="005D6E8F" w:rsidP="007002A0">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3.3.3.</w:t>
            </w:r>
          </w:p>
        </w:tc>
        <w:tc>
          <w:tcPr>
            <w:tcW w:w="2144" w:type="dxa"/>
            <w:tcBorders>
              <w:top w:val="single" w:sz="4" w:space="0" w:color="auto"/>
              <w:left w:val="single" w:sz="4" w:space="0" w:color="auto"/>
              <w:bottom w:val="single" w:sz="4" w:space="0" w:color="auto"/>
              <w:right w:val="single" w:sz="4" w:space="0" w:color="auto"/>
            </w:tcBorders>
          </w:tcPr>
          <w:p w:rsidR="005D6E8F" w:rsidRDefault="005D6E8F" w:rsidP="007002A0">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35 811 02</w:t>
            </w:r>
          </w:p>
        </w:tc>
        <w:tc>
          <w:tcPr>
            <w:tcW w:w="2977" w:type="dxa"/>
            <w:tcBorders>
              <w:top w:val="single" w:sz="4" w:space="0" w:color="auto"/>
              <w:left w:val="single" w:sz="4" w:space="0" w:color="auto"/>
              <w:bottom w:val="single" w:sz="4" w:space="0" w:color="auto"/>
              <w:right w:val="single" w:sz="4" w:space="0" w:color="auto"/>
            </w:tcBorders>
          </w:tcPr>
          <w:p w:rsidR="005D6E8F" w:rsidRDefault="005D6E8F" w:rsidP="007002A0">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Vendéglátó-üzletvezető</w:t>
            </w:r>
          </w:p>
        </w:tc>
        <w:tc>
          <w:tcPr>
            <w:tcW w:w="2834" w:type="dxa"/>
            <w:tcBorders>
              <w:top w:val="single" w:sz="4" w:space="0" w:color="auto"/>
              <w:left w:val="single" w:sz="4" w:space="0" w:color="auto"/>
              <w:bottom w:val="single" w:sz="4" w:space="0" w:color="auto"/>
              <w:right w:val="single" w:sz="4" w:space="0" w:color="auto"/>
            </w:tcBorders>
          </w:tcPr>
          <w:p w:rsidR="005D6E8F" w:rsidRDefault="005D6E8F" w:rsidP="007002A0">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szakképesítés-ráépülés</w:t>
            </w:r>
          </w:p>
        </w:tc>
      </w:tr>
    </w:tbl>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center"/>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 SZAKMAI KÖVETELMÉNYEK</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1788"/>
        <w:gridCol w:w="5765"/>
      </w:tblGrid>
      <w:tr w:rsidR="005D6E8F" w:rsidTr="007002A0">
        <w:trPr>
          <w:jc w:val="center"/>
        </w:trPr>
        <w:tc>
          <w:tcPr>
            <w:tcW w:w="1735" w:type="dxa"/>
          </w:tcPr>
          <w:p w:rsidR="005D6E8F" w:rsidRDefault="005D6E8F" w:rsidP="007002A0">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1788"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5765"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r>
      <w:tr w:rsidR="005D6E8F" w:rsidTr="007002A0">
        <w:trPr>
          <w:jc w:val="center"/>
        </w:trPr>
        <w:tc>
          <w:tcPr>
            <w:tcW w:w="1735"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7553" w:type="dxa"/>
            <w:gridSpan w:val="2"/>
          </w:tcPr>
          <w:p w:rsidR="005D6E8F" w:rsidRDefault="005D6E8F" w:rsidP="007002A0">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 szakmai követelménymoduljainak az állam által elismert szakképesítések szakmai követelménymoduljairól szóló kormányrendelet szerinti</w:t>
            </w:r>
          </w:p>
        </w:tc>
      </w:tr>
      <w:tr w:rsidR="005D6E8F" w:rsidTr="007002A0">
        <w:trPr>
          <w:jc w:val="center"/>
        </w:trPr>
        <w:tc>
          <w:tcPr>
            <w:tcW w:w="1735"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788" w:type="dxa"/>
          </w:tcPr>
          <w:p w:rsidR="005D6E8F" w:rsidRDefault="005D6E8F" w:rsidP="007002A0">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765"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megnevezése </w:t>
            </w:r>
          </w:p>
        </w:tc>
      </w:tr>
      <w:tr w:rsidR="005D6E8F" w:rsidTr="007002A0">
        <w:trPr>
          <w:jc w:val="center"/>
        </w:trPr>
        <w:tc>
          <w:tcPr>
            <w:tcW w:w="1735"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788" w:type="dxa"/>
          </w:tcPr>
          <w:p w:rsidR="005D6E8F" w:rsidRDefault="005D6E8F" w:rsidP="007002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10045-12</w:t>
            </w:r>
          </w:p>
        </w:tc>
        <w:tc>
          <w:tcPr>
            <w:tcW w:w="5765" w:type="dxa"/>
          </w:tcPr>
          <w:p w:rsidR="005D6E8F" w:rsidRDefault="005D6E8F" w:rsidP="007002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Gazdálkodás</w:t>
            </w:r>
          </w:p>
        </w:tc>
      </w:tr>
      <w:tr w:rsidR="005D6E8F" w:rsidTr="007002A0">
        <w:trPr>
          <w:jc w:val="center"/>
        </w:trPr>
        <w:tc>
          <w:tcPr>
            <w:tcW w:w="1735"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788" w:type="dxa"/>
          </w:tcPr>
          <w:p w:rsidR="005D6E8F" w:rsidRDefault="005D6E8F" w:rsidP="007002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10044-12</w:t>
            </w:r>
          </w:p>
        </w:tc>
        <w:tc>
          <w:tcPr>
            <w:tcW w:w="5765" w:type="dxa"/>
          </w:tcPr>
          <w:p w:rsidR="005D6E8F" w:rsidRDefault="005D6E8F" w:rsidP="007002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Élelmiszer, fogyasztóvédelem</w:t>
            </w:r>
          </w:p>
        </w:tc>
      </w:tr>
      <w:tr w:rsidR="005D6E8F" w:rsidTr="007002A0">
        <w:trPr>
          <w:jc w:val="center"/>
        </w:trPr>
        <w:tc>
          <w:tcPr>
            <w:tcW w:w="1735"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788" w:type="dxa"/>
          </w:tcPr>
          <w:p w:rsidR="005D6E8F" w:rsidRDefault="005D6E8F" w:rsidP="007002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10046-12</w:t>
            </w:r>
          </w:p>
        </w:tc>
        <w:tc>
          <w:tcPr>
            <w:tcW w:w="5765" w:type="dxa"/>
          </w:tcPr>
          <w:p w:rsidR="005D6E8F" w:rsidRDefault="005D6E8F" w:rsidP="007002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idegen nyelv</w:t>
            </w:r>
          </w:p>
        </w:tc>
      </w:tr>
      <w:tr w:rsidR="005D6E8F" w:rsidTr="007002A0">
        <w:trPr>
          <w:jc w:val="center"/>
        </w:trPr>
        <w:tc>
          <w:tcPr>
            <w:tcW w:w="1735"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1788" w:type="dxa"/>
          </w:tcPr>
          <w:p w:rsidR="005D6E8F" w:rsidRDefault="005D6E8F" w:rsidP="007002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10043-12</w:t>
            </w:r>
          </w:p>
        </w:tc>
        <w:tc>
          <w:tcPr>
            <w:tcW w:w="5765" w:type="dxa"/>
          </w:tcPr>
          <w:p w:rsidR="005D6E8F" w:rsidRDefault="005D6E8F" w:rsidP="007002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Cukrászati termékkészítés</w:t>
            </w:r>
          </w:p>
        </w:tc>
      </w:tr>
      <w:tr w:rsidR="005D6E8F" w:rsidTr="007002A0">
        <w:trPr>
          <w:jc w:val="center"/>
        </w:trPr>
        <w:tc>
          <w:tcPr>
            <w:tcW w:w="1735"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1788" w:type="dxa"/>
          </w:tcPr>
          <w:p w:rsidR="005D6E8F" w:rsidRDefault="005D6E8F" w:rsidP="007002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11497-12</w:t>
            </w:r>
          </w:p>
        </w:tc>
        <w:tc>
          <w:tcPr>
            <w:tcW w:w="5765" w:type="dxa"/>
          </w:tcPr>
          <w:p w:rsidR="005D6E8F" w:rsidRDefault="005D6E8F" w:rsidP="007002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w:t>
            </w:r>
          </w:p>
        </w:tc>
      </w:tr>
      <w:tr w:rsidR="005D6E8F" w:rsidTr="007002A0">
        <w:trPr>
          <w:jc w:val="center"/>
        </w:trPr>
        <w:tc>
          <w:tcPr>
            <w:tcW w:w="1735"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788" w:type="dxa"/>
          </w:tcPr>
          <w:p w:rsidR="005D6E8F" w:rsidRDefault="005D6E8F" w:rsidP="007002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11499-12</w:t>
            </w:r>
          </w:p>
        </w:tc>
        <w:tc>
          <w:tcPr>
            <w:tcW w:w="5765" w:type="dxa"/>
          </w:tcPr>
          <w:p w:rsidR="005D6E8F" w:rsidRDefault="005D6E8F" w:rsidP="007002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II.</w:t>
            </w:r>
          </w:p>
        </w:tc>
      </w:tr>
      <w:tr w:rsidR="005D6E8F" w:rsidTr="007002A0">
        <w:trPr>
          <w:jc w:val="center"/>
        </w:trPr>
        <w:tc>
          <w:tcPr>
            <w:tcW w:w="1735"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788" w:type="dxa"/>
          </w:tcPr>
          <w:p w:rsidR="005D6E8F" w:rsidRDefault="005D6E8F" w:rsidP="007002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11500-12</w:t>
            </w:r>
          </w:p>
        </w:tc>
        <w:tc>
          <w:tcPr>
            <w:tcW w:w="5765" w:type="dxa"/>
          </w:tcPr>
          <w:p w:rsidR="005D6E8F" w:rsidRDefault="005D6E8F" w:rsidP="007002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Munkahelyi egészség és biztonság</w:t>
            </w:r>
          </w:p>
        </w:tc>
      </w:tr>
    </w:tbl>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5. VIZSGÁZTATÁSI KÖVETELMÉNYEK</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5.1. A komplex szakmai vizsgára bocsátás feltételei:</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iskolarendszeren kívüli szakképzésben az 5.2. pontban előírt valamennyi modulzáró vizsga eredményes letétele.</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 A modulzáró vizsga vizsgatevékenység és az eredményesség feltétele:</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
        <w:gridCol w:w="1594"/>
        <w:gridCol w:w="2564"/>
        <w:gridCol w:w="3656"/>
      </w:tblGrid>
      <w:tr w:rsidR="005D6E8F" w:rsidTr="007002A0">
        <w:trPr>
          <w:jc w:val="center"/>
        </w:trPr>
        <w:tc>
          <w:tcPr>
            <w:tcW w:w="1474"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1594"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564" w:type="dxa"/>
            <w:vAlign w:val="center"/>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3656" w:type="dxa"/>
            <w:vAlign w:val="center"/>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5D6E8F" w:rsidTr="007002A0">
        <w:trPr>
          <w:jc w:val="center"/>
        </w:trPr>
        <w:tc>
          <w:tcPr>
            <w:tcW w:w="1474"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7814" w:type="dxa"/>
            <w:gridSpan w:val="3"/>
          </w:tcPr>
          <w:p w:rsidR="005D6E8F" w:rsidRDefault="005D6E8F" w:rsidP="007002A0">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 szakmai követelménymodulja</w:t>
            </w:r>
          </w:p>
        </w:tc>
      </w:tr>
      <w:tr w:rsidR="005D6E8F" w:rsidTr="007002A0">
        <w:trPr>
          <w:jc w:val="center"/>
        </w:trPr>
        <w:tc>
          <w:tcPr>
            <w:tcW w:w="1474"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594"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564" w:type="dxa"/>
            <w:vAlign w:val="center"/>
          </w:tcPr>
          <w:p w:rsidR="005D6E8F" w:rsidRDefault="005D6E8F" w:rsidP="007002A0">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3656" w:type="dxa"/>
            <w:vAlign w:val="center"/>
          </w:tcPr>
          <w:p w:rsidR="005D6E8F" w:rsidRDefault="005D6E8F" w:rsidP="007002A0">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5D6E8F" w:rsidTr="007002A0">
        <w:trPr>
          <w:jc w:val="center"/>
        </w:trPr>
        <w:tc>
          <w:tcPr>
            <w:tcW w:w="1474"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594" w:type="dxa"/>
          </w:tcPr>
          <w:p w:rsidR="005D6E8F" w:rsidRDefault="005D6E8F" w:rsidP="007002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10045-12</w:t>
            </w:r>
          </w:p>
        </w:tc>
        <w:tc>
          <w:tcPr>
            <w:tcW w:w="2564" w:type="dxa"/>
          </w:tcPr>
          <w:p w:rsidR="005D6E8F" w:rsidRDefault="005D6E8F" w:rsidP="007002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Gazdálkodás</w:t>
            </w:r>
          </w:p>
        </w:tc>
        <w:tc>
          <w:tcPr>
            <w:tcW w:w="3656" w:type="dxa"/>
          </w:tcPr>
          <w:p w:rsidR="005D6E8F" w:rsidRDefault="005D6E8F" w:rsidP="007002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r w:rsidR="005D6E8F" w:rsidTr="007002A0">
        <w:trPr>
          <w:jc w:val="center"/>
        </w:trPr>
        <w:tc>
          <w:tcPr>
            <w:tcW w:w="1474"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1594" w:type="dxa"/>
          </w:tcPr>
          <w:p w:rsidR="005D6E8F" w:rsidRDefault="005D6E8F" w:rsidP="007002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10044-12</w:t>
            </w:r>
          </w:p>
        </w:tc>
        <w:tc>
          <w:tcPr>
            <w:tcW w:w="2564" w:type="dxa"/>
          </w:tcPr>
          <w:p w:rsidR="005D6E8F" w:rsidRDefault="005D6E8F" w:rsidP="007002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Élelmiszer, fogyasztóvédelem</w:t>
            </w:r>
          </w:p>
        </w:tc>
        <w:tc>
          <w:tcPr>
            <w:tcW w:w="3656" w:type="dxa"/>
          </w:tcPr>
          <w:p w:rsidR="005D6E8F" w:rsidRDefault="005D6E8F" w:rsidP="007002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r w:rsidR="005D6E8F" w:rsidTr="007002A0">
        <w:trPr>
          <w:jc w:val="center"/>
        </w:trPr>
        <w:tc>
          <w:tcPr>
            <w:tcW w:w="1474"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5.2.5.</w:t>
            </w:r>
          </w:p>
        </w:tc>
        <w:tc>
          <w:tcPr>
            <w:tcW w:w="1594" w:type="dxa"/>
          </w:tcPr>
          <w:p w:rsidR="005D6E8F" w:rsidRDefault="005D6E8F" w:rsidP="007002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10046-12</w:t>
            </w:r>
          </w:p>
        </w:tc>
        <w:tc>
          <w:tcPr>
            <w:tcW w:w="2564" w:type="dxa"/>
          </w:tcPr>
          <w:p w:rsidR="005D6E8F" w:rsidRDefault="005D6E8F" w:rsidP="007002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Szakmai idegen nyelv</w:t>
            </w:r>
          </w:p>
        </w:tc>
        <w:tc>
          <w:tcPr>
            <w:tcW w:w="3656" w:type="dxa"/>
          </w:tcPr>
          <w:p w:rsidR="005D6E8F" w:rsidRDefault="005D6E8F" w:rsidP="007002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szóbeli</w:t>
            </w:r>
          </w:p>
        </w:tc>
      </w:tr>
      <w:tr w:rsidR="005D6E8F" w:rsidTr="007002A0">
        <w:trPr>
          <w:jc w:val="center"/>
        </w:trPr>
        <w:tc>
          <w:tcPr>
            <w:tcW w:w="1474"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5.2.6.</w:t>
            </w:r>
          </w:p>
        </w:tc>
        <w:tc>
          <w:tcPr>
            <w:tcW w:w="1594" w:type="dxa"/>
          </w:tcPr>
          <w:p w:rsidR="005D6E8F" w:rsidRDefault="005D6E8F" w:rsidP="007002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10043-12</w:t>
            </w:r>
          </w:p>
        </w:tc>
        <w:tc>
          <w:tcPr>
            <w:tcW w:w="2564" w:type="dxa"/>
          </w:tcPr>
          <w:p w:rsidR="005D6E8F" w:rsidRDefault="005D6E8F" w:rsidP="007002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Cukrászati termékkészítés</w:t>
            </w:r>
          </w:p>
        </w:tc>
        <w:tc>
          <w:tcPr>
            <w:tcW w:w="3656" w:type="dxa"/>
          </w:tcPr>
          <w:p w:rsidR="005D6E8F" w:rsidRDefault="005D6E8F" w:rsidP="007002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gyakorlati</w:t>
            </w:r>
          </w:p>
        </w:tc>
      </w:tr>
      <w:tr w:rsidR="005D6E8F" w:rsidTr="007002A0">
        <w:trPr>
          <w:jc w:val="center"/>
        </w:trPr>
        <w:tc>
          <w:tcPr>
            <w:tcW w:w="1474"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5.2.7.</w:t>
            </w:r>
          </w:p>
        </w:tc>
        <w:tc>
          <w:tcPr>
            <w:tcW w:w="1594" w:type="dxa"/>
          </w:tcPr>
          <w:p w:rsidR="005D6E8F" w:rsidRDefault="005D6E8F" w:rsidP="007002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11497-12</w:t>
            </w:r>
          </w:p>
        </w:tc>
        <w:tc>
          <w:tcPr>
            <w:tcW w:w="2564" w:type="dxa"/>
          </w:tcPr>
          <w:p w:rsidR="005D6E8F" w:rsidRDefault="005D6E8F" w:rsidP="007002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w:t>
            </w:r>
          </w:p>
        </w:tc>
        <w:tc>
          <w:tcPr>
            <w:tcW w:w="3656" w:type="dxa"/>
          </w:tcPr>
          <w:p w:rsidR="005D6E8F" w:rsidRDefault="005D6E8F" w:rsidP="007002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r w:rsidR="005D6E8F" w:rsidTr="007002A0">
        <w:trPr>
          <w:jc w:val="center"/>
        </w:trPr>
        <w:tc>
          <w:tcPr>
            <w:tcW w:w="1474"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5.2.8.</w:t>
            </w:r>
          </w:p>
        </w:tc>
        <w:tc>
          <w:tcPr>
            <w:tcW w:w="1594" w:type="dxa"/>
          </w:tcPr>
          <w:p w:rsidR="005D6E8F" w:rsidRDefault="005D6E8F" w:rsidP="007002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11499-12</w:t>
            </w:r>
          </w:p>
        </w:tc>
        <w:tc>
          <w:tcPr>
            <w:tcW w:w="2564" w:type="dxa"/>
          </w:tcPr>
          <w:p w:rsidR="005D6E8F" w:rsidRDefault="005D6E8F" w:rsidP="007002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II.</w:t>
            </w:r>
          </w:p>
        </w:tc>
        <w:tc>
          <w:tcPr>
            <w:tcW w:w="3656" w:type="dxa"/>
          </w:tcPr>
          <w:p w:rsidR="005D6E8F" w:rsidRDefault="005D6E8F" w:rsidP="007002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r w:rsidR="005D6E8F" w:rsidTr="007002A0">
        <w:trPr>
          <w:jc w:val="center"/>
        </w:trPr>
        <w:tc>
          <w:tcPr>
            <w:tcW w:w="1474"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5.2.9.</w:t>
            </w:r>
          </w:p>
        </w:tc>
        <w:tc>
          <w:tcPr>
            <w:tcW w:w="1594" w:type="dxa"/>
          </w:tcPr>
          <w:p w:rsidR="005D6E8F" w:rsidRDefault="005D6E8F" w:rsidP="007002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11500-12</w:t>
            </w:r>
          </w:p>
        </w:tc>
        <w:tc>
          <w:tcPr>
            <w:tcW w:w="2564" w:type="dxa"/>
          </w:tcPr>
          <w:p w:rsidR="005D6E8F" w:rsidRDefault="005D6E8F" w:rsidP="007002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Munkahelyi egészség és biztonság</w:t>
            </w:r>
          </w:p>
        </w:tc>
        <w:tc>
          <w:tcPr>
            <w:tcW w:w="3656" w:type="dxa"/>
          </w:tcPr>
          <w:p w:rsidR="005D6E8F" w:rsidRDefault="005D6E8F" w:rsidP="007002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bl>
    <w:p w:rsidR="005D6E8F" w:rsidRDefault="005D6E8F" w:rsidP="005D6E8F">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Egy szakmai követelménymodulhoz kapcsolódó modulzáró vizsga akkor eredményes, ha a modulhoz előírt feladat végrehajtása legalább 51%-osra értékelhető.</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 A komplex szakmai vizsga vizsgatevékenységei és vizsgafeladatai:</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5.3.1. Gyakorlati vizsgatevékenység</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Cukrászati termékkészítés</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Két féle napi készítmény (uzsonnasütemény vagy teasütemény és kikészített sütemény), egy féle különleges cukrászati termék (adagolt fagylaltkészítmény vagy bonbon) és egy díszmunka (16 szeletes előzetesen betöltött tortára) készítése és tálalása, amelyet megelőzően munkatervet készít (a termékek elkészítését megelőzően, a vizsgaszervező által biztosított sablonba cukrászati félkész és késztermékek technológiai lépéseinek a párhuzamos készítési sorrendbe rendezése)</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elkészített termék tálalását követően, egy a vizsgázó által kiválasztott termék idegen nyelvű technológiai bemutatása</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420 perc</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70 %</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Cukrászati gazdasági és élelmiszerbiztonsági követelmények</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cukrászati termeléshez kapcsolódó gazdasági és cukrász üzemi árugazdálkodással kapcsolatos számítások (anyaghányad, veszteségszámítás, kalkuláció, leltározási feladatok)</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cukrászati termékkészítéshez alkalmazott nyersanyagok jellemzői, élelmiszerbiztonsági követelményei és felhasználási lehetőségeik</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120 perc</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30 %</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5.3.3. Szóbeli vizsgatevékenység</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szakképesítéssel kapcsolatos előírások az állami szakképzési és felnőttképzési szerv http://www.munka.hu/ című weblapján érhetők el a Szak- és felnőttképzés Vizsgák menüpontjában</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 A szakmai vizsga értékelésének a szakmai vizsgaszabályzattól eltérő szempontjai: –</w:t>
      </w: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both"/>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6. ESZKÖZ-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FELSZERELÉSI JEGYZÉK</w:t>
      </w:r>
    </w:p>
    <w:p w:rsidR="005D6E8F" w:rsidRDefault="005D6E8F" w:rsidP="005D6E8F">
      <w:pPr>
        <w:widowControl w:val="0"/>
        <w:autoSpaceDE w:val="0"/>
        <w:autoSpaceDN w:val="0"/>
        <w:adjustRightInd w:val="0"/>
        <w:spacing w:after="0" w:line="240" w:lineRule="auto"/>
        <w:jc w:val="cente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6"/>
        <w:gridCol w:w="6902"/>
      </w:tblGrid>
      <w:tr w:rsidR="005D6E8F" w:rsidTr="007002A0">
        <w:trPr>
          <w:jc w:val="center"/>
        </w:trPr>
        <w:tc>
          <w:tcPr>
            <w:tcW w:w="1656"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6902" w:type="dxa"/>
            <w:vAlign w:val="center"/>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r>
      <w:tr w:rsidR="005D6E8F" w:rsidTr="007002A0">
        <w:trPr>
          <w:jc w:val="center"/>
        </w:trPr>
        <w:tc>
          <w:tcPr>
            <w:tcW w:w="1656" w:type="dxa"/>
          </w:tcPr>
          <w:p w:rsidR="005D6E8F" w:rsidRDefault="005D6E8F" w:rsidP="007002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6.1.</w:t>
            </w:r>
          </w:p>
        </w:tc>
        <w:tc>
          <w:tcPr>
            <w:tcW w:w="6902" w:type="dxa"/>
            <w:vAlign w:val="center"/>
          </w:tcPr>
          <w:p w:rsidR="005D6E8F" w:rsidRDefault="005D6E8F" w:rsidP="007002A0">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5D6E8F" w:rsidTr="007002A0">
        <w:trPr>
          <w:jc w:val="center"/>
        </w:trPr>
        <w:tc>
          <w:tcPr>
            <w:tcW w:w="1656" w:type="dxa"/>
          </w:tcPr>
          <w:p w:rsidR="005D6E8F" w:rsidRDefault="005D6E8F" w:rsidP="007002A0">
            <w:pPr>
              <w:widowControl w:val="0"/>
              <w:autoSpaceDE w:val="0"/>
              <w:autoSpaceDN w:val="0"/>
              <w:adjustRightInd w:val="0"/>
              <w:spacing w:after="0" w:line="240" w:lineRule="auto"/>
              <w:ind w:left="181"/>
              <w:jc w:val="center"/>
              <w:rPr>
                <w:rFonts w:ascii="Times New Roman" w:hAnsi="Times New Roman" w:cs="Times New Roman"/>
                <w:sz w:val="20"/>
                <w:szCs w:val="20"/>
              </w:rPr>
            </w:pPr>
            <w:r>
              <w:rPr>
                <w:rFonts w:ascii="Times New Roman" w:hAnsi="Times New Roman" w:cs="Times New Roman"/>
                <w:sz w:val="20"/>
                <w:szCs w:val="20"/>
              </w:rPr>
              <w:t>6.2.</w:t>
            </w:r>
          </w:p>
        </w:tc>
        <w:tc>
          <w:tcPr>
            <w:tcW w:w="6902" w:type="dxa"/>
            <w:vAlign w:val="center"/>
          </w:tcPr>
          <w:p w:rsidR="005D6E8F" w:rsidRDefault="005D6E8F" w:rsidP="007002A0">
            <w:pPr>
              <w:widowControl w:val="0"/>
              <w:autoSpaceDE w:val="0"/>
              <w:autoSpaceDN w:val="0"/>
              <w:adjustRightInd w:val="0"/>
              <w:spacing w:after="0" w:line="240" w:lineRule="auto"/>
              <w:ind w:left="181"/>
              <w:rPr>
                <w:rFonts w:ascii="Times New Roman" w:hAnsi="Times New Roman" w:cs="Times New Roman"/>
                <w:sz w:val="20"/>
                <w:szCs w:val="20"/>
              </w:rPr>
            </w:pPr>
            <w:r>
              <w:rPr>
                <w:rFonts w:ascii="Times New Roman" w:hAnsi="Times New Roman" w:cs="Times New Roman"/>
                <w:sz w:val="20"/>
                <w:szCs w:val="20"/>
              </w:rPr>
              <w:t>Cukrász kéziszerszámok, eszközök</w:t>
            </w:r>
          </w:p>
        </w:tc>
      </w:tr>
      <w:tr w:rsidR="005D6E8F" w:rsidTr="007002A0">
        <w:trPr>
          <w:jc w:val="center"/>
        </w:trPr>
        <w:tc>
          <w:tcPr>
            <w:tcW w:w="1656" w:type="dxa"/>
          </w:tcPr>
          <w:p w:rsidR="005D6E8F" w:rsidRDefault="005D6E8F" w:rsidP="007002A0">
            <w:pPr>
              <w:widowControl w:val="0"/>
              <w:autoSpaceDE w:val="0"/>
              <w:autoSpaceDN w:val="0"/>
              <w:adjustRightInd w:val="0"/>
              <w:spacing w:after="0" w:line="240" w:lineRule="auto"/>
              <w:ind w:left="181"/>
              <w:jc w:val="center"/>
              <w:rPr>
                <w:rFonts w:ascii="Times New Roman" w:hAnsi="Times New Roman" w:cs="Times New Roman"/>
                <w:sz w:val="20"/>
                <w:szCs w:val="20"/>
              </w:rPr>
            </w:pPr>
            <w:r>
              <w:rPr>
                <w:rFonts w:ascii="Times New Roman" w:hAnsi="Times New Roman" w:cs="Times New Roman"/>
                <w:sz w:val="20"/>
                <w:szCs w:val="20"/>
              </w:rPr>
              <w:lastRenderedPageBreak/>
              <w:t>6.3.</w:t>
            </w:r>
          </w:p>
        </w:tc>
        <w:tc>
          <w:tcPr>
            <w:tcW w:w="6902" w:type="dxa"/>
            <w:vAlign w:val="center"/>
          </w:tcPr>
          <w:p w:rsidR="005D6E8F" w:rsidRDefault="005D6E8F" w:rsidP="007002A0">
            <w:pPr>
              <w:widowControl w:val="0"/>
              <w:autoSpaceDE w:val="0"/>
              <w:autoSpaceDN w:val="0"/>
              <w:adjustRightInd w:val="0"/>
              <w:spacing w:after="0" w:line="240" w:lineRule="auto"/>
              <w:ind w:left="181"/>
              <w:rPr>
                <w:rFonts w:ascii="Times New Roman" w:hAnsi="Times New Roman" w:cs="Times New Roman"/>
                <w:sz w:val="20"/>
                <w:szCs w:val="20"/>
              </w:rPr>
            </w:pPr>
            <w:r>
              <w:rPr>
                <w:rFonts w:ascii="Times New Roman" w:hAnsi="Times New Roman" w:cs="Times New Roman"/>
                <w:sz w:val="20"/>
                <w:szCs w:val="20"/>
              </w:rPr>
              <w:t>Főzőberendezések</w:t>
            </w:r>
          </w:p>
        </w:tc>
      </w:tr>
      <w:tr w:rsidR="005D6E8F" w:rsidTr="007002A0">
        <w:trPr>
          <w:jc w:val="center"/>
        </w:trPr>
        <w:tc>
          <w:tcPr>
            <w:tcW w:w="1656" w:type="dxa"/>
          </w:tcPr>
          <w:p w:rsidR="005D6E8F" w:rsidRDefault="005D6E8F" w:rsidP="007002A0">
            <w:pPr>
              <w:widowControl w:val="0"/>
              <w:autoSpaceDE w:val="0"/>
              <w:autoSpaceDN w:val="0"/>
              <w:adjustRightInd w:val="0"/>
              <w:spacing w:after="0" w:line="240" w:lineRule="auto"/>
              <w:ind w:left="181"/>
              <w:jc w:val="center"/>
              <w:rPr>
                <w:rFonts w:ascii="Times New Roman" w:hAnsi="Times New Roman" w:cs="Times New Roman"/>
                <w:sz w:val="20"/>
                <w:szCs w:val="20"/>
              </w:rPr>
            </w:pPr>
            <w:r>
              <w:rPr>
                <w:rFonts w:ascii="Times New Roman" w:hAnsi="Times New Roman" w:cs="Times New Roman"/>
                <w:sz w:val="20"/>
                <w:szCs w:val="20"/>
              </w:rPr>
              <w:t>6.4.</w:t>
            </w:r>
          </w:p>
        </w:tc>
        <w:tc>
          <w:tcPr>
            <w:tcW w:w="6902" w:type="dxa"/>
            <w:vAlign w:val="bottom"/>
          </w:tcPr>
          <w:p w:rsidR="005D6E8F" w:rsidRDefault="005D6E8F" w:rsidP="007002A0">
            <w:pPr>
              <w:widowControl w:val="0"/>
              <w:autoSpaceDE w:val="0"/>
              <w:autoSpaceDN w:val="0"/>
              <w:adjustRightInd w:val="0"/>
              <w:spacing w:after="0" w:line="240" w:lineRule="auto"/>
              <w:ind w:left="181"/>
              <w:rPr>
                <w:rFonts w:ascii="Times New Roman" w:hAnsi="Times New Roman" w:cs="Times New Roman"/>
                <w:sz w:val="20"/>
                <w:szCs w:val="20"/>
              </w:rPr>
            </w:pPr>
            <w:r>
              <w:rPr>
                <w:rFonts w:ascii="Times New Roman" w:hAnsi="Times New Roman" w:cs="Times New Roman"/>
                <w:sz w:val="20"/>
                <w:szCs w:val="20"/>
              </w:rPr>
              <w:t>Mérőberendezések</w:t>
            </w:r>
          </w:p>
        </w:tc>
      </w:tr>
      <w:tr w:rsidR="005D6E8F" w:rsidTr="007002A0">
        <w:trPr>
          <w:jc w:val="center"/>
        </w:trPr>
        <w:tc>
          <w:tcPr>
            <w:tcW w:w="1656" w:type="dxa"/>
          </w:tcPr>
          <w:p w:rsidR="005D6E8F" w:rsidRDefault="005D6E8F" w:rsidP="007002A0">
            <w:pPr>
              <w:widowControl w:val="0"/>
              <w:autoSpaceDE w:val="0"/>
              <w:autoSpaceDN w:val="0"/>
              <w:adjustRightInd w:val="0"/>
              <w:spacing w:after="0" w:line="240" w:lineRule="auto"/>
              <w:ind w:left="181"/>
              <w:jc w:val="center"/>
              <w:rPr>
                <w:rFonts w:ascii="Times New Roman" w:hAnsi="Times New Roman" w:cs="Times New Roman"/>
                <w:sz w:val="20"/>
                <w:szCs w:val="20"/>
              </w:rPr>
            </w:pPr>
            <w:r>
              <w:rPr>
                <w:rFonts w:ascii="Times New Roman" w:hAnsi="Times New Roman" w:cs="Times New Roman"/>
                <w:sz w:val="20"/>
                <w:szCs w:val="20"/>
              </w:rPr>
              <w:t>6.5.</w:t>
            </w:r>
          </w:p>
        </w:tc>
        <w:tc>
          <w:tcPr>
            <w:tcW w:w="6902" w:type="dxa"/>
            <w:vAlign w:val="bottom"/>
          </w:tcPr>
          <w:p w:rsidR="005D6E8F" w:rsidRDefault="005D6E8F" w:rsidP="007002A0">
            <w:pPr>
              <w:widowControl w:val="0"/>
              <w:autoSpaceDE w:val="0"/>
              <w:autoSpaceDN w:val="0"/>
              <w:adjustRightInd w:val="0"/>
              <w:spacing w:after="0" w:line="240" w:lineRule="auto"/>
              <w:ind w:left="181"/>
              <w:rPr>
                <w:rFonts w:ascii="Times New Roman" w:hAnsi="Times New Roman" w:cs="Times New Roman"/>
                <w:sz w:val="20"/>
                <w:szCs w:val="20"/>
              </w:rPr>
            </w:pPr>
            <w:r>
              <w:rPr>
                <w:rFonts w:ascii="Times New Roman" w:hAnsi="Times New Roman" w:cs="Times New Roman"/>
                <w:sz w:val="20"/>
                <w:szCs w:val="20"/>
              </w:rPr>
              <w:t>Hűtő és fagyasztó berendezések</w:t>
            </w:r>
          </w:p>
        </w:tc>
      </w:tr>
      <w:tr w:rsidR="005D6E8F" w:rsidTr="007002A0">
        <w:trPr>
          <w:jc w:val="center"/>
        </w:trPr>
        <w:tc>
          <w:tcPr>
            <w:tcW w:w="1656" w:type="dxa"/>
          </w:tcPr>
          <w:p w:rsidR="005D6E8F" w:rsidRDefault="005D6E8F" w:rsidP="007002A0">
            <w:pPr>
              <w:widowControl w:val="0"/>
              <w:autoSpaceDE w:val="0"/>
              <w:autoSpaceDN w:val="0"/>
              <w:adjustRightInd w:val="0"/>
              <w:spacing w:after="0" w:line="240" w:lineRule="auto"/>
              <w:ind w:left="181"/>
              <w:jc w:val="center"/>
              <w:rPr>
                <w:rFonts w:ascii="Times New Roman" w:hAnsi="Times New Roman" w:cs="Times New Roman"/>
                <w:sz w:val="20"/>
                <w:szCs w:val="20"/>
              </w:rPr>
            </w:pPr>
            <w:r>
              <w:rPr>
                <w:rFonts w:ascii="Times New Roman" w:hAnsi="Times New Roman" w:cs="Times New Roman"/>
                <w:sz w:val="20"/>
                <w:szCs w:val="20"/>
              </w:rPr>
              <w:t>6.6.</w:t>
            </w:r>
          </w:p>
        </w:tc>
        <w:tc>
          <w:tcPr>
            <w:tcW w:w="6902" w:type="dxa"/>
            <w:vAlign w:val="bottom"/>
          </w:tcPr>
          <w:p w:rsidR="005D6E8F" w:rsidRDefault="005D6E8F" w:rsidP="007002A0">
            <w:pPr>
              <w:widowControl w:val="0"/>
              <w:autoSpaceDE w:val="0"/>
              <w:autoSpaceDN w:val="0"/>
              <w:adjustRightInd w:val="0"/>
              <w:spacing w:after="0" w:line="240" w:lineRule="auto"/>
              <w:ind w:left="181"/>
              <w:rPr>
                <w:rFonts w:ascii="Times New Roman" w:hAnsi="Times New Roman" w:cs="Times New Roman"/>
                <w:sz w:val="20"/>
                <w:szCs w:val="20"/>
              </w:rPr>
            </w:pPr>
            <w:r>
              <w:rPr>
                <w:rFonts w:ascii="Times New Roman" w:hAnsi="Times New Roman" w:cs="Times New Roman"/>
                <w:sz w:val="20"/>
                <w:szCs w:val="20"/>
              </w:rPr>
              <w:t xml:space="preserve">Gyúró, keverő, habverő, habfúvó gépek </w:t>
            </w:r>
          </w:p>
        </w:tc>
      </w:tr>
      <w:tr w:rsidR="005D6E8F" w:rsidTr="007002A0">
        <w:trPr>
          <w:jc w:val="center"/>
        </w:trPr>
        <w:tc>
          <w:tcPr>
            <w:tcW w:w="1656" w:type="dxa"/>
          </w:tcPr>
          <w:p w:rsidR="005D6E8F" w:rsidRDefault="005D6E8F" w:rsidP="007002A0">
            <w:pPr>
              <w:widowControl w:val="0"/>
              <w:autoSpaceDE w:val="0"/>
              <w:autoSpaceDN w:val="0"/>
              <w:adjustRightInd w:val="0"/>
              <w:spacing w:after="0" w:line="240" w:lineRule="auto"/>
              <w:ind w:left="181"/>
              <w:jc w:val="center"/>
              <w:rPr>
                <w:rFonts w:ascii="Times New Roman" w:hAnsi="Times New Roman" w:cs="Times New Roman"/>
                <w:sz w:val="20"/>
                <w:szCs w:val="20"/>
              </w:rPr>
            </w:pPr>
            <w:r>
              <w:rPr>
                <w:rFonts w:ascii="Times New Roman" w:hAnsi="Times New Roman" w:cs="Times New Roman"/>
                <w:sz w:val="20"/>
                <w:szCs w:val="20"/>
              </w:rPr>
              <w:t>6.7.</w:t>
            </w:r>
          </w:p>
        </w:tc>
        <w:tc>
          <w:tcPr>
            <w:tcW w:w="6902" w:type="dxa"/>
            <w:vAlign w:val="bottom"/>
          </w:tcPr>
          <w:p w:rsidR="005D6E8F" w:rsidRDefault="005D6E8F" w:rsidP="007002A0">
            <w:pPr>
              <w:widowControl w:val="0"/>
              <w:autoSpaceDE w:val="0"/>
              <w:autoSpaceDN w:val="0"/>
              <w:adjustRightInd w:val="0"/>
              <w:spacing w:after="0" w:line="240" w:lineRule="auto"/>
              <w:ind w:left="181"/>
              <w:rPr>
                <w:rFonts w:ascii="Times New Roman" w:hAnsi="Times New Roman" w:cs="Times New Roman"/>
                <w:sz w:val="20"/>
                <w:szCs w:val="20"/>
              </w:rPr>
            </w:pPr>
            <w:r>
              <w:rPr>
                <w:rFonts w:ascii="Times New Roman" w:hAnsi="Times New Roman" w:cs="Times New Roman"/>
                <w:sz w:val="20"/>
                <w:szCs w:val="20"/>
              </w:rPr>
              <w:t>Sütőberendezések</w:t>
            </w:r>
          </w:p>
        </w:tc>
      </w:tr>
    </w:tbl>
    <w:p w:rsidR="005D6E8F" w:rsidRDefault="005D6E8F" w:rsidP="005D6E8F">
      <w:pPr>
        <w:widowControl w:val="0"/>
        <w:autoSpaceDE w:val="0"/>
        <w:autoSpaceDN w:val="0"/>
        <w:adjustRightInd w:val="0"/>
        <w:spacing w:after="0" w:line="240" w:lineRule="auto"/>
        <w:jc w:val="center"/>
        <w:rPr>
          <w:rFonts w:ascii="Times New Roman" w:hAnsi="Times New Roman" w:cs="Times New Roman"/>
          <w:sz w:val="20"/>
          <w:szCs w:val="20"/>
        </w:rPr>
      </w:pPr>
    </w:p>
    <w:p w:rsidR="005D6E8F" w:rsidRDefault="005D6E8F" w:rsidP="005D6E8F">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EGYEBEK</w:t>
      </w:r>
    </w:p>
    <w:p w:rsidR="006D62C3" w:rsidRDefault="00703869">
      <w:r>
        <w:t xml:space="preserve"> </w:t>
      </w:r>
    </w:p>
    <w:sectPr w:rsidR="006D62C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4E1" w:rsidRDefault="00AA24E1" w:rsidP="001A4567">
      <w:pPr>
        <w:spacing w:after="0" w:line="240" w:lineRule="auto"/>
      </w:pPr>
      <w:r>
        <w:separator/>
      </w:r>
    </w:p>
  </w:endnote>
  <w:endnote w:type="continuationSeparator" w:id="0">
    <w:p w:rsidR="00AA24E1" w:rsidRDefault="00AA24E1" w:rsidP="001A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227316"/>
      <w:docPartObj>
        <w:docPartGallery w:val="Page Numbers (Bottom of Page)"/>
        <w:docPartUnique/>
      </w:docPartObj>
    </w:sdtPr>
    <w:sdtEndPr/>
    <w:sdtContent>
      <w:p w:rsidR="001A4567" w:rsidRDefault="001A4567">
        <w:pPr>
          <w:pStyle w:val="llb"/>
          <w:jc w:val="center"/>
        </w:pPr>
        <w:r>
          <w:fldChar w:fldCharType="begin"/>
        </w:r>
        <w:r>
          <w:instrText>PAGE   \* MERGEFORMAT</w:instrText>
        </w:r>
        <w:r>
          <w:fldChar w:fldCharType="separate"/>
        </w:r>
        <w:r w:rsidR="00605EA3">
          <w:rPr>
            <w:noProof/>
          </w:rPr>
          <w:t>1</w:t>
        </w:r>
        <w:r>
          <w:fldChar w:fldCharType="end"/>
        </w:r>
      </w:p>
    </w:sdtContent>
  </w:sdt>
  <w:p w:rsidR="001A4567" w:rsidRDefault="001A456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4E1" w:rsidRDefault="00AA24E1" w:rsidP="001A4567">
      <w:pPr>
        <w:spacing w:after="0" w:line="240" w:lineRule="auto"/>
      </w:pPr>
      <w:r>
        <w:separator/>
      </w:r>
    </w:p>
  </w:footnote>
  <w:footnote w:type="continuationSeparator" w:id="0">
    <w:p w:rsidR="00AA24E1" w:rsidRDefault="00AA24E1" w:rsidP="001A4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67" w:rsidRDefault="001A4567" w:rsidP="001A4567">
    <w:pPr>
      <w:jc w:val="center"/>
      <w:rPr>
        <w:rFonts w:ascii="Times New Roman" w:hAnsi="Times New Roman" w:cs="Times New Roman"/>
        <w:sz w:val="20"/>
        <w:szCs w:val="20"/>
      </w:rPr>
    </w:pPr>
    <w:r>
      <w:rPr>
        <w:rFonts w:ascii="Times New Roman" w:hAnsi="Times New Roman" w:cs="Times New Roman"/>
        <w:sz w:val="20"/>
        <w:szCs w:val="20"/>
      </w:rPr>
      <w:t>27/2012. (VIII. 27.) NGM rendelet a nemzetgazdasági miniszter hatáskörébe tartozó szakképesítések szakmai és vizsgakövetelményeiről</w:t>
    </w:r>
  </w:p>
  <w:p w:rsidR="001A4567" w:rsidRDefault="001A4567">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8F"/>
    <w:rsid w:val="001A4567"/>
    <w:rsid w:val="004D5DC0"/>
    <w:rsid w:val="005D6E8F"/>
    <w:rsid w:val="00605EA3"/>
    <w:rsid w:val="006D62C3"/>
    <w:rsid w:val="00703869"/>
    <w:rsid w:val="00944D7D"/>
    <w:rsid w:val="00AA24E1"/>
    <w:rsid w:val="00C508F2"/>
    <w:rsid w:val="00E72C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D6E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A4567"/>
    <w:pPr>
      <w:tabs>
        <w:tab w:val="center" w:pos="4536"/>
        <w:tab w:val="right" w:pos="9072"/>
      </w:tabs>
      <w:spacing w:after="0" w:line="240" w:lineRule="auto"/>
    </w:pPr>
  </w:style>
  <w:style w:type="character" w:customStyle="1" w:styleId="lfejChar">
    <w:name w:val="Élőfej Char"/>
    <w:basedOn w:val="Bekezdsalapbettpusa"/>
    <w:link w:val="lfej"/>
    <w:uiPriority w:val="99"/>
    <w:rsid w:val="001A4567"/>
  </w:style>
  <w:style w:type="paragraph" w:styleId="llb">
    <w:name w:val="footer"/>
    <w:basedOn w:val="Norml"/>
    <w:link w:val="llbChar"/>
    <w:uiPriority w:val="99"/>
    <w:unhideWhenUsed/>
    <w:rsid w:val="001A4567"/>
    <w:pPr>
      <w:tabs>
        <w:tab w:val="center" w:pos="4536"/>
        <w:tab w:val="right" w:pos="9072"/>
      </w:tabs>
      <w:spacing w:after="0" w:line="240" w:lineRule="auto"/>
    </w:pPr>
  </w:style>
  <w:style w:type="character" w:customStyle="1" w:styleId="llbChar">
    <w:name w:val="Élőláb Char"/>
    <w:basedOn w:val="Bekezdsalapbettpusa"/>
    <w:link w:val="llb"/>
    <w:uiPriority w:val="99"/>
    <w:rsid w:val="001A4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D6E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A4567"/>
    <w:pPr>
      <w:tabs>
        <w:tab w:val="center" w:pos="4536"/>
        <w:tab w:val="right" w:pos="9072"/>
      </w:tabs>
      <w:spacing w:after="0" w:line="240" w:lineRule="auto"/>
    </w:pPr>
  </w:style>
  <w:style w:type="character" w:customStyle="1" w:styleId="lfejChar">
    <w:name w:val="Élőfej Char"/>
    <w:basedOn w:val="Bekezdsalapbettpusa"/>
    <w:link w:val="lfej"/>
    <w:uiPriority w:val="99"/>
    <w:rsid w:val="001A4567"/>
  </w:style>
  <w:style w:type="paragraph" w:styleId="llb">
    <w:name w:val="footer"/>
    <w:basedOn w:val="Norml"/>
    <w:link w:val="llbChar"/>
    <w:uiPriority w:val="99"/>
    <w:unhideWhenUsed/>
    <w:rsid w:val="001A4567"/>
    <w:pPr>
      <w:tabs>
        <w:tab w:val="center" w:pos="4536"/>
        <w:tab w:val="right" w:pos="9072"/>
      </w:tabs>
      <w:spacing w:after="0" w:line="240" w:lineRule="auto"/>
    </w:pPr>
  </w:style>
  <w:style w:type="character" w:customStyle="1" w:styleId="llbChar">
    <w:name w:val="Élőláb Char"/>
    <w:basedOn w:val="Bekezdsalapbettpusa"/>
    <w:link w:val="llb"/>
    <w:uiPriority w:val="99"/>
    <w:rsid w:val="001A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8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869</Words>
  <Characters>6000</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NMH-SZFI</dc:creator>
  <cp:lastModifiedBy>NMH-SZFI</cp:lastModifiedBy>
  <cp:revision>5</cp:revision>
  <dcterms:created xsi:type="dcterms:W3CDTF">2013-05-23T12:05:00Z</dcterms:created>
  <dcterms:modified xsi:type="dcterms:W3CDTF">2013-05-28T13:27:00Z</dcterms:modified>
</cp:coreProperties>
</file>