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4349E">
        <w:rPr>
          <w:b/>
          <w:sz w:val="20"/>
          <w:szCs w:val="20"/>
        </w:rPr>
        <w:t>sorszámú Hangtárvezető megnevezésű szakképesítés-ráépülés szakmai és vizsg</w:t>
      </w:r>
      <w:r w:rsidRPr="00F4349E">
        <w:rPr>
          <w:b/>
          <w:sz w:val="20"/>
          <w:szCs w:val="20"/>
        </w:rPr>
        <w:t>a</w:t>
      </w:r>
      <w:r w:rsidRPr="00F4349E">
        <w:rPr>
          <w:b/>
          <w:sz w:val="20"/>
          <w:szCs w:val="20"/>
        </w:rPr>
        <w:t>követelménye</w:t>
      </w: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F4349E">
        <w:rPr>
          <w:b/>
          <w:iCs/>
          <w:sz w:val="20"/>
          <w:szCs w:val="20"/>
        </w:rPr>
        <w:t>1. AZ ORSZÁGOS KÉPZÉSI JEGYZÉKBEN SZEREPLŐ ADATOK</w:t>
      </w: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1.1. A szakképesítés-ráépülés azonosító száma: </w:t>
      </w:r>
      <w:r w:rsidRPr="00F4349E">
        <w:rPr>
          <w:sz w:val="20"/>
          <w:szCs w:val="20"/>
        </w:rPr>
        <w:t>5</w:t>
      </w:r>
      <w:r>
        <w:rPr>
          <w:sz w:val="20"/>
          <w:szCs w:val="20"/>
        </w:rPr>
        <w:t>5</w:t>
      </w:r>
      <w:r w:rsidRPr="00F4349E">
        <w:rPr>
          <w:sz w:val="20"/>
          <w:szCs w:val="20"/>
        </w:rPr>
        <w:t> 213 01</w:t>
      </w:r>
    </w:p>
    <w:p w:rsidR="000145DE" w:rsidRPr="00F4349E" w:rsidRDefault="000145DE" w:rsidP="000A7401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0145DE" w:rsidRPr="00F4349E" w:rsidRDefault="000145DE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1.2. Szakképesítés</w:t>
      </w:r>
      <w:r>
        <w:rPr>
          <w:sz w:val="20"/>
        </w:rPr>
        <w:t>-ráépülés</w:t>
      </w:r>
      <w:r w:rsidRPr="00F4349E">
        <w:rPr>
          <w:iCs/>
          <w:sz w:val="20"/>
          <w:szCs w:val="20"/>
        </w:rPr>
        <w:t xml:space="preserve"> megnevezése: Hangtárvezető</w:t>
      </w:r>
    </w:p>
    <w:p w:rsidR="000145DE" w:rsidRPr="00F4349E" w:rsidRDefault="000145DE" w:rsidP="000A7401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0145DE" w:rsidRPr="00F4349E" w:rsidRDefault="000145DE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1.3. Iskolai rendszerű szakképzésben a szakképzési évfolyamok száma: </w:t>
      </w:r>
      <w:r>
        <w:rPr>
          <w:iCs/>
          <w:sz w:val="20"/>
          <w:szCs w:val="20"/>
        </w:rPr>
        <w:t>–</w:t>
      </w:r>
    </w:p>
    <w:p w:rsidR="000145DE" w:rsidRPr="00F4349E" w:rsidRDefault="000145DE" w:rsidP="000A7401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0145DE" w:rsidRDefault="000145DE" w:rsidP="000A7401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1.4. Iskolarendszeren kívüli szakképzésben az óraszám: 480–720 </w:t>
      </w:r>
    </w:p>
    <w:p w:rsidR="000145DE" w:rsidRPr="00F4349E" w:rsidRDefault="000145DE" w:rsidP="000A7401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4349E">
        <w:rPr>
          <w:b/>
          <w:sz w:val="20"/>
          <w:szCs w:val="20"/>
        </w:rPr>
        <w:t>2. EGYÉB ADATOK</w:t>
      </w: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45DE" w:rsidRPr="00F4349E" w:rsidRDefault="000145DE" w:rsidP="00A15B0B">
      <w:pPr>
        <w:pStyle w:val="Listaszerbekezds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2.1. A képzés megkezdésének feltételei:</w:t>
      </w:r>
    </w:p>
    <w:p w:rsidR="000145DE" w:rsidRPr="00F4349E" w:rsidRDefault="000145DE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 w:rsidRPr="00F4349E">
        <w:rPr>
          <w:sz w:val="20"/>
          <w:szCs w:val="20"/>
        </w:rPr>
        <w:t xml:space="preserve">2.1.1. Iskolai előképzettség: </w:t>
      </w:r>
      <w:r>
        <w:rPr>
          <w:iCs/>
          <w:sz w:val="20"/>
          <w:szCs w:val="20"/>
        </w:rPr>
        <w:t>–</w:t>
      </w:r>
    </w:p>
    <w:p w:rsidR="000145DE" w:rsidRPr="00F4349E" w:rsidRDefault="000145DE" w:rsidP="002035AC">
      <w:pPr>
        <w:autoSpaceDE w:val="0"/>
        <w:autoSpaceDN w:val="0"/>
        <w:adjustRightInd w:val="0"/>
        <w:spacing w:before="120"/>
        <w:ind w:left="2829" w:hanging="2625"/>
        <w:jc w:val="both"/>
        <w:rPr>
          <w:sz w:val="20"/>
          <w:szCs w:val="20"/>
        </w:rPr>
      </w:pPr>
      <w:r w:rsidRPr="00F4349E">
        <w:rPr>
          <w:sz w:val="20"/>
          <w:szCs w:val="20"/>
        </w:rPr>
        <w:t xml:space="preserve">2.1.2. Bemeneti kompetenciák: </w:t>
      </w:r>
      <w:r>
        <w:rPr>
          <w:iCs/>
          <w:sz w:val="20"/>
          <w:szCs w:val="20"/>
        </w:rPr>
        <w:t>–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4349E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 xml:space="preserve">2.2. Szakmai előképzettség: </w:t>
      </w:r>
      <w:r w:rsidRPr="00E622D2">
        <w:rPr>
          <w:sz w:val="20"/>
          <w:szCs w:val="20"/>
        </w:rPr>
        <w:t>54 213 01Hangmester, vagy a 7</w:t>
      </w:r>
      <w:r>
        <w:rPr>
          <w:sz w:val="20"/>
          <w:szCs w:val="20"/>
        </w:rPr>
        <w:t>.1. pontban</w:t>
      </w:r>
      <w:r w:rsidRPr="00F4349E">
        <w:rPr>
          <w:sz w:val="20"/>
          <w:szCs w:val="20"/>
        </w:rPr>
        <w:t xml:space="preserve"> meghatározott el</w:t>
      </w:r>
      <w:r w:rsidRPr="00F4349E">
        <w:rPr>
          <w:sz w:val="20"/>
          <w:szCs w:val="20"/>
        </w:rPr>
        <w:t>ő</w:t>
      </w:r>
      <w:r w:rsidRPr="00F4349E">
        <w:rPr>
          <w:sz w:val="20"/>
          <w:szCs w:val="20"/>
        </w:rPr>
        <w:t>képzettség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2.3. Előírt gyakorlat: minimum 2 év színházban végzett, igazolt szakmai gyakorlat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 xml:space="preserve">2.4. Egészségügyi alkalmassági követelmények: </w:t>
      </w:r>
      <w:r>
        <w:rPr>
          <w:iCs/>
          <w:sz w:val="20"/>
          <w:szCs w:val="20"/>
        </w:rPr>
        <w:t>szükségesek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2.5. Pályaalkalmassági követelmények:</w:t>
      </w:r>
      <w:r w:rsidRPr="00D20DB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szükségesek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2.6. Elméleti képzési idő aránya: 50 %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 xml:space="preserve">2.7. Gyakorlati képzési idő aránya: 50 % 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2.8. Szintvizsga</w:t>
      </w:r>
      <w:r w:rsidRPr="00F4349E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–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0145DE" w:rsidRDefault="000145DE" w:rsidP="0009262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sz w:val="20"/>
          <w:szCs w:val="20"/>
        </w:rPr>
        <w:t xml:space="preserve">2.9. Az iskolai rendszerű képzésben az összefüggő szakmai gyakorlat időtartama: </w:t>
      </w:r>
      <w:r>
        <w:rPr>
          <w:iCs/>
          <w:sz w:val="20"/>
          <w:szCs w:val="20"/>
        </w:rPr>
        <w:t>–</w:t>
      </w:r>
    </w:p>
    <w:p w:rsidR="000145DE" w:rsidRPr="00F4349E" w:rsidRDefault="000145DE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F4349E">
        <w:rPr>
          <w:b/>
          <w:iCs/>
          <w:sz w:val="20"/>
          <w:szCs w:val="20"/>
        </w:rPr>
        <w:t>3. PÁLYATÜKÖR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3.1. A szakképesítés-ráépüléssel</w:t>
      </w:r>
      <w:r w:rsidRPr="00F4349E">
        <w:rPr>
          <w:sz w:val="20"/>
          <w:szCs w:val="20"/>
        </w:rPr>
        <w:t xml:space="preserve"> </w:t>
      </w:r>
      <w:r w:rsidRPr="00F4349E">
        <w:rPr>
          <w:iCs/>
          <w:sz w:val="20"/>
          <w:szCs w:val="20"/>
        </w:rPr>
        <w:t>legjellemzőbben betölthető munkakör(ök), foglalkozás(ok):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0145DE" w:rsidRPr="00F4349E" w:rsidTr="000561B3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F4349E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C</w:t>
            </w:r>
          </w:p>
        </w:tc>
      </w:tr>
      <w:tr w:rsidR="000145DE" w:rsidRPr="00F4349E" w:rsidTr="000561B3">
        <w:trPr>
          <w:trHeight w:val="561"/>
        </w:trPr>
        <w:tc>
          <w:tcPr>
            <w:tcW w:w="687" w:type="dxa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F4349E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F4349E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349E">
              <w:rPr>
                <w:b/>
                <w:sz w:val="20"/>
                <w:szCs w:val="20"/>
              </w:rPr>
              <w:t>A szakképesítés</w:t>
            </w:r>
            <w:r w:rsidRPr="00906248">
              <w:rPr>
                <w:b/>
                <w:sz w:val="20"/>
              </w:rPr>
              <w:t>-ráépülés</w:t>
            </w:r>
            <w:r w:rsidRPr="00906248">
              <w:rPr>
                <w:b/>
                <w:sz w:val="20"/>
                <w:szCs w:val="20"/>
              </w:rPr>
              <w:t>sel</w:t>
            </w:r>
            <w:r w:rsidRPr="00F4349E">
              <w:rPr>
                <w:b/>
                <w:sz w:val="20"/>
                <w:szCs w:val="20"/>
              </w:rPr>
              <w:t xml:space="preserve"> betölthető munk</w:t>
            </w:r>
            <w:r w:rsidRPr="00F4349E">
              <w:rPr>
                <w:b/>
                <w:sz w:val="20"/>
                <w:szCs w:val="20"/>
              </w:rPr>
              <w:t>a</w:t>
            </w:r>
            <w:r w:rsidRPr="00F4349E">
              <w:rPr>
                <w:b/>
                <w:sz w:val="20"/>
                <w:szCs w:val="20"/>
              </w:rPr>
              <w:t>kör(ök)</w:t>
            </w:r>
          </w:p>
        </w:tc>
      </w:tr>
      <w:tr w:rsidR="000145DE" w:rsidRPr="00F4349E" w:rsidTr="000561B3">
        <w:trPr>
          <w:trHeight w:val="387"/>
        </w:trPr>
        <w:tc>
          <w:tcPr>
            <w:tcW w:w="687" w:type="dxa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F4349E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  <w:p w:rsidR="000145DE" w:rsidRPr="00F4349E" w:rsidRDefault="000145DE" w:rsidP="0090182B">
            <w:pPr>
              <w:autoSpaceDE w:val="0"/>
              <w:autoSpaceDN w:val="0"/>
              <w:adjustRightInd w:val="0"/>
              <w:ind w:firstLine="204"/>
              <w:rPr>
                <w:bCs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3719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Egyéb művészeti és kult</w:t>
            </w:r>
            <w:r w:rsidRPr="00F4349E">
              <w:rPr>
                <w:sz w:val="20"/>
                <w:szCs w:val="20"/>
              </w:rPr>
              <w:t>u</w:t>
            </w:r>
            <w:r w:rsidRPr="00F4349E">
              <w:rPr>
                <w:sz w:val="20"/>
                <w:szCs w:val="20"/>
              </w:rPr>
              <w:t>rális foglalkoz</w:t>
            </w:r>
            <w:r w:rsidRPr="00F4349E">
              <w:rPr>
                <w:sz w:val="20"/>
                <w:szCs w:val="20"/>
              </w:rPr>
              <w:t>á</w:t>
            </w:r>
            <w:r w:rsidRPr="00F4349E">
              <w:rPr>
                <w:sz w:val="20"/>
                <w:szCs w:val="20"/>
              </w:rPr>
              <w:t>sú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DE" w:rsidRPr="00F4349E" w:rsidRDefault="000145DE" w:rsidP="00EA1865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Hangtárvezető hangtechnikus</w:t>
            </w:r>
          </w:p>
        </w:tc>
      </w:tr>
      <w:tr w:rsidR="000145DE" w:rsidRPr="00F4349E" w:rsidTr="000561B3">
        <w:trPr>
          <w:trHeight w:val="387"/>
        </w:trPr>
        <w:tc>
          <w:tcPr>
            <w:tcW w:w="687" w:type="dxa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F4349E"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DE" w:rsidRPr="00F4349E" w:rsidRDefault="000145DE" w:rsidP="00EA1865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Stúdiómenedzser</w:t>
            </w:r>
          </w:p>
        </w:tc>
      </w:tr>
      <w:tr w:rsidR="000145DE" w:rsidRPr="00F4349E" w:rsidTr="000561B3">
        <w:trPr>
          <w:trHeight w:val="387"/>
        </w:trPr>
        <w:tc>
          <w:tcPr>
            <w:tcW w:w="687" w:type="dxa"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F4349E"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DE" w:rsidRPr="00F4349E" w:rsidRDefault="000145DE" w:rsidP="00EA1865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Stúdió rendszergazda</w:t>
            </w:r>
          </w:p>
        </w:tc>
      </w:tr>
      <w:tr w:rsidR="000145DE" w:rsidRPr="00F4349E" w:rsidTr="000561B3">
        <w:trPr>
          <w:trHeight w:val="387"/>
        </w:trPr>
        <w:tc>
          <w:tcPr>
            <w:tcW w:w="687" w:type="dxa"/>
            <w:tcBorders>
              <w:bottom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F4349E">
              <w:rPr>
                <w:bCs/>
                <w:sz w:val="20"/>
                <w:szCs w:val="20"/>
              </w:rPr>
              <w:t>3.1.5.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DE" w:rsidRPr="00F4349E" w:rsidRDefault="000145DE" w:rsidP="00EA1865">
            <w:pPr>
              <w:rPr>
                <w:color w:val="000000"/>
                <w:sz w:val="20"/>
                <w:szCs w:val="20"/>
              </w:rPr>
            </w:pPr>
            <w:r w:rsidRPr="00F4349E">
              <w:rPr>
                <w:color w:val="000000"/>
                <w:sz w:val="20"/>
                <w:szCs w:val="20"/>
              </w:rPr>
              <w:t>Producer</w:t>
            </w:r>
          </w:p>
        </w:tc>
      </w:tr>
    </w:tbl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3.2. A szakképesítés-ráépülés munkaterületének rövid leírása: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360D25">
      <w:pPr>
        <w:jc w:val="both"/>
        <w:rPr>
          <w:sz w:val="20"/>
          <w:szCs w:val="20"/>
        </w:rPr>
      </w:pPr>
      <w:r w:rsidRPr="00F4349E">
        <w:rPr>
          <w:bCs/>
          <w:sz w:val="20"/>
          <w:szCs w:val="20"/>
        </w:rPr>
        <w:t>A hangtárvezető tevékenysége a művészeti, kulturális, közélet, a tömegtájékoztatás, a multimédia, az oktatás, a sz</w:t>
      </w:r>
      <w:r w:rsidRPr="00F4349E">
        <w:rPr>
          <w:bCs/>
          <w:sz w:val="20"/>
          <w:szCs w:val="20"/>
        </w:rPr>
        <w:t>e</w:t>
      </w:r>
      <w:r w:rsidRPr="00F4349E">
        <w:rPr>
          <w:bCs/>
          <w:sz w:val="20"/>
          <w:szCs w:val="20"/>
        </w:rPr>
        <w:t>mélyes és tömeg-, vagy telekommunikáció, az elektronikus kommunikáció, a szolgáltatások számos területére kihat.  A hangtechnikának döntő befolyása van a társadalmi kultúrára, a tömegtájékoztatás minőségére, önálló művészeti ágak alapja, önmagában is művészeti tevékenység, információ közvetítője, a legalapvetőbb, és a le</w:t>
      </w:r>
      <w:r w:rsidRPr="00F4349E">
        <w:rPr>
          <w:bCs/>
          <w:sz w:val="20"/>
          <w:szCs w:val="20"/>
        </w:rPr>
        <w:t>g</w:t>
      </w:r>
      <w:r w:rsidRPr="00F4349E">
        <w:rPr>
          <w:bCs/>
          <w:sz w:val="20"/>
          <w:szCs w:val="20"/>
        </w:rPr>
        <w:t>több hagy</w:t>
      </w:r>
      <w:r w:rsidRPr="00F4349E">
        <w:rPr>
          <w:bCs/>
          <w:sz w:val="20"/>
          <w:szCs w:val="20"/>
        </w:rPr>
        <w:t>o</w:t>
      </w:r>
      <w:r w:rsidRPr="00F4349E">
        <w:rPr>
          <w:bCs/>
          <w:sz w:val="20"/>
          <w:szCs w:val="20"/>
        </w:rPr>
        <w:t>mánnyal bíró emberi kommunikációs kapcsolatok támogatója, a modern, fenntartható civilizáció egyik pillére. A hangtárvezető tevékenysége nagyfokú önállóságot, döntéshozási képességet, és figyelemko</w:t>
      </w:r>
      <w:r w:rsidRPr="00F4349E">
        <w:rPr>
          <w:bCs/>
          <w:sz w:val="20"/>
          <w:szCs w:val="20"/>
        </w:rPr>
        <w:t>n</w:t>
      </w:r>
      <w:r w:rsidRPr="00F4349E">
        <w:rPr>
          <w:bCs/>
          <w:sz w:val="20"/>
          <w:szCs w:val="20"/>
        </w:rPr>
        <w:t>centrációt, gyakran kreativitást igénylő szellemi tevékenység, amihez állóképességet igénylő fizikai igénybevétel is tartozhat. Munkáját jellemzően kis létszámú munkacsoportban, vagy más foglalkozások képviselőivel stá</w:t>
      </w:r>
      <w:r w:rsidRPr="00F4349E">
        <w:rPr>
          <w:bCs/>
          <w:sz w:val="20"/>
          <w:szCs w:val="20"/>
        </w:rPr>
        <w:t>b</w:t>
      </w:r>
      <w:r w:rsidRPr="00F4349E">
        <w:rPr>
          <w:bCs/>
          <w:sz w:val="20"/>
          <w:szCs w:val="20"/>
        </w:rPr>
        <w:t>munkában, egyéni felelősségvállalással végzi. Munkaterületétől függően gyakran vált</w:t>
      </w:r>
      <w:r w:rsidRPr="00F4349E">
        <w:rPr>
          <w:bCs/>
          <w:sz w:val="20"/>
          <w:szCs w:val="20"/>
        </w:rPr>
        <w:t>o</w:t>
      </w:r>
      <w:r w:rsidRPr="00F4349E">
        <w:rPr>
          <w:bCs/>
          <w:sz w:val="20"/>
          <w:szCs w:val="20"/>
        </w:rPr>
        <w:t>zó emberi környezetben végzi munkáját.  Jellemző munkaterületei az előadó művészetek, a színház.  Napi munkájának végzéséhez sze</w:t>
      </w:r>
      <w:r w:rsidRPr="00F4349E">
        <w:rPr>
          <w:bCs/>
          <w:sz w:val="20"/>
          <w:szCs w:val="20"/>
        </w:rPr>
        <w:t>r</w:t>
      </w:r>
      <w:r w:rsidRPr="00F4349E">
        <w:rPr>
          <w:bCs/>
          <w:sz w:val="20"/>
          <w:szCs w:val="20"/>
        </w:rPr>
        <w:t>teágazó tudományos és technikai területek eredményeit használja, jellemzően hangtani, teremakusztikai, pszicho akusztikai, elektroakusztikai, felvétel technikai, rendszertechnikai, hangszer akusztikai, zeneelméleti, zenetört</w:t>
      </w:r>
      <w:r w:rsidRPr="00F4349E">
        <w:rPr>
          <w:bCs/>
          <w:sz w:val="20"/>
          <w:szCs w:val="20"/>
        </w:rPr>
        <w:t>é</w:t>
      </w:r>
      <w:r w:rsidRPr="00F4349E">
        <w:rPr>
          <w:bCs/>
          <w:sz w:val="20"/>
          <w:szCs w:val="20"/>
        </w:rPr>
        <w:t>neti, dramaturgiai, műfajismereti, hangzástörténeti, hangesztétikai, hangmérnök etikai, angol műszaki nyelvi, digitális technikai, számítástechnikai, produkciós, jogi, vállalkozási, vezetési ismereteket, amelyekkel új min</w:t>
      </w:r>
      <w:r w:rsidRPr="00F4349E">
        <w:rPr>
          <w:bCs/>
          <w:sz w:val="20"/>
          <w:szCs w:val="20"/>
        </w:rPr>
        <w:t>ő</w:t>
      </w:r>
      <w:r w:rsidRPr="00F4349E">
        <w:rPr>
          <w:bCs/>
          <w:sz w:val="20"/>
          <w:szCs w:val="20"/>
        </w:rPr>
        <w:t>séget, sze</w:t>
      </w:r>
      <w:r w:rsidRPr="00F4349E">
        <w:rPr>
          <w:bCs/>
          <w:sz w:val="20"/>
          <w:szCs w:val="20"/>
        </w:rPr>
        <w:t>l</w:t>
      </w:r>
      <w:r w:rsidRPr="00F4349E">
        <w:rPr>
          <w:bCs/>
          <w:sz w:val="20"/>
          <w:szCs w:val="20"/>
        </w:rPr>
        <w:t>lemi terméket hoz létre, vagy létrehozását irányítja.</w:t>
      </w:r>
    </w:p>
    <w:p w:rsidR="000145DE" w:rsidRPr="00F4349E" w:rsidRDefault="000145DE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1205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szakképesítés-ráépüléssel rendelkező képes:</w:t>
      </w:r>
    </w:p>
    <w:p w:rsidR="000145DE" w:rsidRPr="00F4349E" w:rsidRDefault="000145DE" w:rsidP="001205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műfaji, stílus, felvétel-történeti, tartalmi és minőségi elemzést végezni, tartalmi, esztétikai, han</w:t>
      </w:r>
      <w:r w:rsidRPr="00F4349E">
        <w:rPr>
          <w:iCs/>
          <w:sz w:val="20"/>
          <w:szCs w:val="20"/>
        </w:rPr>
        <w:t>g</w:t>
      </w:r>
      <w:r w:rsidRPr="00F4349E">
        <w:rPr>
          <w:iCs/>
          <w:sz w:val="20"/>
          <w:szCs w:val="20"/>
        </w:rPr>
        <w:t>technikai minőségellenőrzést végezni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feladat-ellátási helytől függő hangtechnikai követelményrendszert felállítani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műszaki és művészi szempontok alapján hangképet tervezni, kialakítani 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szabad téri és zárt téri, a feladat-ellátási hely kívánalmainak megfelelő csatornaszámú besugárzási tervet k</w:t>
      </w:r>
      <w:r w:rsidRPr="00F4349E">
        <w:rPr>
          <w:iCs/>
          <w:sz w:val="20"/>
          <w:szCs w:val="20"/>
        </w:rPr>
        <w:t>é</w:t>
      </w:r>
      <w:r w:rsidRPr="00F4349E">
        <w:rPr>
          <w:iCs/>
          <w:sz w:val="20"/>
          <w:szCs w:val="20"/>
        </w:rPr>
        <w:t>szíteni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besugárzási tervnek megfelelő szabad téri és zárt téri besugárzási térképet készíteni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besugárzási tervnek megfelelő rendszertervet, eszközjegyzéket készíteni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hangosítási rendszertervnek megfelelő beépítési, elhelyezési tervrajzot készíteni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alkalmazkodni környezeti hatásokhoz, környezetvédelmi előírásokhoz 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környezetvédelmi hatástanu</w:t>
      </w:r>
      <w:r w:rsidRPr="00F4349E">
        <w:rPr>
          <w:iCs/>
          <w:sz w:val="20"/>
          <w:szCs w:val="20"/>
        </w:rPr>
        <w:t>l</w:t>
      </w:r>
      <w:r w:rsidRPr="00F4349E">
        <w:rPr>
          <w:iCs/>
          <w:sz w:val="20"/>
          <w:szCs w:val="20"/>
        </w:rPr>
        <w:t>mányt készíteni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hangtechnikai eszközök, berendezések, rendszerek működésének ismeretében előkészíteni a ha</w:t>
      </w:r>
      <w:r w:rsidRPr="00F4349E">
        <w:rPr>
          <w:iCs/>
          <w:sz w:val="20"/>
          <w:szCs w:val="20"/>
        </w:rPr>
        <w:t>n</w:t>
      </w:r>
      <w:r w:rsidRPr="00F4349E">
        <w:rPr>
          <w:iCs/>
          <w:sz w:val="20"/>
          <w:szCs w:val="20"/>
        </w:rPr>
        <w:t>gosítási hangtechnika telepítési munkáit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irányítani és ellenőrizni a felügyelete alá rendelt színházi, hangosító hangtechnikai rendszer telep</w:t>
      </w:r>
      <w:r w:rsidRPr="00F4349E">
        <w:rPr>
          <w:iCs/>
          <w:sz w:val="20"/>
          <w:szCs w:val="20"/>
        </w:rPr>
        <w:t>í</w:t>
      </w:r>
      <w:r w:rsidRPr="00F4349E">
        <w:rPr>
          <w:iCs/>
          <w:sz w:val="20"/>
          <w:szCs w:val="20"/>
        </w:rPr>
        <w:t>tési mu</w:t>
      </w:r>
      <w:r w:rsidRPr="00F4349E">
        <w:rPr>
          <w:iCs/>
          <w:sz w:val="20"/>
          <w:szCs w:val="20"/>
        </w:rPr>
        <w:t>n</w:t>
      </w:r>
      <w:r w:rsidRPr="00F4349E">
        <w:rPr>
          <w:iCs/>
          <w:sz w:val="20"/>
          <w:szCs w:val="20"/>
        </w:rPr>
        <w:t>káit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színházi, hangosító berendezést, színházi, koncert-, és eseményhangosító rendszert telepíteni, üzembe h</w:t>
      </w:r>
      <w:r w:rsidRPr="00F4349E">
        <w:rPr>
          <w:iCs/>
          <w:sz w:val="20"/>
          <w:szCs w:val="20"/>
        </w:rPr>
        <w:t>e</w:t>
      </w:r>
      <w:r w:rsidRPr="00F4349E">
        <w:rPr>
          <w:iCs/>
          <w:sz w:val="20"/>
          <w:szCs w:val="20"/>
        </w:rPr>
        <w:t>lyezni, rendszerré alakítani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számítógépet és számítástechnikai eszközt, hangtechnikai eszközt, berendezést, rendszert használni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munkafolyamatokat, eszközöket, rendszereket ellenőrizni, hangtechnikai méréseket végezni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hangforrásokat, hanghordozókat kezelni 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színházi előadásokat, koncerteket, egyéb eseményeket hangosítani</w:t>
      </w:r>
    </w:p>
    <w:p w:rsidR="000145DE" w:rsidRPr="00F4349E" w:rsidRDefault="000145DE" w:rsidP="006F0309">
      <w:pPr>
        <w:pStyle w:val="Listaszerbekezds"/>
        <w:numPr>
          <w:ilvl w:val="0"/>
          <w:numId w:val="12"/>
        </w:numPr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új eszközt, rendszert, technológiát megismerni, alkalmazni</w:t>
      </w:r>
    </w:p>
    <w:p w:rsidR="000145DE" w:rsidRPr="00F4349E" w:rsidRDefault="000145DE" w:rsidP="006F4301">
      <w:pPr>
        <w:pStyle w:val="Listaszerbekezds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3.3. Kapcsolódó szakképesítések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980"/>
        <w:gridCol w:w="2520"/>
        <w:gridCol w:w="3132"/>
      </w:tblGrid>
      <w:tr w:rsidR="000145DE" w:rsidRPr="00F4349E" w:rsidTr="0005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C</w:t>
            </w:r>
          </w:p>
        </w:tc>
      </w:tr>
      <w:tr w:rsidR="000145DE" w:rsidRPr="00F4349E" w:rsidTr="0005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0145DE" w:rsidRPr="00F4349E" w:rsidTr="0005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3.3.2.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145DE" w:rsidRPr="00F4349E" w:rsidTr="0005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3.3.3.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C80D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54 213 01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C80D16">
            <w:pPr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Hangmester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C80D16">
            <w:pPr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szakképesítés</w:t>
            </w:r>
          </w:p>
        </w:tc>
      </w:tr>
    </w:tbl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F4349E">
        <w:rPr>
          <w:b/>
          <w:iCs/>
          <w:sz w:val="20"/>
          <w:szCs w:val="20"/>
        </w:rPr>
        <w:t>4. SZAKMAI KÖVETELMÉNYEK</w:t>
      </w: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0145DE" w:rsidRPr="00F4349E" w:rsidTr="000561B3">
        <w:trPr>
          <w:jc w:val="center"/>
        </w:trPr>
        <w:tc>
          <w:tcPr>
            <w:tcW w:w="900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B</w:t>
            </w:r>
          </w:p>
        </w:tc>
      </w:tr>
      <w:tr w:rsidR="000145DE" w:rsidRPr="00F4349E" w:rsidTr="000561B3">
        <w:trPr>
          <w:jc w:val="center"/>
        </w:trPr>
        <w:tc>
          <w:tcPr>
            <w:tcW w:w="900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 szakképesítés</w:t>
            </w:r>
            <w:r w:rsidRPr="00F4349E">
              <w:rPr>
                <w:b/>
                <w:iCs/>
                <w:sz w:val="20"/>
                <w:szCs w:val="20"/>
              </w:rPr>
              <w:t>-ráépülés</w:t>
            </w:r>
            <w:r w:rsidRPr="00F4349E">
              <w:rPr>
                <w:b/>
                <w:bCs/>
                <w:sz w:val="20"/>
                <w:szCs w:val="20"/>
              </w:rPr>
              <w:t xml:space="preserve"> szakmai követelménymoduljainak az állam által elismert szakkép</w:t>
            </w:r>
            <w:r w:rsidRPr="00F4349E">
              <w:rPr>
                <w:b/>
                <w:bCs/>
                <w:sz w:val="20"/>
                <w:szCs w:val="20"/>
              </w:rPr>
              <w:t>e</w:t>
            </w:r>
            <w:r w:rsidRPr="00F4349E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45DE" w:rsidRPr="00F4349E" w:rsidTr="000561B3">
        <w:trPr>
          <w:jc w:val="center"/>
        </w:trPr>
        <w:tc>
          <w:tcPr>
            <w:tcW w:w="900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145DE" w:rsidRPr="00F4349E" w:rsidTr="000561B3">
        <w:trPr>
          <w:jc w:val="center"/>
        </w:trPr>
        <w:tc>
          <w:tcPr>
            <w:tcW w:w="900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10739-12</w:t>
            </w:r>
          </w:p>
        </w:tc>
        <w:tc>
          <w:tcPr>
            <w:tcW w:w="5846" w:type="dxa"/>
          </w:tcPr>
          <w:p w:rsidR="000145DE" w:rsidRPr="00F4349E" w:rsidRDefault="000145DE" w:rsidP="000561B3">
            <w:pPr>
              <w:pStyle w:val="BodyTextFirstIndent"/>
              <w:spacing w:after="0"/>
              <w:ind w:firstLine="4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Vezetési, szervezési, technikai alapismeretek</w:t>
            </w:r>
          </w:p>
        </w:tc>
      </w:tr>
      <w:tr w:rsidR="000145DE" w:rsidRPr="00F4349E" w:rsidTr="000561B3">
        <w:trPr>
          <w:jc w:val="center"/>
        </w:trPr>
        <w:tc>
          <w:tcPr>
            <w:tcW w:w="900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10740-12</w:t>
            </w:r>
          </w:p>
        </w:tc>
        <w:tc>
          <w:tcPr>
            <w:tcW w:w="5846" w:type="dxa"/>
          </w:tcPr>
          <w:p w:rsidR="000145DE" w:rsidRPr="00F4349E" w:rsidRDefault="000145DE" w:rsidP="000561B3">
            <w:pPr>
              <w:pStyle w:val="BodyTextFirstIndent"/>
              <w:spacing w:after="0"/>
              <w:ind w:firstLine="4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Színházi rendszerek, munkamódszerek</w:t>
            </w:r>
          </w:p>
        </w:tc>
      </w:tr>
    </w:tbl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F4349E">
        <w:rPr>
          <w:b/>
          <w:sz w:val="20"/>
          <w:szCs w:val="20"/>
        </w:rPr>
        <w:t>5. VIZSGÁZTATÁSI KÖVETELMÉNYEK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DA66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5.1. A komplex szakmai vizsgára bocsátás feltételei: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8E1C94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F4349E">
        <w:rPr>
          <w:rFonts w:eastAsia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5.2. A modulzáró vizsga vizsgatevékenysége és az eredményesség feltétele: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2896"/>
        <w:gridCol w:w="2756"/>
      </w:tblGrid>
      <w:tr w:rsidR="000145DE" w:rsidRPr="00F4349E" w:rsidTr="000561B3">
        <w:trPr>
          <w:jc w:val="center"/>
        </w:trPr>
        <w:tc>
          <w:tcPr>
            <w:tcW w:w="977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C</w:t>
            </w:r>
          </w:p>
        </w:tc>
      </w:tr>
      <w:tr w:rsidR="000145DE" w:rsidRPr="00F4349E" w:rsidTr="000561B3">
        <w:trPr>
          <w:jc w:val="center"/>
        </w:trPr>
        <w:tc>
          <w:tcPr>
            <w:tcW w:w="977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 szakképesítés</w:t>
            </w:r>
            <w:r w:rsidRPr="00F4349E">
              <w:rPr>
                <w:b/>
                <w:iCs/>
                <w:sz w:val="20"/>
                <w:szCs w:val="20"/>
              </w:rPr>
              <w:t>-ráépülés</w:t>
            </w:r>
            <w:r w:rsidRPr="00F4349E"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0145DE" w:rsidRPr="00F4349E" w:rsidTr="000561B3">
        <w:trPr>
          <w:jc w:val="center"/>
        </w:trPr>
        <w:tc>
          <w:tcPr>
            <w:tcW w:w="977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 modulzáró vizsga vizsgat</w:t>
            </w:r>
            <w:r w:rsidRPr="00F4349E">
              <w:rPr>
                <w:b/>
                <w:bCs/>
                <w:sz w:val="20"/>
                <w:szCs w:val="20"/>
              </w:rPr>
              <w:t>e</w:t>
            </w:r>
            <w:r w:rsidRPr="00F4349E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0145DE" w:rsidRPr="00F4349E" w:rsidTr="000561B3">
        <w:trPr>
          <w:jc w:val="center"/>
        </w:trPr>
        <w:tc>
          <w:tcPr>
            <w:tcW w:w="977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10739-12</w:t>
            </w:r>
          </w:p>
        </w:tc>
        <w:tc>
          <w:tcPr>
            <w:tcW w:w="2896" w:type="dxa"/>
          </w:tcPr>
          <w:p w:rsidR="000145DE" w:rsidRPr="00F4349E" w:rsidRDefault="000145DE" w:rsidP="008E1C94">
            <w:pPr>
              <w:pStyle w:val="BodyTextFirstIndent"/>
              <w:spacing w:after="0"/>
              <w:ind w:firstLine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Vezetési, szervezési, technikai alapismeretek</w:t>
            </w:r>
          </w:p>
        </w:tc>
        <w:tc>
          <w:tcPr>
            <w:tcW w:w="2756" w:type="dxa"/>
          </w:tcPr>
          <w:p w:rsidR="000145DE" w:rsidRPr="00F4349E" w:rsidRDefault="000145DE" w:rsidP="000561B3">
            <w:pPr>
              <w:pStyle w:val="BodyTextFirstIndent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írásbeli/ szóbeli</w:t>
            </w:r>
          </w:p>
        </w:tc>
      </w:tr>
      <w:tr w:rsidR="000145DE" w:rsidRPr="00F4349E" w:rsidTr="000561B3">
        <w:trPr>
          <w:jc w:val="center"/>
        </w:trPr>
        <w:tc>
          <w:tcPr>
            <w:tcW w:w="977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10740-12</w:t>
            </w:r>
          </w:p>
        </w:tc>
        <w:tc>
          <w:tcPr>
            <w:tcW w:w="2896" w:type="dxa"/>
          </w:tcPr>
          <w:p w:rsidR="000145DE" w:rsidRPr="00F4349E" w:rsidRDefault="000145DE" w:rsidP="008E1C94">
            <w:pPr>
              <w:pStyle w:val="BodyTextFirstIndent"/>
              <w:spacing w:after="0"/>
              <w:ind w:firstLine="0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Színházi rendszerek, munk</w:t>
            </w:r>
            <w:r w:rsidRPr="00F4349E">
              <w:rPr>
                <w:sz w:val="20"/>
                <w:szCs w:val="20"/>
              </w:rPr>
              <w:t>a</w:t>
            </w:r>
            <w:r w:rsidRPr="00F4349E">
              <w:rPr>
                <w:sz w:val="20"/>
                <w:szCs w:val="20"/>
              </w:rPr>
              <w:t>módszerek</w:t>
            </w:r>
          </w:p>
        </w:tc>
        <w:tc>
          <w:tcPr>
            <w:tcW w:w="2756" w:type="dxa"/>
          </w:tcPr>
          <w:p w:rsidR="000145DE" w:rsidRPr="00F4349E" w:rsidRDefault="000145DE" w:rsidP="000561B3">
            <w:pPr>
              <w:pStyle w:val="BodyTextFirstIndent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gyakorlati/írásbeli/szóbeli</w:t>
            </w:r>
          </w:p>
        </w:tc>
      </w:tr>
    </w:tbl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F4349E">
        <w:rPr>
          <w:rFonts w:eastAsia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EE068E">
      <w:pPr>
        <w:pStyle w:val="BodyTextFirstIndent"/>
        <w:rPr>
          <w:sz w:val="20"/>
          <w:szCs w:val="20"/>
        </w:rPr>
      </w:pPr>
      <w:r w:rsidRPr="00F4349E">
        <w:rPr>
          <w:sz w:val="20"/>
          <w:szCs w:val="20"/>
        </w:rPr>
        <w:t>5.3. A komplex szakmai vizsga vizsgatevékenységei és vizsgafeladatai:</w:t>
      </w:r>
    </w:p>
    <w:p w:rsidR="000145DE" w:rsidRPr="00F4349E" w:rsidRDefault="000145DE" w:rsidP="008E1C9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5.3.1. Gyakorlati vizsgatevékenység</w:t>
      </w:r>
    </w:p>
    <w:p w:rsidR="000145DE" w:rsidRDefault="000145DE" w:rsidP="00EC34A4">
      <w:pPr>
        <w:pStyle w:val="BodyTextFirstIndent"/>
        <w:ind w:firstLine="0"/>
        <w:rPr>
          <w:sz w:val="20"/>
          <w:szCs w:val="20"/>
        </w:rPr>
      </w:pPr>
    </w:p>
    <w:p w:rsidR="000145DE" w:rsidRPr="00F4349E" w:rsidRDefault="000145DE" w:rsidP="00EC34A4">
      <w:pPr>
        <w:pStyle w:val="BodyTextFirstIndent"/>
        <w:ind w:firstLine="0"/>
        <w:rPr>
          <w:sz w:val="20"/>
          <w:szCs w:val="20"/>
        </w:rPr>
      </w:pPr>
      <w:r w:rsidRPr="00F4349E">
        <w:rPr>
          <w:sz w:val="20"/>
          <w:szCs w:val="20"/>
        </w:rPr>
        <w:t>A vizsgafeladat megnevezése: Színházi produkció tervezése</w:t>
      </w:r>
    </w:p>
    <w:p w:rsidR="000145DE" w:rsidRPr="00F4349E" w:rsidRDefault="000145DE" w:rsidP="00EC34A4">
      <w:pPr>
        <w:jc w:val="both"/>
        <w:rPr>
          <w:sz w:val="20"/>
          <w:szCs w:val="20"/>
        </w:rPr>
      </w:pPr>
      <w:r w:rsidRPr="00F4349E">
        <w:rPr>
          <w:sz w:val="20"/>
          <w:szCs w:val="20"/>
        </w:rPr>
        <w:t>A vizsgafeladat ismertetése: Egy színházi produkció fénytechnikával együttműködő, teljes hangtechnikai foly</w:t>
      </w:r>
      <w:r w:rsidRPr="00F4349E">
        <w:rPr>
          <w:sz w:val="20"/>
          <w:szCs w:val="20"/>
        </w:rPr>
        <w:t>a</w:t>
      </w:r>
      <w:r w:rsidRPr="00F4349E">
        <w:rPr>
          <w:sz w:val="20"/>
          <w:szCs w:val="20"/>
        </w:rPr>
        <w:t>matának megtervezése</w:t>
      </w:r>
    </w:p>
    <w:p w:rsidR="000145DE" w:rsidRPr="00F4349E" w:rsidRDefault="000145DE" w:rsidP="00EC34A4">
      <w:pPr>
        <w:pStyle w:val="BodyTextFirstIndent"/>
        <w:ind w:left="567" w:firstLine="0"/>
        <w:rPr>
          <w:iCs/>
          <w:sz w:val="20"/>
          <w:szCs w:val="20"/>
        </w:rPr>
      </w:pPr>
    </w:p>
    <w:p w:rsidR="000145DE" w:rsidRPr="00F4349E" w:rsidRDefault="000145DE" w:rsidP="00EC34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időtartama: 180 perc</w:t>
      </w:r>
    </w:p>
    <w:p w:rsidR="000145DE" w:rsidRPr="00F4349E" w:rsidRDefault="000145DE" w:rsidP="00EC34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értékelési súlyaránya: 50</w:t>
      </w:r>
      <w:r>
        <w:rPr>
          <w:iCs/>
          <w:sz w:val="20"/>
          <w:szCs w:val="20"/>
        </w:rPr>
        <w:t xml:space="preserve"> </w:t>
      </w:r>
      <w:r w:rsidRPr="00F4349E">
        <w:rPr>
          <w:iCs/>
          <w:sz w:val="20"/>
          <w:szCs w:val="20"/>
        </w:rPr>
        <w:t>%</w:t>
      </w:r>
    </w:p>
    <w:p w:rsidR="000145DE" w:rsidRPr="00F4349E" w:rsidRDefault="000145DE" w:rsidP="00EE068E">
      <w:pPr>
        <w:pStyle w:val="BodyTextFirstIndent"/>
        <w:rPr>
          <w:sz w:val="20"/>
          <w:szCs w:val="20"/>
        </w:rPr>
      </w:pPr>
    </w:p>
    <w:p w:rsidR="000145DE" w:rsidRPr="00F4349E" w:rsidRDefault="000145DE" w:rsidP="00EE068E">
      <w:pPr>
        <w:pStyle w:val="BodyTextFirstIndent"/>
        <w:rPr>
          <w:sz w:val="20"/>
          <w:szCs w:val="20"/>
        </w:rPr>
      </w:pPr>
      <w:r w:rsidRPr="00F4349E">
        <w:rPr>
          <w:sz w:val="20"/>
          <w:szCs w:val="20"/>
        </w:rPr>
        <w:t>5.3.2. Központi írásbeli vizsgatevékenység</w:t>
      </w:r>
    </w:p>
    <w:p w:rsidR="000145DE" w:rsidRPr="00F4349E" w:rsidRDefault="000145DE" w:rsidP="00EC34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megnevezése: -</w:t>
      </w:r>
    </w:p>
    <w:p w:rsidR="000145DE" w:rsidRPr="00F4349E" w:rsidRDefault="000145DE" w:rsidP="00EC34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EC34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ismertetése: -</w:t>
      </w:r>
      <w:r w:rsidRPr="00F4349E">
        <w:rPr>
          <w:sz w:val="20"/>
          <w:szCs w:val="20"/>
        </w:rPr>
        <w:t xml:space="preserve"> </w:t>
      </w:r>
    </w:p>
    <w:p w:rsidR="000145DE" w:rsidRPr="00F4349E" w:rsidRDefault="000145DE" w:rsidP="00EC34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EC34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időtartama: -</w:t>
      </w:r>
    </w:p>
    <w:p w:rsidR="000145DE" w:rsidRPr="00F4349E" w:rsidRDefault="000145DE" w:rsidP="00EC34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értékelési súlyaránya: -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887D5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5.3.3. Szóbeli vizsgatevékenység 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887D5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A vizsgafeladat megnevezése: </w:t>
      </w:r>
      <w:r w:rsidRPr="00F4349E">
        <w:rPr>
          <w:sz w:val="20"/>
          <w:szCs w:val="20"/>
        </w:rPr>
        <w:t>Színházi produkció elemzése</w:t>
      </w:r>
    </w:p>
    <w:p w:rsidR="000145DE" w:rsidRPr="00F4349E" w:rsidRDefault="000145DE" w:rsidP="00EE068E">
      <w:pPr>
        <w:autoSpaceDE w:val="0"/>
        <w:autoSpaceDN w:val="0"/>
        <w:adjustRightInd w:val="0"/>
        <w:ind w:left="567"/>
        <w:jc w:val="both"/>
        <w:rPr>
          <w:iCs/>
          <w:sz w:val="20"/>
          <w:szCs w:val="20"/>
        </w:rPr>
      </w:pPr>
    </w:p>
    <w:p w:rsidR="000145DE" w:rsidRPr="00F4349E" w:rsidRDefault="000145DE" w:rsidP="00887D59">
      <w:pPr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ismertetése: Egy színházi produkció teljes, a vizsgázó által előzetesen elkészített han</w:t>
      </w:r>
      <w:r w:rsidRPr="00F4349E">
        <w:rPr>
          <w:iCs/>
          <w:sz w:val="20"/>
          <w:szCs w:val="20"/>
        </w:rPr>
        <w:t>g</w:t>
      </w:r>
      <w:r w:rsidRPr="00F4349E">
        <w:rPr>
          <w:iCs/>
          <w:sz w:val="20"/>
          <w:szCs w:val="20"/>
        </w:rPr>
        <w:t xml:space="preserve">anyagának bemutatása, elemzése. </w:t>
      </w:r>
      <w:r w:rsidRPr="00F12812">
        <w:rPr>
          <w:iCs/>
          <w:sz w:val="20"/>
          <w:szCs w:val="20"/>
        </w:rPr>
        <w:t>A vizsgaanyagot a vizsga megkezdése előtt 30 nappal a vizsgabizottsá</w:t>
      </w:r>
      <w:r>
        <w:rPr>
          <w:iCs/>
          <w:sz w:val="20"/>
          <w:szCs w:val="20"/>
        </w:rPr>
        <w:t>g rendelkezésére kell bocsátani</w:t>
      </w:r>
    </w:p>
    <w:p w:rsidR="000145DE" w:rsidRPr="00F4349E" w:rsidRDefault="000145DE" w:rsidP="00EE068E">
      <w:pPr>
        <w:autoSpaceDE w:val="0"/>
        <w:autoSpaceDN w:val="0"/>
        <w:adjustRightInd w:val="0"/>
        <w:ind w:left="567"/>
        <w:jc w:val="both"/>
        <w:rPr>
          <w:iCs/>
          <w:sz w:val="20"/>
          <w:szCs w:val="20"/>
        </w:rPr>
      </w:pPr>
    </w:p>
    <w:p w:rsidR="000145DE" w:rsidRPr="00F4349E" w:rsidRDefault="000145DE" w:rsidP="00887D5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A vizsgafeladat időtartama: </w:t>
      </w:r>
      <w:r w:rsidRPr="00F12812">
        <w:rPr>
          <w:iCs/>
          <w:sz w:val="20"/>
          <w:szCs w:val="20"/>
        </w:rPr>
        <w:t>60 perc (felkészülési idő 15 perc, válaszadási idő 45 perc)</w:t>
      </w:r>
    </w:p>
    <w:p w:rsidR="000145DE" w:rsidRPr="00F4349E" w:rsidRDefault="000145DE" w:rsidP="00887D5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vizsgafeladat értékelési súlyaránya: 50</w:t>
      </w:r>
      <w:r>
        <w:rPr>
          <w:iCs/>
          <w:sz w:val="20"/>
          <w:szCs w:val="20"/>
        </w:rPr>
        <w:t xml:space="preserve"> </w:t>
      </w:r>
      <w:r w:rsidRPr="00F4349E">
        <w:rPr>
          <w:iCs/>
          <w:sz w:val="20"/>
          <w:szCs w:val="20"/>
        </w:rPr>
        <w:t>%</w:t>
      </w:r>
    </w:p>
    <w:p w:rsidR="000145DE" w:rsidRPr="00F4349E" w:rsidRDefault="000145DE" w:rsidP="00EE068E">
      <w:pPr>
        <w:autoSpaceDE w:val="0"/>
        <w:autoSpaceDN w:val="0"/>
        <w:adjustRightInd w:val="0"/>
        <w:ind w:left="567"/>
        <w:jc w:val="both"/>
        <w:rPr>
          <w:iCs/>
          <w:sz w:val="20"/>
          <w:szCs w:val="20"/>
        </w:rPr>
      </w:pPr>
    </w:p>
    <w:p w:rsidR="000145DE" w:rsidRPr="00F4349E" w:rsidRDefault="000145DE" w:rsidP="00A73141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F4349E">
        <w:rPr>
          <w:sz w:val="20"/>
          <w:szCs w:val="20"/>
        </w:rPr>
        <w:t>5.4. A vizsgatevékenységek szervezésére, azok vizsgaidőpontjaira, a vizsgaidőszakokra, a vizsgatevékenys</w:t>
      </w:r>
      <w:r w:rsidRPr="00F4349E">
        <w:rPr>
          <w:sz w:val="20"/>
          <w:szCs w:val="20"/>
        </w:rPr>
        <w:t>é</w:t>
      </w:r>
      <w:r w:rsidRPr="00F4349E">
        <w:rPr>
          <w:sz w:val="20"/>
          <w:szCs w:val="20"/>
        </w:rPr>
        <w:t>gek vizsgatételeire, értékelési útmutatóira és egyéb dokumentumaira, a vizsgán használható segédeszközökre v</w:t>
      </w:r>
      <w:r w:rsidRPr="00F4349E">
        <w:rPr>
          <w:sz w:val="20"/>
          <w:szCs w:val="20"/>
        </w:rPr>
        <w:t>o</w:t>
      </w:r>
      <w:r w:rsidRPr="00F4349E">
        <w:rPr>
          <w:sz w:val="20"/>
          <w:szCs w:val="20"/>
        </w:rPr>
        <w:t>natkozó részletes szabályok:</w:t>
      </w:r>
    </w:p>
    <w:p w:rsidR="000145DE" w:rsidRPr="00F4349E" w:rsidRDefault="000145DE" w:rsidP="00EE0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5DE" w:rsidRPr="00F4349E" w:rsidRDefault="000145DE" w:rsidP="00EE068E">
      <w:pPr>
        <w:ind w:firstLine="142"/>
        <w:jc w:val="both"/>
        <w:rPr>
          <w:color w:val="000000"/>
          <w:sz w:val="20"/>
          <w:szCs w:val="20"/>
        </w:rPr>
      </w:pPr>
      <w:r w:rsidRPr="00F4349E"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>4.1. Gyakorlati</w:t>
      </w:r>
      <w:r w:rsidRPr="00F4349E">
        <w:rPr>
          <w:color w:val="000000"/>
          <w:sz w:val="20"/>
          <w:szCs w:val="20"/>
        </w:rPr>
        <w:t xml:space="preserve"> vizsgatevékenység</w:t>
      </w:r>
    </w:p>
    <w:p w:rsidR="000145DE" w:rsidRPr="00F4349E" w:rsidRDefault="000145DE" w:rsidP="00EE068E">
      <w:pPr>
        <w:ind w:firstLine="142"/>
        <w:jc w:val="both"/>
        <w:rPr>
          <w:color w:val="000000"/>
          <w:sz w:val="20"/>
          <w:szCs w:val="20"/>
        </w:rPr>
      </w:pPr>
    </w:p>
    <w:p w:rsidR="000145DE" w:rsidRPr="00F4349E" w:rsidRDefault="000145DE" w:rsidP="00EE068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4349E">
        <w:rPr>
          <w:sz w:val="20"/>
          <w:szCs w:val="20"/>
        </w:rPr>
        <w:t>A</w:t>
      </w:r>
      <w:r>
        <w:rPr>
          <w:sz w:val="20"/>
          <w:szCs w:val="20"/>
        </w:rPr>
        <w:t xml:space="preserve"> gyakorlati</w:t>
      </w:r>
      <w:r w:rsidRPr="00F4349E">
        <w:rPr>
          <w:sz w:val="20"/>
          <w:szCs w:val="20"/>
        </w:rPr>
        <w:t xml:space="preserve"> vizsgatevékenység során egy létező vagy fiktív, rövid színházi produkció, vagy felvonás hangtec</w:t>
      </w:r>
      <w:r w:rsidRPr="00F4349E">
        <w:rPr>
          <w:sz w:val="20"/>
          <w:szCs w:val="20"/>
        </w:rPr>
        <w:t>h</w:t>
      </w:r>
      <w:r w:rsidRPr="00F4349E">
        <w:rPr>
          <w:sz w:val="20"/>
          <w:szCs w:val="20"/>
        </w:rPr>
        <w:t>nikai tervezését kell elvégezni. A vizsgázó megkapja a hiányos technikai forgatókönyvet hangtechnikai bejeg</w:t>
      </w:r>
      <w:r w:rsidRPr="00F4349E">
        <w:rPr>
          <w:sz w:val="20"/>
          <w:szCs w:val="20"/>
        </w:rPr>
        <w:t>y</w:t>
      </w:r>
      <w:r w:rsidRPr="00F4349E">
        <w:rPr>
          <w:sz w:val="20"/>
          <w:szCs w:val="20"/>
        </w:rPr>
        <w:t>zések nélkül, rendezői utasításokkal, fénytechnikai utasításokkal, színpadtechnikai utasításokkal, színváltáso</w:t>
      </w:r>
      <w:r w:rsidRPr="00F4349E">
        <w:rPr>
          <w:sz w:val="20"/>
          <w:szCs w:val="20"/>
        </w:rPr>
        <w:t>k</w:t>
      </w:r>
      <w:r w:rsidRPr="00F4349E">
        <w:rPr>
          <w:sz w:val="20"/>
          <w:szCs w:val="20"/>
        </w:rPr>
        <w:t>kal, gesztusokkal, végszavakkal. A vizsgázónak el kell készítenie az elképzelt hatáshang effektusok, zenebejá</w:t>
      </w:r>
      <w:r w:rsidRPr="00F4349E">
        <w:rPr>
          <w:sz w:val="20"/>
          <w:szCs w:val="20"/>
        </w:rPr>
        <w:t>t</w:t>
      </w:r>
      <w:r w:rsidRPr="00F4349E">
        <w:rPr>
          <w:sz w:val="20"/>
          <w:szCs w:val="20"/>
        </w:rPr>
        <w:t>szások rés</w:t>
      </w:r>
      <w:r w:rsidRPr="00F4349E">
        <w:rPr>
          <w:sz w:val="20"/>
          <w:szCs w:val="20"/>
        </w:rPr>
        <w:t>z</w:t>
      </w:r>
      <w:r w:rsidRPr="00F4349E">
        <w:rPr>
          <w:sz w:val="20"/>
          <w:szCs w:val="20"/>
        </w:rPr>
        <w:t>letes leírását, elkészítési módját, a bejátszások elkészítéséhez és előadásához szükséges eszközök jegyzékét, módosítási java</w:t>
      </w:r>
      <w:r w:rsidRPr="00F4349E">
        <w:rPr>
          <w:sz w:val="20"/>
          <w:szCs w:val="20"/>
        </w:rPr>
        <w:t>s</w:t>
      </w:r>
      <w:r w:rsidRPr="00F4349E">
        <w:rPr>
          <w:sz w:val="20"/>
          <w:szCs w:val="20"/>
        </w:rPr>
        <w:t>latait a forgatókönyvben található utasításokkal kapcsolatban.</w:t>
      </w:r>
    </w:p>
    <w:p w:rsidR="000145DE" w:rsidRPr="00F4349E" w:rsidRDefault="000145DE" w:rsidP="00EE068E">
      <w:pPr>
        <w:ind w:firstLine="142"/>
        <w:jc w:val="both"/>
        <w:rPr>
          <w:color w:val="000000"/>
          <w:sz w:val="20"/>
          <w:szCs w:val="20"/>
        </w:rPr>
      </w:pPr>
    </w:p>
    <w:p w:rsidR="000145DE" w:rsidRPr="00F4349E" w:rsidRDefault="000145DE" w:rsidP="00EE068E">
      <w:pPr>
        <w:ind w:left="142"/>
        <w:jc w:val="both"/>
        <w:rPr>
          <w:color w:val="000000"/>
          <w:sz w:val="20"/>
          <w:szCs w:val="20"/>
        </w:rPr>
      </w:pPr>
      <w:r w:rsidRPr="00F4349E">
        <w:rPr>
          <w:color w:val="000000"/>
          <w:sz w:val="20"/>
          <w:szCs w:val="20"/>
        </w:rPr>
        <w:t>5.4.2. Szóbeli vizsgatevékenység</w:t>
      </w:r>
    </w:p>
    <w:p w:rsidR="000145DE" w:rsidRPr="00F4349E" w:rsidRDefault="000145DE" w:rsidP="00EE068E">
      <w:pPr>
        <w:ind w:left="142"/>
        <w:jc w:val="both"/>
        <w:rPr>
          <w:color w:val="000000"/>
          <w:sz w:val="20"/>
          <w:szCs w:val="20"/>
        </w:rPr>
      </w:pPr>
    </w:p>
    <w:p w:rsidR="000145DE" w:rsidRPr="00F4349E" w:rsidRDefault="000145DE" w:rsidP="00EE068E">
      <w:pPr>
        <w:jc w:val="both"/>
        <w:rPr>
          <w:color w:val="000000"/>
          <w:sz w:val="20"/>
          <w:szCs w:val="20"/>
        </w:rPr>
      </w:pPr>
      <w:r w:rsidRPr="00F4349E">
        <w:rPr>
          <w:color w:val="000000"/>
          <w:sz w:val="20"/>
          <w:szCs w:val="20"/>
        </w:rPr>
        <w:t>A szóbeli vizsgatevékenység a vizsgázó saját korábbi produkcióját mutatja be és értékeli kiragadott, jellemző részletek alapján. A vizsgabizottságnak nem feladata a hanganyag önmagában való minősítése. Értékelni a viz</w:t>
      </w:r>
      <w:r w:rsidRPr="00F4349E">
        <w:rPr>
          <w:color w:val="000000"/>
          <w:sz w:val="20"/>
          <w:szCs w:val="20"/>
        </w:rPr>
        <w:t>s</w:t>
      </w:r>
      <w:r w:rsidRPr="00F4349E">
        <w:rPr>
          <w:color w:val="000000"/>
          <w:sz w:val="20"/>
          <w:szCs w:val="20"/>
        </w:rPr>
        <w:t>gázó megnyilvánulásait kell a hanganyag tartalmával, formájával, esztétikai értékével, funkciójával, előadásbeli beágyazottságával, megfelelőségével kapcsolatban. A vizsgabizottságnak a válaszadás során vizsgázó lexikális tud</w:t>
      </w:r>
      <w:r w:rsidRPr="00F4349E">
        <w:rPr>
          <w:color w:val="000000"/>
          <w:sz w:val="20"/>
          <w:szCs w:val="20"/>
        </w:rPr>
        <w:t>á</w:t>
      </w:r>
      <w:r w:rsidRPr="00F4349E">
        <w:rPr>
          <w:color w:val="000000"/>
          <w:sz w:val="20"/>
          <w:szCs w:val="20"/>
        </w:rPr>
        <w:t>sán túl párbeszédes formában értékelnie kell a vizsgázó fogalomhasználatát, kommunikációs készségét, kreativ</w:t>
      </w:r>
      <w:r w:rsidRPr="00F4349E">
        <w:rPr>
          <w:color w:val="000000"/>
          <w:sz w:val="20"/>
          <w:szCs w:val="20"/>
        </w:rPr>
        <w:t>i</w:t>
      </w:r>
      <w:r w:rsidRPr="00F4349E">
        <w:rPr>
          <w:color w:val="000000"/>
          <w:sz w:val="20"/>
          <w:szCs w:val="20"/>
        </w:rPr>
        <w:t>tását, logikai készségét. A tételek szükséges komplexitása miatt a szóbeli vizsgafeladatok kidolgozására és a válas</w:t>
      </w:r>
      <w:r w:rsidRPr="00F4349E">
        <w:rPr>
          <w:color w:val="000000"/>
          <w:sz w:val="20"/>
          <w:szCs w:val="20"/>
        </w:rPr>
        <w:t>z</w:t>
      </w:r>
      <w:r w:rsidRPr="00F4349E">
        <w:rPr>
          <w:color w:val="000000"/>
          <w:sz w:val="20"/>
          <w:szCs w:val="20"/>
        </w:rPr>
        <w:t>adásra elegendő idő áll rendelkezésre.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D9433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A szakképesítés-ráépüléssel kapcsolatos előírások az állami szakképzési és felnőttképzési szerv </w:t>
      </w:r>
      <w:hyperlink r:id="rId7" w:history="1">
        <w:r w:rsidRPr="00F4349E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F4349E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 xml:space="preserve">5.5. A szakmai vizsga értékelésének a szakmai vizsgaszabályzattól eltérő szempontjai: 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gyakorlati vizsgatevékenység sikertelen, ha a gyakorlati vizsgafeladat értékelése 50</w:t>
      </w:r>
      <w:r>
        <w:rPr>
          <w:iCs/>
          <w:sz w:val="20"/>
          <w:szCs w:val="20"/>
        </w:rPr>
        <w:t xml:space="preserve"> </w:t>
      </w:r>
      <w:r w:rsidRPr="00F4349E">
        <w:rPr>
          <w:iCs/>
          <w:sz w:val="20"/>
          <w:szCs w:val="20"/>
        </w:rPr>
        <w:t>% alatt van.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szóbeli vizsgatevékenység sikertelen, ha a vizsgafeladat értékelése 50</w:t>
      </w:r>
      <w:r>
        <w:rPr>
          <w:iCs/>
          <w:sz w:val="20"/>
          <w:szCs w:val="20"/>
        </w:rPr>
        <w:t xml:space="preserve"> </w:t>
      </w:r>
      <w:r w:rsidRPr="00F4349E">
        <w:rPr>
          <w:iCs/>
          <w:sz w:val="20"/>
          <w:szCs w:val="20"/>
        </w:rPr>
        <w:t>% alatt van.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4349E">
        <w:rPr>
          <w:iCs/>
          <w:sz w:val="20"/>
          <w:szCs w:val="20"/>
        </w:rPr>
        <w:t>A szakmai vizsga sikertelen, ha bármelyik (gyakorlati, szóbeli) vizsgatevékenység értékelése 50</w:t>
      </w:r>
      <w:r>
        <w:rPr>
          <w:iCs/>
          <w:sz w:val="20"/>
          <w:szCs w:val="20"/>
        </w:rPr>
        <w:t xml:space="preserve"> </w:t>
      </w:r>
      <w:r w:rsidRPr="00F4349E">
        <w:rPr>
          <w:iCs/>
          <w:sz w:val="20"/>
          <w:szCs w:val="20"/>
        </w:rPr>
        <w:t xml:space="preserve">% alatti. </w:t>
      </w:r>
    </w:p>
    <w:p w:rsidR="000145DE" w:rsidRPr="00F4349E" w:rsidRDefault="000145DE" w:rsidP="00EE068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EE068E">
      <w:pPr>
        <w:rPr>
          <w:sz w:val="20"/>
          <w:szCs w:val="20"/>
        </w:rPr>
      </w:pPr>
      <w:r w:rsidRPr="00F4349E">
        <w:rPr>
          <w:sz w:val="20"/>
          <w:szCs w:val="20"/>
        </w:rPr>
        <w:t>A komplex szakmai vizsga egyes vizsgatevékenységeinek érdemjegye az elért, egész számra kerekített %-os teljesítmények ala</w:t>
      </w:r>
      <w:r w:rsidRPr="00F4349E">
        <w:rPr>
          <w:sz w:val="20"/>
          <w:szCs w:val="20"/>
        </w:rPr>
        <w:t>p</w:t>
      </w:r>
      <w:r w:rsidRPr="00F4349E">
        <w:rPr>
          <w:sz w:val="20"/>
          <w:szCs w:val="20"/>
        </w:rPr>
        <w:t xml:space="preserve">ján: </w:t>
      </w:r>
    </w:p>
    <w:p w:rsidR="000145DE" w:rsidRPr="00F4349E" w:rsidRDefault="000145DE" w:rsidP="00EE068E">
      <w:pPr>
        <w:ind w:left="709"/>
        <w:rPr>
          <w:sz w:val="20"/>
          <w:szCs w:val="20"/>
        </w:rPr>
      </w:pPr>
      <w:r w:rsidRPr="00F4349E">
        <w:rPr>
          <w:sz w:val="20"/>
          <w:szCs w:val="20"/>
        </w:rPr>
        <w:t xml:space="preserve">90 – 100% jeles (5) </w:t>
      </w:r>
    </w:p>
    <w:p w:rsidR="000145DE" w:rsidRPr="00F4349E" w:rsidRDefault="000145DE" w:rsidP="00EE068E">
      <w:pPr>
        <w:ind w:left="709"/>
        <w:rPr>
          <w:sz w:val="20"/>
          <w:szCs w:val="20"/>
        </w:rPr>
      </w:pPr>
      <w:r w:rsidRPr="00F4349E">
        <w:rPr>
          <w:sz w:val="20"/>
          <w:szCs w:val="20"/>
        </w:rPr>
        <w:t xml:space="preserve">80 –  89% jó (4) </w:t>
      </w:r>
    </w:p>
    <w:p w:rsidR="000145DE" w:rsidRPr="00F4349E" w:rsidRDefault="000145DE" w:rsidP="00EE068E">
      <w:pPr>
        <w:ind w:left="709"/>
        <w:rPr>
          <w:sz w:val="20"/>
          <w:szCs w:val="20"/>
        </w:rPr>
      </w:pPr>
      <w:r w:rsidRPr="00F4349E">
        <w:rPr>
          <w:sz w:val="20"/>
          <w:szCs w:val="20"/>
        </w:rPr>
        <w:t xml:space="preserve">65 – 79% közepes (3) </w:t>
      </w:r>
    </w:p>
    <w:p w:rsidR="000145DE" w:rsidRPr="00F4349E" w:rsidRDefault="000145DE" w:rsidP="00EE068E">
      <w:pPr>
        <w:ind w:left="709"/>
        <w:rPr>
          <w:sz w:val="20"/>
          <w:szCs w:val="20"/>
        </w:rPr>
      </w:pPr>
      <w:r w:rsidRPr="00F4349E">
        <w:rPr>
          <w:sz w:val="20"/>
          <w:szCs w:val="20"/>
        </w:rPr>
        <w:t xml:space="preserve">50 – 64% elégséges (2) </w:t>
      </w:r>
    </w:p>
    <w:p w:rsidR="000145DE" w:rsidRPr="00F4349E" w:rsidRDefault="000145DE" w:rsidP="00EE068E">
      <w:pPr>
        <w:ind w:left="709"/>
        <w:rPr>
          <w:sz w:val="20"/>
          <w:szCs w:val="20"/>
        </w:rPr>
      </w:pPr>
      <w:r w:rsidRPr="00F4349E">
        <w:rPr>
          <w:sz w:val="20"/>
          <w:szCs w:val="20"/>
        </w:rPr>
        <w:t xml:space="preserve">  0 – 49% elégtelen (1) </w:t>
      </w: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  <w:r w:rsidRPr="00F4349E">
        <w:rPr>
          <w:b/>
          <w:iCs/>
          <w:caps/>
          <w:sz w:val="20"/>
          <w:szCs w:val="20"/>
        </w:rPr>
        <w:t>6. eszköz- és felszerelési jegyzék</w:t>
      </w:r>
    </w:p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0145DE" w:rsidRPr="00F4349E" w:rsidTr="000561B3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A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349E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F4349E">
              <w:rPr>
                <w:b/>
                <w:bCs/>
                <w:sz w:val="20"/>
                <w:szCs w:val="20"/>
              </w:rPr>
              <w:t>z</w:t>
            </w:r>
            <w:r w:rsidRPr="00F4349E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F4349E">
              <w:rPr>
                <w:b/>
                <w:bCs/>
                <w:sz w:val="20"/>
                <w:szCs w:val="20"/>
              </w:rPr>
              <w:t>y</w:t>
            </w:r>
            <w:r w:rsidRPr="00F4349E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lehallgató szoba (hangsugárzós lehallgatáshoz akusztikailag terv</w:t>
            </w:r>
            <w:r w:rsidRPr="00F4349E">
              <w:rPr>
                <w:sz w:val="20"/>
                <w:szCs w:val="20"/>
              </w:rPr>
              <w:t>e</w:t>
            </w:r>
            <w:r w:rsidRPr="00F4349E">
              <w:rPr>
                <w:sz w:val="20"/>
                <w:szCs w:val="20"/>
              </w:rPr>
              <w:t>zett)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Hanggenerátor (200 kHz-es,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Függvénygenerátor (10 MHz-es,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Spektrumanalizátor (26 kHz-es, 1 Hz felbontással,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Torzításmérő (THD, SMPTE IM, CCIF IM, DIM)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Stroboszkóp (rezgés analizáláshoz)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Szintíró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Oszcilloszkóp (100 MHz-es, analóg)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Kombinált automata hangfrekvenciás mérőeszköz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Terc-analizátor és szűrő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ABX tesztegység vakteszt áramkörrel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Hangnyomásmérő (Type 1, Class 1)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Mérőmikrofon (Type 1, Class 1)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Goniométer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Kivezérlésmérő (VU, PPM,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Kompatibilitás mérő (hardver)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szett hordozható jelgenerátor + analizátor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6.19.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Számítógép + hálózatanalizáló szoftver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Hordozható multiméter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Kábel teszter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Forrasztó állomás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Hangtechnikai és vezérlő szoftverek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 xml:space="preserve"> 1 db Analóg keverőasztal (legalább 16 db monó bemeneti csatorna, 8 csoport kimenet, 6 mellé</w:t>
            </w:r>
            <w:r w:rsidRPr="00F4349E">
              <w:rPr>
                <w:sz w:val="20"/>
                <w:szCs w:val="20"/>
              </w:rPr>
              <w:t>k</w:t>
            </w:r>
            <w:r w:rsidRPr="00F4349E">
              <w:rPr>
                <w:sz w:val="20"/>
                <w:szCs w:val="20"/>
              </w:rPr>
              <w:t>kimenet pre és post, hangszínszabályzó ki-be kapcsoló, szintszabályozás min. 100 mm szabályoz</w:t>
            </w:r>
            <w:r w:rsidRPr="00F4349E">
              <w:rPr>
                <w:sz w:val="20"/>
                <w:szCs w:val="20"/>
              </w:rPr>
              <w:t>ó</w:t>
            </w:r>
            <w:r w:rsidRPr="00F4349E">
              <w:rPr>
                <w:sz w:val="20"/>
                <w:szCs w:val="20"/>
              </w:rPr>
              <w:t>val és +10 ....</w:t>
            </w:r>
            <w:r w:rsidRPr="00F4349E">
              <w:rPr>
                <w:b/>
                <w:bCs/>
                <w:sz w:val="20"/>
                <w:szCs w:val="20"/>
              </w:rPr>
              <w:t xml:space="preserve"> – </w:t>
            </w:r>
            <w:r w:rsidRPr="00F4349E">
              <w:rPr>
                <w:sz w:val="20"/>
                <w:szCs w:val="20"/>
              </w:rPr>
              <w:t>60 dB átfogási tartománnyal, utasító mikrofon bemenet szintszab</w:t>
            </w:r>
            <w:r w:rsidRPr="00F4349E">
              <w:rPr>
                <w:sz w:val="20"/>
                <w:szCs w:val="20"/>
              </w:rPr>
              <w:t>á</w:t>
            </w:r>
            <w:r w:rsidRPr="00F4349E">
              <w:rPr>
                <w:sz w:val="20"/>
                <w:szCs w:val="20"/>
              </w:rPr>
              <w:t>lyozással, fejhallgató kimenet, beépített oszcillátor, csúcsérték m</w:t>
            </w:r>
            <w:r w:rsidRPr="00F4349E">
              <w:rPr>
                <w:sz w:val="20"/>
                <w:szCs w:val="20"/>
              </w:rPr>
              <w:t>u</w:t>
            </w:r>
            <w:r w:rsidRPr="00F4349E">
              <w:rPr>
                <w:sz w:val="20"/>
                <w:szCs w:val="20"/>
              </w:rPr>
              <w:t>tató műszerek)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Digitális keverőasztal (legalább 32 db monó bemeneti csatorna, legalább 16 db szintszabályozó, szintszabályozás min. 100 mm sz</w:t>
            </w:r>
            <w:r w:rsidRPr="00F4349E">
              <w:rPr>
                <w:sz w:val="20"/>
                <w:szCs w:val="20"/>
              </w:rPr>
              <w:t>a</w:t>
            </w:r>
            <w:r w:rsidRPr="00F4349E">
              <w:rPr>
                <w:sz w:val="20"/>
                <w:szCs w:val="20"/>
              </w:rPr>
              <w:t>bályozóval és +10 ....</w:t>
            </w:r>
            <w:r w:rsidRPr="00F4349E">
              <w:rPr>
                <w:b/>
                <w:bCs/>
                <w:sz w:val="20"/>
                <w:szCs w:val="20"/>
              </w:rPr>
              <w:t xml:space="preserve"> – </w:t>
            </w:r>
            <w:r w:rsidRPr="00F4349E">
              <w:rPr>
                <w:sz w:val="20"/>
                <w:szCs w:val="20"/>
              </w:rPr>
              <w:t>80 dB átfogási tartománnyal, legalább 8 cs</w:t>
            </w:r>
            <w:r w:rsidRPr="00F4349E">
              <w:rPr>
                <w:sz w:val="20"/>
                <w:szCs w:val="20"/>
              </w:rPr>
              <w:t>o</w:t>
            </w:r>
            <w:r w:rsidRPr="00F4349E">
              <w:rPr>
                <w:sz w:val="20"/>
                <w:szCs w:val="20"/>
              </w:rPr>
              <w:t>port kimenet, legalább 8 vezérlési csoport, le</w:t>
            </w:r>
            <w:r w:rsidRPr="00F4349E">
              <w:rPr>
                <w:sz w:val="20"/>
                <w:szCs w:val="20"/>
              </w:rPr>
              <w:t>g</w:t>
            </w:r>
            <w:r w:rsidRPr="00F4349E">
              <w:rPr>
                <w:sz w:val="20"/>
                <w:szCs w:val="20"/>
              </w:rPr>
              <w:t>alább 8 mellékkimenet pre és post)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Analóg stúdiómagnetofon (legalább 2 sebességes, 2 cs</w:t>
            </w:r>
            <w:r w:rsidRPr="00F4349E">
              <w:rPr>
                <w:sz w:val="20"/>
                <w:szCs w:val="20"/>
              </w:rPr>
              <w:t>a</w:t>
            </w:r>
            <w:r w:rsidRPr="00F4349E">
              <w:rPr>
                <w:sz w:val="20"/>
                <w:szCs w:val="20"/>
              </w:rPr>
              <w:t>tornás)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Számítógépes munkaállomás (legalább egy SP/DIF, egy ADAT és egy AES/EBU, WORD CLOCK be/kimenetű hangmodullal, le</w:t>
            </w:r>
            <w:r w:rsidRPr="00F4349E">
              <w:rPr>
                <w:sz w:val="20"/>
                <w:szCs w:val="20"/>
              </w:rPr>
              <w:t>g</w:t>
            </w:r>
            <w:r w:rsidRPr="00F4349E">
              <w:rPr>
                <w:sz w:val="20"/>
                <w:szCs w:val="20"/>
              </w:rPr>
              <w:t>alább 48 sávos rögzítési, editálási leh</w:t>
            </w:r>
            <w:r w:rsidRPr="00F4349E">
              <w:rPr>
                <w:sz w:val="20"/>
                <w:szCs w:val="20"/>
              </w:rPr>
              <w:t>e</w:t>
            </w:r>
            <w:r w:rsidRPr="00F4349E">
              <w:rPr>
                <w:sz w:val="20"/>
                <w:szCs w:val="20"/>
              </w:rPr>
              <w:t>tőséggel, optikai rögzítővel)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8 digitális rögzítő (hardver)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6.29.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Analóg professzionális stúdió-lemezjátszó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R-DAT magnetofon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SVHS videomagnó SMPTE időkóddal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Professzionális CD játszó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DVD-Audió lejátszó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SACD lejátszó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CC magnetofon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5.1 szabványos aktív stúdió lehallgató hangsugárzó rendszer, akuszt</w:t>
            </w:r>
            <w:r w:rsidRPr="00F4349E">
              <w:rPr>
                <w:sz w:val="20"/>
                <w:szCs w:val="20"/>
              </w:rPr>
              <w:t>i</w:t>
            </w:r>
            <w:r w:rsidRPr="00F4349E">
              <w:rPr>
                <w:sz w:val="20"/>
                <w:szCs w:val="20"/>
              </w:rPr>
              <w:t>kailag tervezett lehallgatási körülménnyel (ref</w:t>
            </w:r>
            <w:r w:rsidRPr="00F4349E">
              <w:rPr>
                <w:sz w:val="20"/>
                <w:szCs w:val="20"/>
              </w:rPr>
              <w:t>e</w:t>
            </w:r>
            <w:r w:rsidRPr="00F4349E">
              <w:rPr>
                <w:sz w:val="20"/>
                <w:szCs w:val="20"/>
              </w:rPr>
              <w:t>rencia szint: Genelec)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pár passzív stúdió lehallgató hangsugárzó, akusztikailag tervezett lehallgatási körülménnyel (ref</w:t>
            </w:r>
            <w:r w:rsidRPr="00F4349E">
              <w:rPr>
                <w:sz w:val="20"/>
                <w:szCs w:val="20"/>
              </w:rPr>
              <w:t>e</w:t>
            </w:r>
            <w:r w:rsidRPr="00F4349E">
              <w:rPr>
                <w:sz w:val="20"/>
                <w:szCs w:val="20"/>
              </w:rPr>
              <w:t>rencia szint: (KRK, B&amp;W)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pár hangosító hangsugárzó készlet erősítővel, processzorral (ref</w:t>
            </w:r>
            <w:r w:rsidRPr="00F4349E">
              <w:rPr>
                <w:sz w:val="20"/>
                <w:szCs w:val="20"/>
              </w:rPr>
              <w:t>e</w:t>
            </w:r>
            <w:r w:rsidRPr="00F4349E">
              <w:rPr>
                <w:sz w:val="20"/>
                <w:szCs w:val="20"/>
              </w:rPr>
              <w:t>rencia szint: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6.39.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pár monitor hangsugárzó készlet erősítővel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24 csatornás, szimmetrikus, analóg csoportkábel (30m)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Professzionális  zárt és nyitott fejhallgató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Kompresszor (analóg,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Kompresszor (digitális,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Limiter (analóg,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Limiter (digitális,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Expander-zajzár (analóg,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Expander-zajzár (digitális, hardver)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Effektprocesszor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6.49.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Digitális zengető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Digitális késleltető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MIDI vezérlő, szekvenszer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1db Master keyboard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2 db karakterisztika váltós (gömb, térnyolcas, kardioid, széles kardioid, hiperkardioid) kondezátor stúdiómikrofon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8 db kondenzátor stúdiómikrofon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8 db dinamikus mikrofon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2 db diversity rádiómikrofon szett (zsebadó + kézi adó)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személyi monitor szett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16 db gémes mikrofonállvány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6.59.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4 db kórusállvány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2 db asztali mikrofonállvány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Digitális formátum konverter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Zongora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Szintetizátor (fizikai modellezéssel)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Akusztikailag tervezett lehallgató szoba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Számítógép + demonstrációs szoftverek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SVHS vagy DVI kamera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Videó-projektor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Videó-monitorok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6.69.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Dokumentumkamera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ind w:left="567" w:hanging="567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Digitális fényképezőgép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1 db Írásvetítő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 xml:space="preserve">Lokális hálózat Internet hozzáféréssel 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Szövegszerkesztő program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Korszerű multimédiakészítő program</w:t>
            </w:r>
          </w:p>
        </w:tc>
      </w:tr>
      <w:tr w:rsidR="000145DE" w:rsidRPr="00F4349E" w:rsidTr="000561B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jc w:val="center"/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6.75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E" w:rsidRPr="00F4349E" w:rsidRDefault="000145DE" w:rsidP="000561B3">
            <w:pPr>
              <w:rPr>
                <w:sz w:val="20"/>
                <w:szCs w:val="20"/>
              </w:rPr>
            </w:pPr>
            <w:r w:rsidRPr="00F4349E">
              <w:rPr>
                <w:sz w:val="20"/>
                <w:szCs w:val="20"/>
              </w:rPr>
              <w:t>Korszerű adatbázis-kezelő program</w:t>
            </w:r>
          </w:p>
        </w:tc>
      </w:tr>
    </w:tbl>
    <w:p w:rsidR="000145DE" w:rsidRPr="00F4349E" w:rsidRDefault="000145D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145DE" w:rsidRPr="00F4349E" w:rsidRDefault="000145DE" w:rsidP="00F91264">
      <w:pPr>
        <w:keepNext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45DE" w:rsidRPr="00F4349E" w:rsidRDefault="000145DE" w:rsidP="000D4D87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F4349E">
        <w:rPr>
          <w:b/>
          <w:iCs/>
          <w:sz w:val="20"/>
          <w:szCs w:val="20"/>
        </w:rPr>
        <w:t>7. EGYEBEK</w:t>
      </w:r>
    </w:p>
    <w:p w:rsidR="000145DE" w:rsidRPr="00F4349E" w:rsidRDefault="000145DE" w:rsidP="007437F7">
      <w:pPr>
        <w:jc w:val="both"/>
        <w:rPr>
          <w:color w:val="000000"/>
          <w:sz w:val="20"/>
          <w:szCs w:val="20"/>
        </w:rPr>
      </w:pPr>
    </w:p>
    <w:p w:rsidR="000145DE" w:rsidRPr="00F4349E" w:rsidRDefault="000145DE" w:rsidP="007437F7">
      <w:pPr>
        <w:ind w:left="284" w:hanging="284"/>
        <w:jc w:val="both"/>
        <w:rPr>
          <w:color w:val="000000"/>
          <w:sz w:val="20"/>
          <w:szCs w:val="20"/>
        </w:rPr>
      </w:pPr>
      <w:r w:rsidRPr="00F4349E">
        <w:rPr>
          <w:color w:val="000000"/>
          <w:sz w:val="20"/>
          <w:szCs w:val="20"/>
        </w:rPr>
        <w:t xml:space="preserve">7.1. A 2.1.2 Szakmai előképzettség pont szerint előírt egyéb előképzettség: </w:t>
      </w:r>
      <w:r w:rsidRPr="00011E53">
        <w:rPr>
          <w:color w:val="000000"/>
          <w:sz w:val="20"/>
          <w:szCs w:val="20"/>
        </w:rPr>
        <w:t>Hangosító szakképesítés</w:t>
      </w:r>
      <w:r w:rsidRPr="00F4349E">
        <w:rPr>
          <w:color w:val="000000"/>
          <w:sz w:val="20"/>
          <w:szCs w:val="20"/>
        </w:rPr>
        <w:t xml:space="preserve"> és le</w:t>
      </w:r>
      <w:r w:rsidRPr="00F4349E">
        <w:rPr>
          <w:color w:val="000000"/>
          <w:sz w:val="20"/>
          <w:szCs w:val="20"/>
        </w:rPr>
        <w:t>g</w:t>
      </w:r>
      <w:r w:rsidRPr="00F4349E">
        <w:rPr>
          <w:color w:val="000000"/>
          <w:sz w:val="20"/>
          <w:szCs w:val="20"/>
        </w:rPr>
        <w:t>alább BS szintű felsőfokú villamosmérnök végzettség</w:t>
      </w:r>
    </w:p>
    <w:p w:rsidR="000145DE" w:rsidRPr="00F4349E" w:rsidRDefault="000145DE" w:rsidP="00E64831">
      <w:pPr>
        <w:pStyle w:val="NormalIndent"/>
        <w:widowControl/>
        <w:ind w:left="0"/>
        <w:jc w:val="left"/>
        <w:rPr>
          <w:color w:val="000000"/>
          <w:sz w:val="20"/>
        </w:rPr>
      </w:pPr>
    </w:p>
    <w:p w:rsidR="000145DE" w:rsidRPr="00F4349E" w:rsidRDefault="000145DE" w:rsidP="007437F7">
      <w:pPr>
        <w:jc w:val="both"/>
        <w:rPr>
          <w:sz w:val="20"/>
          <w:szCs w:val="20"/>
        </w:rPr>
      </w:pPr>
      <w:r w:rsidRPr="00F4349E">
        <w:rPr>
          <w:color w:val="000000"/>
          <w:sz w:val="20"/>
          <w:szCs w:val="20"/>
        </w:rPr>
        <w:t xml:space="preserve">7.2. </w:t>
      </w:r>
      <w:r w:rsidRPr="00F4349E">
        <w:rPr>
          <w:sz w:val="20"/>
          <w:szCs w:val="20"/>
        </w:rPr>
        <w:t>A szakmai vizsgabizottságban való részvételre kijelölt szakmai szervezet:</w:t>
      </w:r>
    </w:p>
    <w:p w:rsidR="000145DE" w:rsidRPr="00F4349E" w:rsidRDefault="000145DE" w:rsidP="007437F7">
      <w:pPr>
        <w:ind w:left="142"/>
        <w:rPr>
          <w:sz w:val="20"/>
          <w:szCs w:val="20"/>
        </w:rPr>
      </w:pPr>
      <w:r w:rsidRPr="00F4349E">
        <w:rPr>
          <w:sz w:val="20"/>
          <w:szCs w:val="20"/>
        </w:rPr>
        <w:t xml:space="preserve"> Magyar Hangmérnökök Társasága (Hungarian Audio Engineering Society - HAES),  </w:t>
      </w:r>
      <w:hyperlink r:id="rId8" w:history="1">
        <w:r w:rsidRPr="00F4349E">
          <w:rPr>
            <w:rStyle w:val="Hyperlink"/>
            <w:sz w:val="20"/>
            <w:szCs w:val="20"/>
          </w:rPr>
          <w:t>www.haes.hu</w:t>
        </w:r>
      </w:hyperlink>
      <w:r w:rsidRPr="00F4349E">
        <w:rPr>
          <w:sz w:val="20"/>
          <w:szCs w:val="20"/>
        </w:rPr>
        <w:t xml:space="preserve"> </w:t>
      </w:r>
    </w:p>
    <w:p w:rsidR="000145DE" w:rsidRPr="00F4349E" w:rsidRDefault="000145DE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sectPr w:rsidR="000145DE" w:rsidRPr="00F4349E" w:rsidSect="006921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DE" w:rsidRDefault="000145DE" w:rsidP="00E24035">
      <w:r>
        <w:separator/>
      </w:r>
    </w:p>
  </w:endnote>
  <w:endnote w:type="continuationSeparator" w:id="0">
    <w:p w:rsidR="000145DE" w:rsidRDefault="000145DE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DE" w:rsidRDefault="000145DE" w:rsidP="00E24035">
      <w:r>
        <w:separator/>
      </w:r>
    </w:p>
  </w:footnote>
  <w:footnote w:type="continuationSeparator" w:id="0">
    <w:p w:rsidR="000145DE" w:rsidRDefault="000145DE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DE" w:rsidRPr="00846D33" w:rsidRDefault="000145DE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376B"/>
    <w:multiLevelType w:val="multilevel"/>
    <w:tmpl w:val="A7F275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2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49E3639"/>
    <w:multiLevelType w:val="singleLevel"/>
    <w:tmpl w:val="ED1832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1DFB633C"/>
    <w:multiLevelType w:val="hybridMultilevel"/>
    <w:tmpl w:val="71704BE8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32346"/>
    <w:multiLevelType w:val="hybridMultilevel"/>
    <w:tmpl w:val="59E65658"/>
    <w:lvl w:ilvl="0" w:tplc="9A4CFBA4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3B5B5C01"/>
    <w:multiLevelType w:val="hybridMultilevel"/>
    <w:tmpl w:val="BA6C4C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40E59"/>
    <w:multiLevelType w:val="singleLevel"/>
    <w:tmpl w:val="ED18327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9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0">
    <w:nsid w:val="5CE86B9A"/>
    <w:multiLevelType w:val="hybridMultilevel"/>
    <w:tmpl w:val="89D4F568"/>
    <w:lvl w:ilvl="0" w:tplc="2248AF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4E74"/>
    <w:rsid w:val="00010A45"/>
    <w:rsid w:val="00011BA5"/>
    <w:rsid w:val="00011E53"/>
    <w:rsid w:val="000145DE"/>
    <w:rsid w:val="0001571A"/>
    <w:rsid w:val="00020D76"/>
    <w:rsid w:val="000212D5"/>
    <w:rsid w:val="000264AF"/>
    <w:rsid w:val="00027301"/>
    <w:rsid w:val="000276E4"/>
    <w:rsid w:val="0003262F"/>
    <w:rsid w:val="000561B3"/>
    <w:rsid w:val="00063EDF"/>
    <w:rsid w:val="00075892"/>
    <w:rsid w:val="0008240C"/>
    <w:rsid w:val="00092629"/>
    <w:rsid w:val="00093033"/>
    <w:rsid w:val="000963BF"/>
    <w:rsid w:val="000A1C4B"/>
    <w:rsid w:val="000A3551"/>
    <w:rsid w:val="000A5F24"/>
    <w:rsid w:val="000A7401"/>
    <w:rsid w:val="000C0D24"/>
    <w:rsid w:val="000C22CE"/>
    <w:rsid w:val="000D4D87"/>
    <w:rsid w:val="000E3CB0"/>
    <w:rsid w:val="000E59F8"/>
    <w:rsid w:val="000F6438"/>
    <w:rsid w:val="00106362"/>
    <w:rsid w:val="00117D4E"/>
    <w:rsid w:val="00120571"/>
    <w:rsid w:val="0012265E"/>
    <w:rsid w:val="00127DA7"/>
    <w:rsid w:val="001307B1"/>
    <w:rsid w:val="00130CC4"/>
    <w:rsid w:val="001450AA"/>
    <w:rsid w:val="00147F2F"/>
    <w:rsid w:val="001537C7"/>
    <w:rsid w:val="00155E00"/>
    <w:rsid w:val="00166022"/>
    <w:rsid w:val="00172AB6"/>
    <w:rsid w:val="00172C4D"/>
    <w:rsid w:val="00174E1A"/>
    <w:rsid w:val="00190180"/>
    <w:rsid w:val="00190677"/>
    <w:rsid w:val="001954BF"/>
    <w:rsid w:val="001B0BF0"/>
    <w:rsid w:val="001B668D"/>
    <w:rsid w:val="001B6E2A"/>
    <w:rsid w:val="001C0296"/>
    <w:rsid w:val="001C3793"/>
    <w:rsid w:val="001C6251"/>
    <w:rsid w:val="001D421D"/>
    <w:rsid w:val="001E4599"/>
    <w:rsid w:val="002002D3"/>
    <w:rsid w:val="00202236"/>
    <w:rsid w:val="002035AC"/>
    <w:rsid w:val="00210CE7"/>
    <w:rsid w:val="002132EF"/>
    <w:rsid w:val="00214605"/>
    <w:rsid w:val="00216E6B"/>
    <w:rsid w:val="002236A1"/>
    <w:rsid w:val="00237EBF"/>
    <w:rsid w:val="00244A32"/>
    <w:rsid w:val="00245409"/>
    <w:rsid w:val="002520DC"/>
    <w:rsid w:val="00255AE0"/>
    <w:rsid w:val="00262F5C"/>
    <w:rsid w:val="002733A3"/>
    <w:rsid w:val="00273A26"/>
    <w:rsid w:val="00274B45"/>
    <w:rsid w:val="00293DD7"/>
    <w:rsid w:val="002A1131"/>
    <w:rsid w:val="002A627D"/>
    <w:rsid w:val="002B5EA5"/>
    <w:rsid w:val="002D6D4A"/>
    <w:rsid w:val="002E5CF9"/>
    <w:rsid w:val="002F38A4"/>
    <w:rsid w:val="00301DDB"/>
    <w:rsid w:val="00305A6E"/>
    <w:rsid w:val="00313B84"/>
    <w:rsid w:val="0032766A"/>
    <w:rsid w:val="003328AC"/>
    <w:rsid w:val="00351C6D"/>
    <w:rsid w:val="00360D25"/>
    <w:rsid w:val="00361B78"/>
    <w:rsid w:val="00366592"/>
    <w:rsid w:val="00375428"/>
    <w:rsid w:val="00377EA2"/>
    <w:rsid w:val="00382B4F"/>
    <w:rsid w:val="00384A32"/>
    <w:rsid w:val="00384E6F"/>
    <w:rsid w:val="00393CF9"/>
    <w:rsid w:val="003977B7"/>
    <w:rsid w:val="003A5085"/>
    <w:rsid w:val="003B2A6F"/>
    <w:rsid w:val="003B4C5C"/>
    <w:rsid w:val="003C49D2"/>
    <w:rsid w:val="003C534A"/>
    <w:rsid w:val="003C65E0"/>
    <w:rsid w:val="003D128E"/>
    <w:rsid w:val="003D3DB7"/>
    <w:rsid w:val="003D6608"/>
    <w:rsid w:val="003E3DF2"/>
    <w:rsid w:val="003F151D"/>
    <w:rsid w:val="003F3E10"/>
    <w:rsid w:val="004042A1"/>
    <w:rsid w:val="00424619"/>
    <w:rsid w:val="004403E8"/>
    <w:rsid w:val="00444475"/>
    <w:rsid w:val="00453C35"/>
    <w:rsid w:val="00461FC3"/>
    <w:rsid w:val="00464F1A"/>
    <w:rsid w:val="0046567C"/>
    <w:rsid w:val="00473DD2"/>
    <w:rsid w:val="00486967"/>
    <w:rsid w:val="004872D9"/>
    <w:rsid w:val="0049557C"/>
    <w:rsid w:val="004A4311"/>
    <w:rsid w:val="004B4586"/>
    <w:rsid w:val="004B664B"/>
    <w:rsid w:val="004C1447"/>
    <w:rsid w:val="004C625A"/>
    <w:rsid w:val="004D0CB2"/>
    <w:rsid w:val="004D7D9F"/>
    <w:rsid w:val="004E2C84"/>
    <w:rsid w:val="004E2CCF"/>
    <w:rsid w:val="004F17D4"/>
    <w:rsid w:val="004F53CB"/>
    <w:rsid w:val="004F63FF"/>
    <w:rsid w:val="005014A8"/>
    <w:rsid w:val="00506BA8"/>
    <w:rsid w:val="00525769"/>
    <w:rsid w:val="00526EF9"/>
    <w:rsid w:val="005464BC"/>
    <w:rsid w:val="00547BF8"/>
    <w:rsid w:val="00557A76"/>
    <w:rsid w:val="0056117B"/>
    <w:rsid w:val="005700C2"/>
    <w:rsid w:val="00575CFC"/>
    <w:rsid w:val="00584544"/>
    <w:rsid w:val="005954F7"/>
    <w:rsid w:val="005A0F58"/>
    <w:rsid w:val="005A7A06"/>
    <w:rsid w:val="005B5C90"/>
    <w:rsid w:val="005B61F7"/>
    <w:rsid w:val="005C17AC"/>
    <w:rsid w:val="005C4193"/>
    <w:rsid w:val="005D5825"/>
    <w:rsid w:val="005D5845"/>
    <w:rsid w:val="005D619E"/>
    <w:rsid w:val="005F566C"/>
    <w:rsid w:val="005F5E29"/>
    <w:rsid w:val="00612721"/>
    <w:rsid w:val="0061630F"/>
    <w:rsid w:val="0063084E"/>
    <w:rsid w:val="0063694C"/>
    <w:rsid w:val="0063772A"/>
    <w:rsid w:val="00641722"/>
    <w:rsid w:val="00655207"/>
    <w:rsid w:val="00661EF4"/>
    <w:rsid w:val="00671EE5"/>
    <w:rsid w:val="00677FF6"/>
    <w:rsid w:val="00683EA0"/>
    <w:rsid w:val="0068512D"/>
    <w:rsid w:val="00690291"/>
    <w:rsid w:val="00690D8B"/>
    <w:rsid w:val="006912EE"/>
    <w:rsid w:val="006921ED"/>
    <w:rsid w:val="006C2717"/>
    <w:rsid w:val="006C3EAC"/>
    <w:rsid w:val="006D089D"/>
    <w:rsid w:val="006D5AF5"/>
    <w:rsid w:val="006E3A83"/>
    <w:rsid w:val="006E520C"/>
    <w:rsid w:val="006E61B9"/>
    <w:rsid w:val="006F0309"/>
    <w:rsid w:val="006F23A7"/>
    <w:rsid w:val="006F4301"/>
    <w:rsid w:val="006F4346"/>
    <w:rsid w:val="00700D2B"/>
    <w:rsid w:val="00706A35"/>
    <w:rsid w:val="00713C6B"/>
    <w:rsid w:val="00720A42"/>
    <w:rsid w:val="007229B4"/>
    <w:rsid w:val="00724925"/>
    <w:rsid w:val="00730A20"/>
    <w:rsid w:val="007437F7"/>
    <w:rsid w:val="00747A22"/>
    <w:rsid w:val="00751DA2"/>
    <w:rsid w:val="007544B2"/>
    <w:rsid w:val="00754F8A"/>
    <w:rsid w:val="007624BC"/>
    <w:rsid w:val="00770FFE"/>
    <w:rsid w:val="00795555"/>
    <w:rsid w:val="007978F8"/>
    <w:rsid w:val="007A007E"/>
    <w:rsid w:val="007A564A"/>
    <w:rsid w:val="007A67D9"/>
    <w:rsid w:val="007B3AEB"/>
    <w:rsid w:val="007B6987"/>
    <w:rsid w:val="007C22C4"/>
    <w:rsid w:val="007C581B"/>
    <w:rsid w:val="007C5BA9"/>
    <w:rsid w:val="007C5D01"/>
    <w:rsid w:val="007E7C29"/>
    <w:rsid w:val="007F1C38"/>
    <w:rsid w:val="007F1F73"/>
    <w:rsid w:val="007F2838"/>
    <w:rsid w:val="008011D8"/>
    <w:rsid w:val="00815216"/>
    <w:rsid w:val="0082091C"/>
    <w:rsid w:val="008223D0"/>
    <w:rsid w:val="00827AED"/>
    <w:rsid w:val="0083317F"/>
    <w:rsid w:val="00834E15"/>
    <w:rsid w:val="008434CB"/>
    <w:rsid w:val="00846D33"/>
    <w:rsid w:val="00854A03"/>
    <w:rsid w:val="00860948"/>
    <w:rsid w:val="00870B5A"/>
    <w:rsid w:val="00886329"/>
    <w:rsid w:val="00887D59"/>
    <w:rsid w:val="008B4A43"/>
    <w:rsid w:val="008C1AD2"/>
    <w:rsid w:val="008C59AA"/>
    <w:rsid w:val="008D403C"/>
    <w:rsid w:val="008E1C94"/>
    <w:rsid w:val="008F71DC"/>
    <w:rsid w:val="0090182B"/>
    <w:rsid w:val="00906248"/>
    <w:rsid w:val="009074DE"/>
    <w:rsid w:val="009303C7"/>
    <w:rsid w:val="009437C7"/>
    <w:rsid w:val="009477FD"/>
    <w:rsid w:val="00953BA7"/>
    <w:rsid w:val="009551FE"/>
    <w:rsid w:val="00957655"/>
    <w:rsid w:val="009628D9"/>
    <w:rsid w:val="00970086"/>
    <w:rsid w:val="00976FA0"/>
    <w:rsid w:val="009770B6"/>
    <w:rsid w:val="00983BDD"/>
    <w:rsid w:val="00986A76"/>
    <w:rsid w:val="0098752B"/>
    <w:rsid w:val="009957C5"/>
    <w:rsid w:val="009C0ACD"/>
    <w:rsid w:val="009C0AD6"/>
    <w:rsid w:val="009C1D52"/>
    <w:rsid w:val="009C7929"/>
    <w:rsid w:val="009D4817"/>
    <w:rsid w:val="009F3C39"/>
    <w:rsid w:val="00A053C0"/>
    <w:rsid w:val="00A06912"/>
    <w:rsid w:val="00A101B7"/>
    <w:rsid w:val="00A15B0B"/>
    <w:rsid w:val="00A2374D"/>
    <w:rsid w:val="00A45549"/>
    <w:rsid w:val="00A52F3D"/>
    <w:rsid w:val="00A5590B"/>
    <w:rsid w:val="00A56222"/>
    <w:rsid w:val="00A62FD1"/>
    <w:rsid w:val="00A6492A"/>
    <w:rsid w:val="00A70261"/>
    <w:rsid w:val="00A73141"/>
    <w:rsid w:val="00A80191"/>
    <w:rsid w:val="00A81CA5"/>
    <w:rsid w:val="00A836A1"/>
    <w:rsid w:val="00A84B31"/>
    <w:rsid w:val="00A94D39"/>
    <w:rsid w:val="00AA1CF2"/>
    <w:rsid w:val="00AB4E71"/>
    <w:rsid w:val="00AB6920"/>
    <w:rsid w:val="00AD3073"/>
    <w:rsid w:val="00AD64FE"/>
    <w:rsid w:val="00AD67D1"/>
    <w:rsid w:val="00AE587B"/>
    <w:rsid w:val="00AE79B7"/>
    <w:rsid w:val="00B10600"/>
    <w:rsid w:val="00B257F2"/>
    <w:rsid w:val="00B319C8"/>
    <w:rsid w:val="00B34671"/>
    <w:rsid w:val="00B520B8"/>
    <w:rsid w:val="00B613C3"/>
    <w:rsid w:val="00B72CFA"/>
    <w:rsid w:val="00B87636"/>
    <w:rsid w:val="00B95BB5"/>
    <w:rsid w:val="00BA41A7"/>
    <w:rsid w:val="00BA4F4C"/>
    <w:rsid w:val="00BA5133"/>
    <w:rsid w:val="00BA6529"/>
    <w:rsid w:val="00BB3992"/>
    <w:rsid w:val="00BC3722"/>
    <w:rsid w:val="00BD1B0D"/>
    <w:rsid w:val="00BD6B3C"/>
    <w:rsid w:val="00BE2703"/>
    <w:rsid w:val="00BE68D2"/>
    <w:rsid w:val="00BF1E28"/>
    <w:rsid w:val="00BF74A8"/>
    <w:rsid w:val="00C0134B"/>
    <w:rsid w:val="00C0659A"/>
    <w:rsid w:val="00C125A7"/>
    <w:rsid w:val="00C2078C"/>
    <w:rsid w:val="00C33FCE"/>
    <w:rsid w:val="00C40037"/>
    <w:rsid w:val="00C44B15"/>
    <w:rsid w:val="00C46688"/>
    <w:rsid w:val="00C503ED"/>
    <w:rsid w:val="00C51090"/>
    <w:rsid w:val="00C533B2"/>
    <w:rsid w:val="00C57FA0"/>
    <w:rsid w:val="00C61C40"/>
    <w:rsid w:val="00C7303C"/>
    <w:rsid w:val="00C735DE"/>
    <w:rsid w:val="00C7414E"/>
    <w:rsid w:val="00C80D16"/>
    <w:rsid w:val="00C964FD"/>
    <w:rsid w:val="00C9666C"/>
    <w:rsid w:val="00CA0446"/>
    <w:rsid w:val="00CA0502"/>
    <w:rsid w:val="00CA4354"/>
    <w:rsid w:val="00CA6996"/>
    <w:rsid w:val="00CB3F3E"/>
    <w:rsid w:val="00CB3F82"/>
    <w:rsid w:val="00CB7910"/>
    <w:rsid w:val="00CD0F9B"/>
    <w:rsid w:val="00CD243C"/>
    <w:rsid w:val="00CD354B"/>
    <w:rsid w:val="00CD3A62"/>
    <w:rsid w:val="00CE01E5"/>
    <w:rsid w:val="00CE3318"/>
    <w:rsid w:val="00CE5AEC"/>
    <w:rsid w:val="00D02489"/>
    <w:rsid w:val="00D06673"/>
    <w:rsid w:val="00D104D8"/>
    <w:rsid w:val="00D20DB3"/>
    <w:rsid w:val="00D22F7C"/>
    <w:rsid w:val="00D30742"/>
    <w:rsid w:val="00D523BB"/>
    <w:rsid w:val="00D66B3C"/>
    <w:rsid w:val="00D75010"/>
    <w:rsid w:val="00D75BCE"/>
    <w:rsid w:val="00D77705"/>
    <w:rsid w:val="00D92545"/>
    <w:rsid w:val="00D94336"/>
    <w:rsid w:val="00D96D1F"/>
    <w:rsid w:val="00DA2928"/>
    <w:rsid w:val="00DA6695"/>
    <w:rsid w:val="00DA6B0D"/>
    <w:rsid w:val="00DC29A9"/>
    <w:rsid w:val="00DC37EA"/>
    <w:rsid w:val="00DC6379"/>
    <w:rsid w:val="00DD1723"/>
    <w:rsid w:val="00DE1FE8"/>
    <w:rsid w:val="00DE41AE"/>
    <w:rsid w:val="00DE7CAD"/>
    <w:rsid w:val="00DF026D"/>
    <w:rsid w:val="00DF093C"/>
    <w:rsid w:val="00E027F3"/>
    <w:rsid w:val="00E24035"/>
    <w:rsid w:val="00E314F4"/>
    <w:rsid w:val="00E46556"/>
    <w:rsid w:val="00E46CC0"/>
    <w:rsid w:val="00E51DF7"/>
    <w:rsid w:val="00E622D2"/>
    <w:rsid w:val="00E6363A"/>
    <w:rsid w:val="00E64831"/>
    <w:rsid w:val="00E652F3"/>
    <w:rsid w:val="00E65600"/>
    <w:rsid w:val="00E854D2"/>
    <w:rsid w:val="00E91B08"/>
    <w:rsid w:val="00EA1865"/>
    <w:rsid w:val="00EA245B"/>
    <w:rsid w:val="00EB326B"/>
    <w:rsid w:val="00EC34A4"/>
    <w:rsid w:val="00EC6C9F"/>
    <w:rsid w:val="00ED16B0"/>
    <w:rsid w:val="00ED7C3B"/>
    <w:rsid w:val="00EE00C6"/>
    <w:rsid w:val="00EE068E"/>
    <w:rsid w:val="00F00BED"/>
    <w:rsid w:val="00F05F78"/>
    <w:rsid w:val="00F109EF"/>
    <w:rsid w:val="00F10E81"/>
    <w:rsid w:val="00F110C0"/>
    <w:rsid w:val="00F12812"/>
    <w:rsid w:val="00F24D68"/>
    <w:rsid w:val="00F31AC6"/>
    <w:rsid w:val="00F35348"/>
    <w:rsid w:val="00F42E9B"/>
    <w:rsid w:val="00F433EF"/>
    <w:rsid w:val="00F4349E"/>
    <w:rsid w:val="00F503AC"/>
    <w:rsid w:val="00F64728"/>
    <w:rsid w:val="00F735B9"/>
    <w:rsid w:val="00F73777"/>
    <w:rsid w:val="00F741F8"/>
    <w:rsid w:val="00F753DF"/>
    <w:rsid w:val="00F77CE6"/>
    <w:rsid w:val="00F82C73"/>
    <w:rsid w:val="00F91264"/>
    <w:rsid w:val="00F9552E"/>
    <w:rsid w:val="00F978F5"/>
    <w:rsid w:val="00FB26BF"/>
    <w:rsid w:val="00FC4F22"/>
    <w:rsid w:val="00FF1965"/>
    <w:rsid w:val="00FF1F0C"/>
    <w:rsid w:val="00FF2EE7"/>
    <w:rsid w:val="00FF4DFE"/>
    <w:rsid w:val="00FF5DA3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A292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A292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A2928"/>
    <w:pPr>
      <w:numPr>
        <w:ilvl w:val="2"/>
        <w:numId w:val="6"/>
      </w:numPr>
      <w:spacing w:before="100" w:beforeAutospacing="1" w:after="100" w:afterAutospacing="1"/>
      <w:outlineLvl w:val="2"/>
    </w:pPr>
    <w:rPr>
      <w:rFonts w:cs="Arial"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2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2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2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722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722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28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27228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262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228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62F5C"/>
    <w:rPr>
      <w:rFonts w:eastAsia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1"/>
    <w:uiPriority w:val="99"/>
    <w:rsid w:val="00262F5C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027228"/>
  </w:style>
  <w:style w:type="character" w:customStyle="1" w:styleId="BodyTextFirstIndentChar1">
    <w:name w:val="Body Text First Indent Char1"/>
    <w:basedOn w:val="BodyTextChar1"/>
    <w:link w:val="BodyTextFirstIndent"/>
    <w:uiPriority w:val="99"/>
    <w:locked/>
    <w:rsid w:val="00262F5C"/>
  </w:style>
  <w:style w:type="paragraph" w:styleId="BodyTextIndent">
    <w:name w:val="Body Text Indent"/>
    <w:basedOn w:val="Normal"/>
    <w:link w:val="BodyTextIndentChar1"/>
    <w:uiPriority w:val="99"/>
    <w:semiHidden/>
    <w:rsid w:val="00262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7228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62F5C"/>
    <w:rPr>
      <w:rFonts w:eastAsia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262F5C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027228"/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262F5C"/>
  </w:style>
  <w:style w:type="character" w:customStyle="1" w:styleId="Heading1Char1">
    <w:name w:val="Heading 1 Char1"/>
    <w:basedOn w:val="DefaultParagraphFont"/>
    <w:link w:val="Heading1"/>
    <w:uiPriority w:val="99"/>
    <w:locked/>
    <w:rsid w:val="00DA2928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A2928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A2928"/>
    <w:rPr>
      <w:rFonts w:eastAsia="Times New Roman" w:cs="Arial"/>
      <w:bCs/>
      <w:sz w:val="24"/>
      <w:szCs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6E520C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834E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1776</Words>
  <Characters>12255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Hangtárvezető megnevezésű szakképesítés-ráépülés szakmai és vizsgakövetelménye</dc:title>
  <dc:subject/>
  <dc:creator>NMH SZFI</dc:creator>
  <cp:keywords/>
  <dc:description/>
  <cp:lastModifiedBy>NMH SZFI</cp:lastModifiedBy>
  <cp:revision>2</cp:revision>
  <cp:lastPrinted>2012-09-12T18:54:00Z</cp:lastPrinted>
  <dcterms:created xsi:type="dcterms:W3CDTF">2013-03-07T09:12:00Z</dcterms:created>
  <dcterms:modified xsi:type="dcterms:W3CDTF">2013-03-07T09:12:00Z</dcterms:modified>
</cp:coreProperties>
</file>