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70" w:rsidRPr="00B561BF" w:rsidRDefault="008D0A70" w:rsidP="00B561BF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561BF">
        <w:rPr>
          <w:b/>
          <w:color w:val="000000"/>
          <w:sz w:val="20"/>
          <w:szCs w:val="20"/>
        </w:rPr>
        <w:t>A 22. sorszámú Állattenyésztő és állat-egészségügyi technikus megnevezésű szakképesítés szakmai és vizsgak</w:t>
      </w:r>
      <w:r w:rsidRPr="00B561BF">
        <w:rPr>
          <w:b/>
          <w:color w:val="000000"/>
          <w:sz w:val="20"/>
          <w:szCs w:val="20"/>
        </w:rPr>
        <w:t>ö</w:t>
      </w:r>
      <w:r w:rsidRPr="00B561BF">
        <w:rPr>
          <w:b/>
          <w:color w:val="000000"/>
          <w:sz w:val="20"/>
          <w:szCs w:val="20"/>
        </w:rPr>
        <w:t>vetelménye</w:t>
      </w:r>
    </w:p>
    <w:p w:rsidR="008D0A70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561BF">
        <w:rPr>
          <w:b/>
          <w:iCs/>
          <w:color w:val="000000"/>
          <w:sz w:val="20"/>
          <w:szCs w:val="20"/>
        </w:rPr>
        <w:t>1. AZ ORSZÁGOS KÉPZÉSI JEGYZÉKBEN SZEREPLŐ ADATOK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 xml:space="preserve">1.1. A szakképesítés azonosító száma: </w:t>
      </w:r>
      <w:r>
        <w:rPr>
          <w:iCs/>
          <w:color w:val="000000"/>
          <w:sz w:val="20"/>
          <w:szCs w:val="20"/>
        </w:rPr>
        <w:t xml:space="preserve">54 </w:t>
      </w:r>
      <w:r w:rsidRPr="00B561BF">
        <w:rPr>
          <w:iCs/>
          <w:color w:val="000000"/>
          <w:sz w:val="20"/>
          <w:szCs w:val="20"/>
        </w:rPr>
        <w:t>621 01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1.2. Szakképesítés megnevezése: Állattenyésztő és állat-egészségügyi technikus</w:t>
      </w:r>
      <w:r w:rsidRPr="00B561BF">
        <w:rPr>
          <w:i/>
          <w:iCs/>
          <w:color w:val="000000"/>
          <w:sz w:val="20"/>
          <w:szCs w:val="20"/>
        </w:rPr>
        <w:t xml:space="preserve"> 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1. 3. Iskolai rendszerű szakképzésben a szakképzési évfolyamok száma: 2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 xml:space="preserve">1.4. Iskolarendszeren kívüli szakképzésben az óraszám: </w:t>
      </w:r>
      <w:r w:rsidRPr="00B561BF">
        <w:rPr>
          <w:i/>
          <w:iCs/>
          <w:color w:val="000000"/>
          <w:sz w:val="20"/>
          <w:szCs w:val="20"/>
        </w:rPr>
        <w:t>-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561BF">
        <w:rPr>
          <w:b/>
          <w:color w:val="000000"/>
          <w:sz w:val="20"/>
          <w:szCs w:val="20"/>
        </w:rPr>
        <w:t>2. EGYÉB ADATOK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2.1. A képzés megkezdésének feltételei: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tabs>
          <w:tab w:val="left" w:pos="2552"/>
        </w:tabs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2.1.1. Iskolai előképzettség: érettségi végzettség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ind w:left="234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 xml:space="preserve">vagy iskolai előképzettség hiányában 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 xml:space="preserve">2.1.2. Bemeneti kompetenciák: - 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2.2. Szakmai előképzettség: -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 xml:space="preserve">2.3. Előírt gyakorlat: - 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2.4. Egészségügyi alkalmassági követelmények: szükségesek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2.5. Pályaalkalmassági követelmények: -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2.6. Elméleti képzési idő aránya: 40%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2.7. Gyakorlati képzési idő aránya: 60%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2.8. Szintvizsga</w:t>
      </w:r>
      <w:r w:rsidRPr="00B561BF">
        <w:rPr>
          <w:iCs/>
          <w:color w:val="000000"/>
          <w:sz w:val="20"/>
          <w:szCs w:val="20"/>
        </w:rPr>
        <w:t>: -</w:t>
      </w:r>
      <w:r w:rsidRPr="00B561BF">
        <w:rPr>
          <w:i/>
          <w:iCs/>
          <w:color w:val="000000"/>
          <w:sz w:val="20"/>
          <w:szCs w:val="20"/>
        </w:rPr>
        <w:t xml:space="preserve"> 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 xml:space="preserve">2.9. Az iskolai rendszerű képzésben az összefüggő szakmai gyakorlat időtartama: </w:t>
      </w:r>
    </w:p>
    <w:p w:rsidR="008D0A70" w:rsidRPr="00B561BF" w:rsidRDefault="008D0A70" w:rsidP="00B561BF">
      <w:pPr>
        <w:pStyle w:val="Listaszerbekezds"/>
        <w:ind w:left="36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 xml:space="preserve">5 évfolyamos képzés esetén a 9. évfolyamot követően 70 óra, a 10. évfolyamot követően 105 óra, </w:t>
      </w:r>
      <w:r w:rsidRPr="00B561BF">
        <w:rPr>
          <w:color w:val="000000"/>
          <w:sz w:val="20"/>
          <w:szCs w:val="20"/>
        </w:rPr>
        <w:br/>
        <w:t>a 11. évfolyamot követően 140 óra;</w:t>
      </w:r>
    </w:p>
    <w:p w:rsidR="008D0A70" w:rsidRPr="00B561BF" w:rsidRDefault="008D0A70" w:rsidP="00B561BF">
      <w:pPr>
        <w:autoSpaceDE w:val="0"/>
        <w:autoSpaceDN w:val="0"/>
        <w:adjustRightInd w:val="0"/>
        <w:ind w:left="360"/>
        <w:jc w:val="both"/>
        <w:rPr>
          <w:iCs/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2 évfolyamos képzés esetén az első szakképzési évfolyamot követően 160 óra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  <w:r w:rsidRPr="00B561BF">
        <w:rPr>
          <w:b/>
          <w:iCs/>
          <w:color w:val="000000"/>
          <w:sz w:val="20"/>
          <w:szCs w:val="20"/>
        </w:rPr>
        <w:t>3. PÁLYATÜKÖR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3.1. A szakképesítéssel</w:t>
      </w:r>
      <w:r w:rsidRPr="00B561BF">
        <w:rPr>
          <w:color w:val="000000"/>
          <w:sz w:val="20"/>
          <w:szCs w:val="20"/>
        </w:rPr>
        <w:t xml:space="preserve"> </w:t>
      </w:r>
      <w:r w:rsidRPr="00B561BF">
        <w:rPr>
          <w:iCs/>
          <w:color w:val="000000"/>
          <w:sz w:val="20"/>
          <w:szCs w:val="20"/>
        </w:rPr>
        <w:t>legjellemzőbben betölthető munkakör(ök), foglalkozás(ok)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tbl>
      <w:tblPr>
        <w:tblW w:w="878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559"/>
        <w:gridCol w:w="2268"/>
        <w:gridCol w:w="3969"/>
      </w:tblGrid>
      <w:tr w:rsidR="008D0A70" w:rsidRPr="00B561BF">
        <w:tc>
          <w:tcPr>
            <w:tcW w:w="992" w:type="dxa"/>
            <w:tcBorders>
              <w:top w:val="single" w:sz="4" w:space="0" w:color="auto"/>
            </w:tcBorders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C</w:t>
            </w:r>
          </w:p>
        </w:tc>
      </w:tr>
      <w:tr w:rsidR="008D0A70" w:rsidRPr="00B561BF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61BF">
              <w:rPr>
                <w:b/>
                <w:bCs/>
                <w:color w:val="000000"/>
                <w:sz w:val="20"/>
                <w:szCs w:val="20"/>
              </w:rPr>
              <w:t>FEOR száma</w:t>
            </w:r>
          </w:p>
        </w:tc>
        <w:tc>
          <w:tcPr>
            <w:tcW w:w="2268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61BF">
              <w:rPr>
                <w:b/>
                <w:color w:val="000000"/>
                <w:sz w:val="20"/>
                <w:szCs w:val="20"/>
              </w:rPr>
              <w:t>FEOR megnevez</w:t>
            </w:r>
            <w:r w:rsidRPr="00B561BF">
              <w:rPr>
                <w:b/>
                <w:color w:val="000000"/>
                <w:sz w:val="20"/>
                <w:szCs w:val="20"/>
              </w:rPr>
              <w:t>é</w:t>
            </w:r>
            <w:r w:rsidRPr="00B561BF">
              <w:rPr>
                <w:b/>
                <w:color w:val="000000"/>
                <w:sz w:val="20"/>
                <w:szCs w:val="20"/>
              </w:rPr>
              <w:t>se</w:t>
            </w:r>
          </w:p>
        </w:tc>
        <w:tc>
          <w:tcPr>
            <w:tcW w:w="3969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61BF">
              <w:rPr>
                <w:b/>
                <w:color w:val="000000"/>
                <w:sz w:val="20"/>
                <w:szCs w:val="20"/>
              </w:rPr>
              <w:t>A szakképesítéssel betölthető mu</w:t>
            </w:r>
            <w:r w:rsidRPr="00B561BF">
              <w:rPr>
                <w:b/>
                <w:color w:val="000000"/>
                <w:sz w:val="20"/>
                <w:szCs w:val="20"/>
              </w:rPr>
              <w:t>n</w:t>
            </w:r>
            <w:r w:rsidRPr="00B561BF">
              <w:rPr>
                <w:b/>
                <w:color w:val="000000"/>
                <w:sz w:val="20"/>
                <w:szCs w:val="20"/>
              </w:rPr>
              <w:t>kakör(ök)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1559" w:type="dxa"/>
            <w:vMerge w:val="restart"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3131</w:t>
            </w:r>
          </w:p>
        </w:tc>
        <w:tc>
          <w:tcPr>
            <w:tcW w:w="2268" w:type="dxa"/>
            <w:vMerge w:val="restart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Mezőgazdasági technikus</w:t>
            </w: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Élőállat minősítő (mezőgazdasági)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1559" w:type="dxa"/>
            <w:vMerge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Háztáji mezőgazdasági technikus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1559" w:type="dxa"/>
            <w:vMerge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Karantén felügyelő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1559" w:type="dxa"/>
            <w:vMerge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Mezőgazdasági laboratóriumi technikus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1559" w:type="dxa"/>
            <w:vMerge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Tenyészállatteljesítmény-vizsgáló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3.1.7.</w:t>
            </w:r>
          </w:p>
        </w:tc>
        <w:tc>
          <w:tcPr>
            <w:tcW w:w="1559" w:type="dxa"/>
            <w:vMerge w:val="restart"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3341</w:t>
            </w:r>
          </w:p>
        </w:tc>
        <w:tc>
          <w:tcPr>
            <w:tcW w:w="2268" w:type="dxa"/>
            <w:vMerge w:val="restart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Állatorvosi asszisztens</w:t>
            </w: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Állategészségőr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3.1.8.</w:t>
            </w:r>
          </w:p>
        </w:tc>
        <w:tc>
          <w:tcPr>
            <w:tcW w:w="1559" w:type="dxa"/>
            <w:vMerge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Állat-egészségügyi asszisztens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3.1.9.</w:t>
            </w:r>
          </w:p>
        </w:tc>
        <w:tc>
          <w:tcPr>
            <w:tcW w:w="1559" w:type="dxa"/>
            <w:vMerge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Állat-egészségügyi technikus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3.1.10.</w:t>
            </w:r>
          </w:p>
        </w:tc>
        <w:tc>
          <w:tcPr>
            <w:tcW w:w="1559" w:type="dxa"/>
            <w:vMerge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Állatklinikai asszisztens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3.1.11.</w:t>
            </w:r>
          </w:p>
        </w:tc>
        <w:tc>
          <w:tcPr>
            <w:tcW w:w="1559" w:type="dxa"/>
            <w:vMerge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Állatkórházi ápoló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3.1.12.</w:t>
            </w:r>
          </w:p>
        </w:tc>
        <w:tc>
          <w:tcPr>
            <w:tcW w:w="1559" w:type="dxa"/>
            <w:vMerge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Állatorvosi szaksegéd (felcser)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3.1.13.</w:t>
            </w:r>
          </w:p>
        </w:tc>
        <w:tc>
          <w:tcPr>
            <w:tcW w:w="1559" w:type="dxa"/>
            <w:vMerge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Betegállat-gondozó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3.1.14.</w:t>
            </w:r>
          </w:p>
        </w:tc>
        <w:tc>
          <w:tcPr>
            <w:tcW w:w="1559" w:type="dxa"/>
            <w:vMerge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Boncolási asszisztens (állatorvosi)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3.1.15.</w:t>
            </w:r>
          </w:p>
        </w:tc>
        <w:tc>
          <w:tcPr>
            <w:tcW w:w="1559" w:type="dxa"/>
            <w:vMerge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Egészségügyi állatgondozó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3.1.16.</w:t>
            </w:r>
          </w:p>
        </w:tc>
        <w:tc>
          <w:tcPr>
            <w:tcW w:w="1559" w:type="dxa"/>
            <w:vMerge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Gyógyszeres állatgondozó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3.1.17.</w:t>
            </w:r>
          </w:p>
        </w:tc>
        <w:tc>
          <w:tcPr>
            <w:tcW w:w="1559" w:type="dxa"/>
            <w:vMerge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Sterilizációs asszisztens (állatorvosi)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3.1.18.</w:t>
            </w:r>
          </w:p>
        </w:tc>
        <w:tc>
          <w:tcPr>
            <w:tcW w:w="1559" w:type="dxa"/>
            <w:vMerge w:val="restart"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6130</w:t>
            </w:r>
          </w:p>
        </w:tc>
        <w:tc>
          <w:tcPr>
            <w:tcW w:w="2268" w:type="dxa"/>
            <w:vMerge w:val="restart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Vegyes profilú gazdálkodó</w:t>
            </w: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Önálló gazda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3.1.19.</w:t>
            </w:r>
          </w:p>
        </w:tc>
        <w:tc>
          <w:tcPr>
            <w:tcW w:w="1559" w:type="dxa"/>
            <w:vMerge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Őstermelő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3.1.20.</w:t>
            </w:r>
          </w:p>
        </w:tc>
        <w:tc>
          <w:tcPr>
            <w:tcW w:w="1559" w:type="dxa"/>
            <w:vMerge w:val="restart"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6121</w:t>
            </w:r>
          </w:p>
        </w:tc>
        <w:tc>
          <w:tcPr>
            <w:tcW w:w="2268" w:type="dxa"/>
            <w:vMerge w:val="restart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Szarvasmarha-, ló-, sertés-, juhtartó és -tenyésztő</w:t>
            </w: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Juhtartó és – tenyésztő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3.1.21.</w:t>
            </w:r>
          </w:p>
        </w:tc>
        <w:tc>
          <w:tcPr>
            <w:tcW w:w="1559" w:type="dxa"/>
            <w:vMerge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Lótenyésztő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3.1.22.</w:t>
            </w:r>
          </w:p>
        </w:tc>
        <w:tc>
          <w:tcPr>
            <w:tcW w:w="1559" w:type="dxa"/>
            <w:vMerge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Nagyállattartó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3.1.23.</w:t>
            </w:r>
          </w:p>
        </w:tc>
        <w:tc>
          <w:tcPr>
            <w:tcW w:w="1559" w:type="dxa"/>
            <w:vMerge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Sertéstartó és –tenyésztő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3.1.24.</w:t>
            </w:r>
          </w:p>
        </w:tc>
        <w:tc>
          <w:tcPr>
            <w:tcW w:w="1559" w:type="dxa"/>
            <w:vMerge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Szarvasmarhatartó  és -tenyésztő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3.1.25.</w:t>
            </w:r>
          </w:p>
        </w:tc>
        <w:tc>
          <w:tcPr>
            <w:tcW w:w="1559" w:type="dxa"/>
            <w:vMerge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Tehenész műszakvezető</w:t>
            </w:r>
          </w:p>
        </w:tc>
      </w:tr>
      <w:tr w:rsidR="008D0A70" w:rsidRPr="00B561BF" w:rsidTr="00B47516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3.1.26.</w:t>
            </w:r>
          </w:p>
        </w:tc>
        <w:tc>
          <w:tcPr>
            <w:tcW w:w="1559" w:type="dxa"/>
            <w:vMerge w:val="restart"/>
            <w:vAlign w:val="center"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6122</w:t>
            </w:r>
          </w:p>
        </w:tc>
        <w:tc>
          <w:tcPr>
            <w:tcW w:w="2268" w:type="dxa"/>
            <w:vMerge w:val="restart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Baromfitartó és -tenyésztő</w:t>
            </w: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Baromfitartó és -tenyésztő</w:t>
            </w:r>
          </w:p>
        </w:tc>
      </w:tr>
      <w:tr w:rsidR="008D0A70" w:rsidRPr="00B561BF">
        <w:tc>
          <w:tcPr>
            <w:tcW w:w="992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3.1.27.</w:t>
            </w:r>
          </w:p>
        </w:tc>
        <w:tc>
          <w:tcPr>
            <w:tcW w:w="1559" w:type="dxa"/>
            <w:vMerge/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Keltetőgép-kezelő</w:t>
            </w:r>
          </w:p>
        </w:tc>
      </w:tr>
      <w:tr w:rsidR="008D0A70" w:rsidRPr="00B561BF">
        <w:tc>
          <w:tcPr>
            <w:tcW w:w="992" w:type="dxa"/>
            <w:tcBorders>
              <w:bottom w:val="single" w:sz="4" w:space="0" w:color="auto"/>
            </w:tcBorders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3.1.28.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D0A70" w:rsidRPr="00B561BF" w:rsidRDefault="008D0A70" w:rsidP="00B561B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Pulykatenyésztő</w:t>
            </w:r>
          </w:p>
        </w:tc>
      </w:tr>
    </w:tbl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3.2. A szakképesítés munkater</w:t>
      </w:r>
      <w:r w:rsidRPr="00B561BF">
        <w:rPr>
          <w:iCs/>
          <w:color w:val="000000"/>
          <w:sz w:val="20"/>
          <w:szCs w:val="20"/>
        </w:rPr>
        <w:t>ü</w:t>
      </w:r>
      <w:r w:rsidRPr="00B561BF">
        <w:rPr>
          <w:iCs/>
          <w:color w:val="000000"/>
          <w:sz w:val="20"/>
          <w:szCs w:val="20"/>
        </w:rPr>
        <w:t>letének rövid leírása: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Az állattenyésztő és állat-egészségügyi technikus képes a termelési, üzemeltetési folyamatok előkészít</w:t>
      </w:r>
      <w:r w:rsidRPr="00B561BF">
        <w:rPr>
          <w:color w:val="000000"/>
          <w:sz w:val="20"/>
          <w:szCs w:val="20"/>
        </w:rPr>
        <w:t>é</w:t>
      </w:r>
      <w:r w:rsidRPr="00B561BF">
        <w:rPr>
          <w:color w:val="000000"/>
          <w:sz w:val="20"/>
          <w:szCs w:val="20"/>
        </w:rPr>
        <w:t>sében és lebonyolításában önálló feladatok elvégzésére, középszintű vezetői, valamint magasabb igényű fizikai munkak</w:t>
      </w:r>
      <w:r w:rsidRPr="00B561BF">
        <w:rPr>
          <w:color w:val="000000"/>
          <w:sz w:val="20"/>
          <w:szCs w:val="20"/>
        </w:rPr>
        <w:t>ö</w:t>
      </w:r>
      <w:r w:rsidRPr="00B561BF">
        <w:rPr>
          <w:color w:val="000000"/>
          <w:sz w:val="20"/>
          <w:szCs w:val="20"/>
        </w:rPr>
        <w:t>rök ellátására. A piac igényeinek megfelelő minőségű, higiénikus, a környezet- és állatvédelmi előírások betart</w:t>
      </w:r>
      <w:r w:rsidRPr="00B561BF">
        <w:rPr>
          <w:color w:val="000000"/>
          <w:sz w:val="20"/>
          <w:szCs w:val="20"/>
        </w:rPr>
        <w:t>á</w:t>
      </w:r>
      <w:r w:rsidRPr="00B561BF">
        <w:rPr>
          <w:color w:val="000000"/>
          <w:sz w:val="20"/>
          <w:szCs w:val="20"/>
        </w:rPr>
        <w:t>sával készült állati eredetű termékeket állít elő, menedzseli a termelést. A mez</w:t>
      </w:r>
      <w:r w:rsidRPr="00B561BF">
        <w:rPr>
          <w:color w:val="000000"/>
          <w:sz w:val="20"/>
          <w:szCs w:val="20"/>
        </w:rPr>
        <w:t>ő</w:t>
      </w:r>
      <w:r w:rsidRPr="00B561BF">
        <w:rPr>
          <w:color w:val="000000"/>
          <w:sz w:val="20"/>
          <w:szCs w:val="20"/>
        </w:rPr>
        <w:t>gazdasági telepeken és családi gazdaságokban gazdasági állatok elhelyezésével, felnevelésével, hízlalásával, szaporításával foglalkozik. Go</w:t>
      </w:r>
      <w:r w:rsidRPr="00B561BF">
        <w:rPr>
          <w:color w:val="000000"/>
          <w:sz w:val="20"/>
          <w:szCs w:val="20"/>
        </w:rPr>
        <w:t>n</w:t>
      </w:r>
      <w:r w:rsidRPr="00B561BF">
        <w:rPr>
          <w:color w:val="000000"/>
          <w:sz w:val="20"/>
          <w:szCs w:val="20"/>
        </w:rPr>
        <w:t>doskodik az állatok elhelyezéséről, szervezi, elvégzi, ill. elv</w:t>
      </w:r>
      <w:r w:rsidRPr="00B561BF">
        <w:rPr>
          <w:color w:val="000000"/>
          <w:sz w:val="20"/>
          <w:szCs w:val="20"/>
        </w:rPr>
        <w:t>é</w:t>
      </w:r>
      <w:r w:rsidRPr="00B561BF">
        <w:rPr>
          <w:color w:val="000000"/>
          <w:sz w:val="20"/>
          <w:szCs w:val="20"/>
        </w:rPr>
        <w:t>gezteti az állattenyésztési munkákat. Ellenőrzi, karbantartja, üzemelteti az állattenyésztés gépeit, és az állattartó ép</w:t>
      </w:r>
      <w:r w:rsidRPr="00B561BF">
        <w:rPr>
          <w:color w:val="000000"/>
          <w:sz w:val="20"/>
          <w:szCs w:val="20"/>
        </w:rPr>
        <w:t>ü</w:t>
      </w:r>
      <w:r w:rsidRPr="00B561BF">
        <w:rPr>
          <w:color w:val="000000"/>
          <w:sz w:val="20"/>
          <w:szCs w:val="20"/>
        </w:rPr>
        <w:t xml:space="preserve">leteket. </w:t>
      </w:r>
    </w:p>
    <w:p w:rsidR="008D0A70" w:rsidRPr="00B561BF" w:rsidRDefault="008D0A70" w:rsidP="00B561BF">
      <w:pPr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Állat-egészségügyi ismereteinek birtokában gondoskodik az állatok szakszerű, higiénikus elhelyezéséről, feli</w:t>
      </w:r>
      <w:r w:rsidRPr="00B561BF">
        <w:rPr>
          <w:color w:val="000000"/>
          <w:sz w:val="20"/>
          <w:szCs w:val="20"/>
        </w:rPr>
        <w:t>s</w:t>
      </w:r>
      <w:r w:rsidRPr="00B561BF">
        <w:rPr>
          <w:color w:val="000000"/>
          <w:sz w:val="20"/>
          <w:szCs w:val="20"/>
        </w:rPr>
        <w:t>meri a beteg állatokat. Munkája során szoros kapcsolatot tart az állatorvossal. Segédkezik a betegvizsgálat, b</w:t>
      </w:r>
      <w:r w:rsidRPr="00B561BF">
        <w:rPr>
          <w:color w:val="000000"/>
          <w:sz w:val="20"/>
          <w:szCs w:val="20"/>
        </w:rPr>
        <w:t>e</w:t>
      </w:r>
      <w:r w:rsidRPr="00B561BF">
        <w:rPr>
          <w:color w:val="000000"/>
          <w:sz w:val="20"/>
          <w:szCs w:val="20"/>
        </w:rPr>
        <w:t>tegellátás, szűrővizsgálatok, kórboncolás, sebészeti, szaporodásbiológiai, járványvédelmi, élelmiszerhigiéniai és egyes hatósági feladatok végrehajtásában, valamint állatjóléti, állathigiéniai, pr</w:t>
      </w:r>
      <w:r w:rsidRPr="00B561BF">
        <w:rPr>
          <w:color w:val="000000"/>
          <w:sz w:val="20"/>
          <w:szCs w:val="20"/>
        </w:rPr>
        <w:t>e</w:t>
      </w:r>
      <w:r w:rsidRPr="00B561BF">
        <w:rPr>
          <w:color w:val="000000"/>
          <w:sz w:val="20"/>
          <w:szCs w:val="20"/>
        </w:rPr>
        <w:t>venciós feladatokat lát el.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A szakképesítéssel rendelkező képes:</w:t>
      </w:r>
    </w:p>
    <w:p w:rsidR="008D0A70" w:rsidRPr="00B561BF" w:rsidRDefault="008D0A70" w:rsidP="00B561BF">
      <w:pPr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piackutatáson alapulóan megte</w:t>
      </w:r>
      <w:r w:rsidRPr="00B561BF">
        <w:rPr>
          <w:color w:val="000000"/>
          <w:sz w:val="20"/>
          <w:szCs w:val="20"/>
        </w:rPr>
        <w:t>r</w:t>
      </w:r>
      <w:r w:rsidRPr="00B561BF">
        <w:rPr>
          <w:color w:val="000000"/>
          <w:sz w:val="20"/>
          <w:szCs w:val="20"/>
        </w:rPr>
        <w:t>vezni, elindítani a vállalkozását</w:t>
      </w:r>
    </w:p>
    <w:p w:rsidR="008D0A70" w:rsidRPr="00B561BF" w:rsidRDefault="008D0A70" w:rsidP="00B561BF">
      <w:pPr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pénzügyi tervezés, hitel és pályázati források biztosítása útján működtetni vállalkozását</w:t>
      </w:r>
    </w:p>
    <w:p w:rsidR="008D0A70" w:rsidRPr="00B561BF" w:rsidRDefault="008D0A70" w:rsidP="00B561BF">
      <w:pPr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anyagbeszerzési, készletezési és értékesítési tevékenységet folytatni</w:t>
      </w:r>
    </w:p>
    <w:p w:rsidR="008D0A70" w:rsidRPr="00B561BF" w:rsidRDefault="008D0A70" w:rsidP="00B561BF">
      <w:pPr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beállítani, ellenőrizni, karbantartani és üzemeltetni az állattenyésztésben használt gépeket</w:t>
      </w:r>
    </w:p>
    <w:p w:rsidR="008D0A70" w:rsidRPr="00B561BF" w:rsidRDefault="008D0A70" w:rsidP="00B561BF">
      <w:pPr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működtetni az állat-egészségügyi intézményekben használt gépeket, készülékeket</w:t>
      </w:r>
    </w:p>
    <w:p w:rsidR="008D0A70" w:rsidRPr="00B561BF" w:rsidRDefault="008D0A70" w:rsidP="00B561BF">
      <w:pPr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a fontosabb gazdasági állatfajok tartási, tenyésztési feladatait elvégezni</w:t>
      </w:r>
    </w:p>
    <w:p w:rsidR="008D0A70" w:rsidRPr="00B561BF" w:rsidRDefault="008D0A70" w:rsidP="00B561BF">
      <w:pPr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termék előállítással kapcsolatos feladatokat végezni</w:t>
      </w:r>
    </w:p>
    <w:p w:rsidR="008D0A70" w:rsidRPr="00B561BF" w:rsidRDefault="008D0A70" w:rsidP="00B561BF">
      <w:pPr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az állatokat okszerűen, optimálisan takarmányozni</w:t>
      </w:r>
    </w:p>
    <w:p w:rsidR="008D0A70" w:rsidRPr="00B561BF" w:rsidRDefault="008D0A70" w:rsidP="00B561BF">
      <w:pPr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állatjóléti és állathigiéniai feladatokat ellátni</w:t>
      </w:r>
    </w:p>
    <w:p w:rsidR="008D0A70" w:rsidRPr="00B561BF" w:rsidRDefault="008D0A70" w:rsidP="00B561BF">
      <w:pPr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az állatorvos diagnosztikai, terápiás, prevenciós munkájában segédkezni, utasításait önállóan végreha</w:t>
      </w:r>
      <w:r w:rsidRPr="00B561BF">
        <w:rPr>
          <w:color w:val="000000"/>
          <w:sz w:val="20"/>
          <w:szCs w:val="20"/>
        </w:rPr>
        <w:t>j</w:t>
      </w:r>
      <w:r w:rsidRPr="00B561BF">
        <w:rPr>
          <w:color w:val="000000"/>
          <w:sz w:val="20"/>
          <w:szCs w:val="20"/>
        </w:rPr>
        <w:t>tani</w:t>
      </w:r>
    </w:p>
    <w:p w:rsidR="008D0A70" w:rsidRPr="00B561BF" w:rsidRDefault="008D0A70" w:rsidP="00B561BF">
      <w:pPr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élelmiszer-higiéniai részfeladatokat elvégezni</w:t>
      </w:r>
    </w:p>
    <w:p w:rsidR="008D0A70" w:rsidRPr="00B561BF" w:rsidRDefault="008D0A70" w:rsidP="00B561BF">
      <w:pPr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napi és időszakos ellenőrzéseket végezni</w:t>
      </w:r>
    </w:p>
    <w:p w:rsidR="008D0A70" w:rsidRPr="00B561BF" w:rsidRDefault="008D0A70" w:rsidP="00B561BF">
      <w:pPr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az állattenyésztés és állategészségügy munka-, tűz- és környezetvédelmi feladatait ellátni</w:t>
      </w:r>
    </w:p>
    <w:p w:rsidR="008D0A70" w:rsidRPr="00B561BF" w:rsidRDefault="008D0A70" w:rsidP="00B561BF">
      <w:pPr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az állattenyésztési és állat-egészségügyi munkák tervezését, szervezését elvégezni</w:t>
      </w:r>
    </w:p>
    <w:p w:rsidR="008D0A70" w:rsidRPr="00B561BF" w:rsidRDefault="008D0A70" w:rsidP="00B561BF">
      <w:pPr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mezőgazdasági támogatásokat igényelni, munkáját megfelelően adminisztrálni, kommunikálni</w:t>
      </w:r>
    </w:p>
    <w:p w:rsidR="008D0A70" w:rsidRPr="00B561BF" w:rsidRDefault="008D0A70" w:rsidP="00B561BF">
      <w:pPr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a term</w:t>
      </w:r>
      <w:r w:rsidRPr="00B561BF">
        <w:rPr>
          <w:color w:val="000000"/>
          <w:sz w:val="20"/>
          <w:szCs w:val="20"/>
        </w:rPr>
        <w:t>e</w:t>
      </w:r>
      <w:r w:rsidRPr="00B561BF">
        <w:rPr>
          <w:color w:val="000000"/>
          <w:sz w:val="20"/>
          <w:szCs w:val="20"/>
        </w:rPr>
        <w:t>lési feladatokat ellátó személyeket, csoportokat irányítani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3.3. Kapcsolódó szakképesítések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9071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843"/>
        <w:gridCol w:w="2834"/>
        <w:gridCol w:w="3260"/>
      </w:tblGrid>
      <w:tr w:rsidR="008D0A70" w:rsidRPr="00B561BF" w:rsidTr="00C65F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C</w:t>
            </w:r>
          </w:p>
        </w:tc>
      </w:tr>
      <w:tr w:rsidR="008D0A70" w:rsidRPr="00B561BF" w:rsidTr="00C65F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61BF">
              <w:rPr>
                <w:b/>
                <w:color w:val="000000"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8D0A70" w:rsidRPr="00B561BF" w:rsidTr="00C65F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1BF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61BF">
              <w:rPr>
                <w:b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61BF">
              <w:rPr>
                <w:b/>
                <w:color w:val="000000"/>
                <w:sz w:val="20"/>
                <w:szCs w:val="20"/>
              </w:rPr>
              <w:t>a kapcsolódás módja</w:t>
            </w:r>
          </w:p>
        </w:tc>
      </w:tr>
      <w:tr w:rsidR="008D0A70" w:rsidRPr="00B561BF" w:rsidTr="00B561B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B561BF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B561BF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</w:tbl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561BF">
        <w:rPr>
          <w:b/>
          <w:iCs/>
          <w:color w:val="000000"/>
          <w:sz w:val="20"/>
          <w:szCs w:val="20"/>
        </w:rPr>
        <w:t>4. SZAKMAI KÖVETELMÉNYEK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843"/>
        <w:gridCol w:w="6061"/>
      </w:tblGrid>
      <w:tr w:rsidR="008D0A70" w:rsidRPr="00B561BF">
        <w:tc>
          <w:tcPr>
            <w:tcW w:w="1134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8D0A70" w:rsidRPr="00B561BF">
        <w:tc>
          <w:tcPr>
            <w:tcW w:w="1134" w:type="dxa"/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b/>
                <w:bCs/>
                <w:color w:val="000000"/>
                <w:sz w:val="20"/>
                <w:szCs w:val="20"/>
              </w:rPr>
              <w:t>A szakképesítés szakmai követelménymoduljainak az állam által elismert szakképesítések szakmai követe</w:t>
            </w:r>
            <w:r w:rsidRPr="00B561BF">
              <w:rPr>
                <w:b/>
                <w:bCs/>
                <w:color w:val="000000"/>
                <w:sz w:val="20"/>
                <w:szCs w:val="20"/>
              </w:rPr>
              <w:t>l</w:t>
            </w:r>
            <w:r w:rsidRPr="00B561BF">
              <w:rPr>
                <w:b/>
                <w:bCs/>
                <w:color w:val="000000"/>
                <w:sz w:val="20"/>
                <w:szCs w:val="20"/>
              </w:rPr>
              <w:t>ménymoduljairól szóló kormányrendelet szerinti</w:t>
            </w:r>
          </w:p>
        </w:tc>
      </w:tr>
      <w:tr w:rsidR="008D0A70" w:rsidRPr="00B561BF">
        <w:tc>
          <w:tcPr>
            <w:tcW w:w="1134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61BF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1BF">
              <w:rPr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</w:tr>
      <w:tr w:rsidR="008D0A70" w:rsidRPr="00B561BF" w:rsidTr="00602550">
        <w:tc>
          <w:tcPr>
            <w:tcW w:w="1134" w:type="dxa"/>
          </w:tcPr>
          <w:p w:rsidR="008D0A70" w:rsidRPr="00B561BF" w:rsidRDefault="008D0A70" w:rsidP="00B561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8D0A70" w:rsidRPr="00B561BF" w:rsidRDefault="008D0A70" w:rsidP="00B561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11498-12</w:t>
            </w:r>
          </w:p>
        </w:tc>
        <w:tc>
          <w:tcPr>
            <w:tcW w:w="6061" w:type="dxa"/>
          </w:tcPr>
          <w:p w:rsidR="008D0A70" w:rsidRPr="00B561BF" w:rsidRDefault="008D0A70" w:rsidP="00B561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Foglalkoztatás I.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érettségire épülő képzések esetén)</w:t>
            </w:r>
          </w:p>
        </w:tc>
      </w:tr>
      <w:tr w:rsidR="008D0A70" w:rsidRPr="00B561BF" w:rsidTr="00602550">
        <w:tc>
          <w:tcPr>
            <w:tcW w:w="1134" w:type="dxa"/>
          </w:tcPr>
          <w:p w:rsidR="008D0A70" w:rsidRPr="00B561BF" w:rsidRDefault="008D0A70" w:rsidP="00B561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8D0A70" w:rsidRPr="00B561BF" w:rsidRDefault="008D0A70" w:rsidP="00B561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11499-12</w:t>
            </w:r>
          </w:p>
        </w:tc>
        <w:tc>
          <w:tcPr>
            <w:tcW w:w="6061" w:type="dxa"/>
          </w:tcPr>
          <w:p w:rsidR="008D0A70" w:rsidRPr="00B561BF" w:rsidRDefault="008D0A70" w:rsidP="00B561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Foglalkoztatás II.</w:t>
            </w:r>
          </w:p>
        </w:tc>
      </w:tr>
      <w:tr w:rsidR="008D0A70" w:rsidRPr="00B561BF" w:rsidTr="00602550">
        <w:tc>
          <w:tcPr>
            <w:tcW w:w="1134" w:type="dxa"/>
          </w:tcPr>
          <w:p w:rsidR="008D0A70" w:rsidRPr="00B561BF" w:rsidRDefault="008D0A70" w:rsidP="00B561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8D0A70" w:rsidRPr="00B561BF" w:rsidRDefault="008D0A70" w:rsidP="00B561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11500-12</w:t>
            </w:r>
          </w:p>
        </w:tc>
        <w:tc>
          <w:tcPr>
            <w:tcW w:w="6061" w:type="dxa"/>
          </w:tcPr>
          <w:p w:rsidR="008D0A70" w:rsidRPr="00B561BF" w:rsidRDefault="008D0A70" w:rsidP="00B561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Munkahelyi egészség és biztonság</w:t>
            </w:r>
          </w:p>
        </w:tc>
      </w:tr>
      <w:tr w:rsidR="008D0A70" w:rsidRPr="00B561BF" w:rsidTr="00B47516">
        <w:tc>
          <w:tcPr>
            <w:tcW w:w="1134" w:type="dxa"/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843" w:type="dxa"/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11495-12</w:t>
            </w:r>
          </w:p>
        </w:tc>
        <w:tc>
          <w:tcPr>
            <w:tcW w:w="6061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Takarmányozástan  és általános állattenyésztés</w:t>
            </w:r>
          </w:p>
        </w:tc>
      </w:tr>
      <w:tr w:rsidR="008D0A70" w:rsidRPr="00B561BF" w:rsidTr="00B47516">
        <w:tc>
          <w:tcPr>
            <w:tcW w:w="1134" w:type="dxa"/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4.7.</w:t>
            </w:r>
          </w:p>
        </w:tc>
        <w:tc>
          <w:tcPr>
            <w:tcW w:w="1843" w:type="dxa"/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10957-12</w:t>
            </w:r>
          </w:p>
        </w:tc>
        <w:tc>
          <w:tcPr>
            <w:tcW w:w="6061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Állattenyésztés és állategészségügy műszaki alapjai</w:t>
            </w:r>
          </w:p>
        </w:tc>
      </w:tr>
      <w:tr w:rsidR="008D0A70" w:rsidRPr="00B561BF" w:rsidTr="00B47516">
        <w:tc>
          <w:tcPr>
            <w:tcW w:w="1134" w:type="dxa"/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4.8.</w:t>
            </w:r>
          </w:p>
        </w:tc>
        <w:tc>
          <w:tcPr>
            <w:tcW w:w="1843" w:type="dxa"/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10958-12</w:t>
            </w:r>
          </w:p>
        </w:tc>
        <w:tc>
          <w:tcPr>
            <w:tcW w:w="6061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Állategészségtan</w:t>
            </w:r>
          </w:p>
        </w:tc>
      </w:tr>
      <w:tr w:rsidR="008D0A70" w:rsidRPr="00B561BF" w:rsidTr="00B47516">
        <w:tc>
          <w:tcPr>
            <w:tcW w:w="1134" w:type="dxa"/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4.9.</w:t>
            </w:r>
          </w:p>
        </w:tc>
        <w:tc>
          <w:tcPr>
            <w:tcW w:w="1843" w:type="dxa"/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10959-12</w:t>
            </w:r>
          </w:p>
        </w:tc>
        <w:tc>
          <w:tcPr>
            <w:tcW w:w="6061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Állattenyésztés</w:t>
            </w:r>
          </w:p>
        </w:tc>
      </w:tr>
      <w:tr w:rsidR="008D0A70" w:rsidRPr="00B561BF" w:rsidTr="00B47516">
        <w:tc>
          <w:tcPr>
            <w:tcW w:w="1134" w:type="dxa"/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1843" w:type="dxa"/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10960-12</w:t>
            </w:r>
          </w:p>
        </w:tc>
        <w:tc>
          <w:tcPr>
            <w:tcW w:w="6061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Vállalkozási, kereskedelmi alapok</w:t>
            </w:r>
          </w:p>
        </w:tc>
      </w:tr>
    </w:tbl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561BF">
        <w:rPr>
          <w:b/>
          <w:color w:val="000000"/>
          <w:sz w:val="20"/>
          <w:szCs w:val="20"/>
        </w:rPr>
        <w:t>5. VIZSGÁZTATÁSI KÖVETELMÉNYEK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5.1. A komplex szakmai vizsgára bocsátás feltételei: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rFonts w:eastAsia="Times New Roman"/>
          <w:b/>
          <w:i/>
          <w:color w:val="000000"/>
          <w:sz w:val="20"/>
          <w:szCs w:val="20"/>
        </w:rPr>
      </w:pPr>
      <w:r w:rsidRPr="00B561BF">
        <w:rPr>
          <w:rFonts w:eastAsia="Times New Roman"/>
          <w:color w:val="000000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</w:t>
      </w:r>
      <w:r w:rsidRPr="00B561BF">
        <w:rPr>
          <w:rFonts w:eastAsia="Times New Roman"/>
          <w:b/>
          <w:i/>
          <w:color w:val="000000"/>
          <w:sz w:val="20"/>
          <w:szCs w:val="20"/>
        </w:rPr>
        <w:t>.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5.2. A modulzáró vizsga vizsgatevékenysége és az eredményesség feltétele: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8886" w:type="dxa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"/>
        <w:gridCol w:w="1888"/>
        <w:gridCol w:w="2033"/>
        <w:gridCol w:w="25"/>
        <w:gridCol w:w="3851"/>
      </w:tblGrid>
      <w:tr w:rsidR="008D0A70" w:rsidRPr="00B561BF" w:rsidTr="00C65FA1">
        <w:trPr>
          <w:jc w:val="center"/>
        </w:trPr>
        <w:tc>
          <w:tcPr>
            <w:tcW w:w="1089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033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3876" w:type="dxa"/>
            <w:gridSpan w:val="2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8D0A70" w:rsidRPr="00B561BF">
        <w:trPr>
          <w:jc w:val="center"/>
        </w:trPr>
        <w:tc>
          <w:tcPr>
            <w:tcW w:w="1089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4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1BF">
              <w:rPr>
                <w:b/>
                <w:bCs/>
                <w:color w:val="000000"/>
                <w:sz w:val="20"/>
                <w:szCs w:val="20"/>
              </w:rPr>
              <w:t>A szakképesítés szakmai követelménymoduljainak</w:t>
            </w:r>
          </w:p>
        </w:tc>
      </w:tr>
      <w:tr w:rsidR="008D0A70" w:rsidRPr="00B561BF">
        <w:trPr>
          <w:jc w:val="center"/>
        </w:trPr>
        <w:tc>
          <w:tcPr>
            <w:tcW w:w="1089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61BF">
              <w:rPr>
                <w:bCs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888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61BF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058" w:type="dxa"/>
            <w:gridSpan w:val="2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61BF">
              <w:rPr>
                <w:b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851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61BF">
              <w:rPr>
                <w:b/>
                <w:color w:val="000000"/>
                <w:sz w:val="20"/>
                <w:szCs w:val="20"/>
              </w:rPr>
              <w:t>a modulzáró vizsga vizsgatevékenysége</w:t>
            </w:r>
          </w:p>
        </w:tc>
      </w:tr>
      <w:tr w:rsidR="008D0A70" w:rsidRPr="00B561BF">
        <w:trPr>
          <w:jc w:val="center"/>
        </w:trPr>
        <w:tc>
          <w:tcPr>
            <w:tcW w:w="1089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888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61BF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8" w:type="dxa"/>
            <w:gridSpan w:val="2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61BF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1" w:type="dxa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561BF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</w:tbl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5.3. A komplex szakmai vizsga vizsgatevékenységei és vizsgafeladatai: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5.3.1. Gyakorlati vizsgatevékenység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A vizsgafeladat megnevezése: Állattenyésztési, takarmányozási és állat-egészségügyi feladat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 xml:space="preserve">A vizsgafeladat ismertetése: </w:t>
      </w: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B561BF">
        <w:rPr>
          <w:rFonts w:eastAsia="Times New Roman"/>
          <w:color w:val="000000"/>
          <w:sz w:val="20"/>
          <w:szCs w:val="20"/>
        </w:rPr>
        <w:t>Felismerési feladat:</w:t>
      </w:r>
    </w:p>
    <w:p w:rsidR="008D0A70" w:rsidRPr="00B561BF" w:rsidRDefault="008D0A70" w:rsidP="00B561BF">
      <w:pPr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A takarmányok felismerése</w:t>
      </w:r>
    </w:p>
    <w:p w:rsidR="008D0A70" w:rsidRPr="00B561BF" w:rsidRDefault="008D0A70" w:rsidP="00B561BF">
      <w:pPr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A gyakoribb állatfajták, hibridek felismerése</w:t>
      </w:r>
    </w:p>
    <w:p w:rsidR="008D0A70" w:rsidRPr="00B561BF" w:rsidRDefault="008D0A70" w:rsidP="00B561BF">
      <w:pPr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Az állati szervezet anatómiai felépítésének felismerése (csontok, testtájak, szervek, szervrendszerek, k</w:t>
      </w:r>
      <w:r w:rsidRPr="00B561BF">
        <w:rPr>
          <w:color w:val="000000"/>
          <w:sz w:val="20"/>
          <w:szCs w:val="20"/>
        </w:rPr>
        <w:t>é</w:t>
      </w:r>
      <w:r w:rsidRPr="00B561BF">
        <w:rPr>
          <w:color w:val="000000"/>
          <w:sz w:val="20"/>
          <w:szCs w:val="20"/>
        </w:rPr>
        <w:t>szülékek)</w:t>
      </w:r>
    </w:p>
    <w:p w:rsidR="008D0A70" w:rsidRPr="00B561BF" w:rsidRDefault="008D0A70" w:rsidP="00B561BF">
      <w:pPr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A fontosabb, gyakrabban használt gyógyszerek felismerése</w:t>
      </w:r>
    </w:p>
    <w:p w:rsidR="008D0A70" w:rsidRPr="00B561BF" w:rsidRDefault="008D0A70" w:rsidP="00B561BF">
      <w:pPr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 xml:space="preserve">Az állattenyésztés és állategészségügy eszközeinek, anyagainak, műszereinek felismerése, </w:t>
      </w:r>
    </w:p>
    <w:p w:rsidR="008D0A70" w:rsidRPr="00B561BF" w:rsidRDefault="008D0A70" w:rsidP="00B561BF">
      <w:pPr>
        <w:autoSpaceDE w:val="0"/>
        <w:autoSpaceDN w:val="0"/>
        <w:adjustRightInd w:val="0"/>
        <w:ind w:left="720" w:hanging="36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(időtartama: 10 perc, aránya: 10 %)</w:t>
      </w: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rFonts w:eastAsia="Times New Roman"/>
          <w:color w:val="000000"/>
          <w:sz w:val="20"/>
          <w:szCs w:val="20"/>
        </w:rPr>
        <w:t>Állat-egészségügyi manuális feladatok:</w:t>
      </w:r>
    </w:p>
    <w:p w:rsidR="008D0A70" w:rsidRPr="00B561BF" w:rsidRDefault="008D0A70" w:rsidP="00B561BF">
      <w:pPr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Optimális elhelyezés és mikroklíma kialakítása</w:t>
      </w:r>
    </w:p>
    <w:p w:rsidR="008D0A70" w:rsidRPr="00B561BF" w:rsidRDefault="008D0A70" w:rsidP="00B561BF">
      <w:pPr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Mintavételezés, kiegészítő vizsgálatok végzése, előkészítése, laboratóriumi vizsgálatok</w:t>
      </w:r>
    </w:p>
    <w:p w:rsidR="008D0A70" w:rsidRPr="00B561BF" w:rsidRDefault="008D0A70" w:rsidP="00B561BF">
      <w:pPr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Segédkezés, segítségnyújtás</w:t>
      </w:r>
    </w:p>
    <w:p w:rsidR="008D0A70" w:rsidRPr="00B561BF" w:rsidRDefault="008D0A70" w:rsidP="00B561BF">
      <w:pPr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Egyszerűbb kezelések, beavatkozások, életmentő beavatkozások, elsősegélynyújtás, állatápolás</w:t>
      </w:r>
    </w:p>
    <w:p w:rsidR="008D0A70" w:rsidRPr="00B561BF" w:rsidRDefault="008D0A70" w:rsidP="00B561BF">
      <w:pPr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Takarítás, fertőtlenítés, sterilezés</w:t>
      </w:r>
    </w:p>
    <w:p w:rsidR="008D0A70" w:rsidRPr="00B561BF" w:rsidRDefault="008D0A70" w:rsidP="00B561BF">
      <w:pPr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Az állatvédelmi és állatjóléti előírások betartásának ellenőrzése</w:t>
      </w:r>
    </w:p>
    <w:p w:rsidR="008D0A70" w:rsidRPr="00B561BF" w:rsidRDefault="008D0A70" w:rsidP="00B561BF">
      <w:pPr>
        <w:ind w:left="360"/>
        <w:jc w:val="both"/>
        <w:rPr>
          <w:color w:val="000000"/>
          <w:sz w:val="20"/>
          <w:szCs w:val="20"/>
        </w:rPr>
      </w:pPr>
      <w:r w:rsidRPr="00B561BF" w:rsidDel="00A861A5">
        <w:rPr>
          <w:color w:val="000000"/>
          <w:sz w:val="20"/>
          <w:szCs w:val="20"/>
        </w:rPr>
        <w:t xml:space="preserve"> </w:t>
      </w:r>
      <w:r w:rsidRPr="00B561BF">
        <w:rPr>
          <w:color w:val="000000"/>
          <w:sz w:val="20"/>
          <w:szCs w:val="20"/>
        </w:rPr>
        <w:t>(időtartama: 30 perc, aránya: 20 %)</w:t>
      </w: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B561BF">
        <w:rPr>
          <w:rFonts w:eastAsia="Times New Roman"/>
          <w:color w:val="000000"/>
          <w:sz w:val="20"/>
          <w:szCs w:val="20"/>
        </w:rPr>
        <w:t>Állattenyésztési, takarmányozási feladatok:</w:t>
      </w:r>
    </w:p>
    <w:p w:rsidR="008D0A70" w:rsidRPr="00B561BF" w:rsidRDefault="008D0A70" w:rsidP="00B561BF">
      <w:pPr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A gazdasági állatok felnevelésével, takarmányozásával, elhelyezésével, gondozásával, nemesítésével, szaporításával, termelésével kapcsolatos feladat (a feladat jellegének megfelelő gépekkel, eszközökkel)</w:t>
      </w:r>
    </w:p>
    <w:p w:rsidR="008D0A70" w:rsidRPr="00B561BF" w:rsidRDefault="008D0A70" w:rsidP="00B561BF">
      <w:pPr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Állattenyésztési és -tartási munkák szervezése</w:t>
      </w:r>
    </w:p>
    <w:p w:rsidR="008D0A70" w:rsidRPr="00B561BF" w:rsidRDefault="008D0A70" w:rsidP="00B561BF">
      <w:pPr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Állattenyésztő munkák adminisztrációja, szakmai szoftverek használata</w:t>
      </w: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(időtartama: 30 perc, aránya: 20 %)</w:t>
      </w: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B561BF">
        <w:rPr>
          <w:rFonts w:eastAsia="Times New Roman"/>
          <w:color w:val="000000"/>
          <w:sz w:val="20"/>
          <w:szCs w:val="20"/>
        </w:rPr>
        <w:t>Gazdasági számítási feladat:</w:t>
      </w:r>
    </w:p>
    <w:p w:rsidR="008D0A70" w:rsidRPr="00B561BF" w:rsidRDefault="008D0A70" w:rsidP="00B561BF">
      <w:pPr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Állattenyésztéssel kapcsolatos számítások végzése</w:t>
      </w: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(időtartama: 20 perc, aránya: 10 %)</w:t>
      </w: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A vizsgafeladat időtartama: 90 perc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A vizsgafeladat értékelési súlyaránya: 60%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5.3.2. Központi írásbeli vizsgatevékenység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b/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A vizsgafeladat megnevezése: Központilag összeállított komplex írásbeli feladat megoldása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pStyle w:val="BodyText3"/>
        <w:tabs>
          <w:tab w:val="left" w:pos="540"/>
        </w:tabs>
        <w:spacing w:before="0"/>
        <w:rPr>
          <w:color w:val="000000"/>
          <w:sz w:val="20"/>
        </w:rPr>
      </w:pPr>
      <w:r w:rsidRPr="00B561BF">
        <w:rPr>
          <w:iCs/>
          <w:color w:val="000000"/>
          <w:sz w:val="20"/>
        </w:rPr>
        <w:t xml:space="preserve">A vizsgafeladat ismertetése: </w:t>
      </w:r>
    </w:p>
    <w:p w:rsidR="008D0A70" w:rsidRPr="00B561BF" w:rsidRDefault="008D0A70" w:rsidP="00B561BF">
      <w:pPr>
        <w:pStyle w:val="BodyText3"/>
        <w:tabs>
          <w:tab w:val="left" w:pos="540"/>
        </w:tabs>
        <w:spacing w:before="0"/>
        <w:rPr>
          <w:color w:val="000000"/>
          <w:sz w:val="20"/>
        </w:rPr>
      </w:pPr>
      <w:r w:rsidRPr="00B561BF">
        <w:rPr>
          <w:color w:val="000000"/>
          <w:sz w:val="20"/>
        </w:rPr>
        <w:t>Az írásbeli egy 50 pontos esszé kérdés és egy 50 pontos feladatlap megoldásából áll. Az írásbeli feladatban közel azonos arányban szerepel az állattenyésztési és az állat-egészségügyi szakt</w:t>
      </w:r>
      <w:r w:rsidRPr="00B561BF">
        <w:rPr>
          <w:color w:val="000000"/>
          <w:sz w:val="20"/>
        </w:rPr>
        <w:t>e</w:t>
      </w:r>
      <w:r w:rsidRPr="00B561BF">
        <w:rPr>
          <w:color w:val="000000"/>
          <w:sz w:val="20"/>
        </w:rPr>
        <w:t xml:space="preserve">rület. </w:t>
      </w:r>
    </w:p>
    <w:p w:rsidR="008D0A70" w:rsidRPr="00B561BF" w:rsidRDefault="008D0A70" w:rsidP="00B561BF">
      <w:pPr>
        <w:pStyle w:val="BodyText3"/>
        <w:spacing w:before="0"/>
        <w:rPr>
          <w:color w:val="000000"/>
          <w:sz w:val="20"/>
        </w:rPr>
      </w:pPr>
    </w:p>
    <w:p w:rsidR="008D0A70" w:rsidRPr="00B561BF" w:rsidRDefault="008D0A70" w:rsidP="00B561BF">
      <w:pPr>
        <w:pStyle w:val="BodyText3"/>
        <w:spacing w:before="0"/>
        <w:rPr>
          <w:color w:val="000000"/>
          <w:sz w:val="20"/>
        </w:rPr>
      </w:pPr>
      <w:r w:rsidRPr="00B561BF">
        <w:rPr>
          <w:color w:val="000000"/>
          <w:sz w:val="20"/>
        </w:rPr>
        <w:t>Az esszé feladat két modul ismereteit tartalmazza:</w:t>
      </w:r>
    </w:p>
    <w:p w:rsidR="008D0A70" w:rsidRPr="00B561BF" w:rsidRDefault="008D0A70" w:rsidP="00B561BF">
      <w:pPr>
        <w:numPr>
          <w:ilvl w:val="0"/>
          <w:numId w:val="26"/>
        </w:numPr>
        <w:tabs>
          <w:tab w:val="clear" w:pos="720"/>
        </w:tabs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 xml:space="preserve">állattenyésztés </w:t>
      </w:r>
    </w:p>
    <w:p w:rsidR="008D0A70" w:rsidRPr="00B561BF" w:rsidRDefault="008D0A70" w:rsidP="00B561BF">
      <w:pPr>
        <w:numPr>
          <w:ilvl w:val="0"/>
          <w:numId w:val="26"/>
        </w:numPr>
        <w:tabs>
          <w:tab w:val="clear" w:pos="720"/>
        </w:tabs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állategészségtan</w:t>
      </w: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A feladatlap különböző típusú nyílt és zárt feladatokat tartalmaz és az alábbi modulok ism</w:t>
      </w:r>
      <w:r w:rsidRPr="00B561BF">
        <w:rPr>
          <w:color w:val="000000"/>
          <w:sz w:val="20"/>
          <w:szCs w:val="20"/>
        </w:rPr>
        <w:t>e</w:t>
      </w:r>
      <w:r w:rsidRPr="00B561BF">
        <w:rPr>
          <w:color w:val="000000"/>
          <w:sz w:val="20"/>
          <w:szCs w:val="20"/>
        </w:rPr>
        <w:t>retanyagát öleli fel:</w:t>
      </w:r>
    </w:p>
    <w:p w:rsidR="008D0A70" w:rsidRPr="00B561BF" w:rsidRDefault="008D0A70" w:rsidP="00B561BF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 xml:space="preserve">takarmányozástan </w:t>
      </w:r>
      <w:r w:rsidRPr="00B561BF">
        <w:rPr>
          <w:bCs/>
          <w:color w:val="000000"/>
          <w:sz w:val="20"/>
          <w:szCs w:val="20"/>
        </w:rPr>
        <w:t>és általános állattenyésztés</w:t>
      </w:r>
    </w:p>
    <w:p w:rsidR="008D0A70" w:rsidRPr="00B561BF" w:rsidRDefault="008D0A70" w:rsidP="00B561BF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állategészségtan</w:t>
      </w:r>
    </w:p>
    <w:p w:rsidR="008D0A70" w:rsidRPr="00B561BF" w:rsidRDefault="008D0A70" w:rsidP="00B561BF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 xml:space="preserve">állattenyésztés </w:t>
      </w:r>
    </w:p>
    <w:p w:rsidR="008D0A70" w:rsidRPr="00B561BF" w:rsidRDefault="008D0A70" w:rsidP="00B561BF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360" w:firstLine="0"/>
        <w:jc w:val="both"/>
        <w:rPr>
          <w:color w:val="000000"/>
          <w:sz w:val="20"/>
          <w:szCs w:val="20"/>
        </w:rPr>
      </w:pPr>
      <w:r w:rsidRPr="00B561BF">
        <w:rPr>
          <w:bCs/>
          <w:color w:val="000000"/>
          <w:sz w:val="20"/>
          <w:szCs w:val="20"/>
        </w:rPr>
        <w:t>vállalkozási, kereskedelmi alapok</w:t>
      </w: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 xml:space="preserve">A vizsgafeladat időtartama: </w:t>
      </w:r>
      <w:r w:rsidRPr="00B561BF">
        <w:rPr>
          <w:color w:val="000000"/>
          <w:sz w:val="20"/>
          <w:szCs w:val="20"/>
        </w:rPr>
        <w:t>180 perc</w:t>
      </w: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A vizsgafeladat értékelési súlyaránya: 20%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 xml:space="preserve">5.3.3. Szóbeli vizsgatevékenység 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A vizsgafeladat megnevezése: Válaszadás a vizsgakövetelmények alapján összeállított, előre kiadott tételsoro</w:t>
      </w:r>
      <w:r w:rsidRPr="00B561BF">
        <w:rPr>
          <w:iCs/>
          <w:color w:val="000000"/>
          <w:sz w:val="20"/>
          <w:szCs w:val="20"/>
        </w:rPr>
        <w:t>k</w:t>
      </w:r>
      <w:r w:rsidRPr="00B561BF">
        <w:rPr>
          <w:iCs/>
          <w:color w:val="000000"/>
          <w:sz w:val="20"/>
          <w:szCs w:val="20"/>
        </w:rPr>
        <w:t>ból húzott kérdésekre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 xml:space="preserve">A vizsgafeladat ismertetése: 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A szóbeli vizsgatevékenység központilag összeállított vizsgakérdései a 4. Szakmai követelmények fejezetben szereplő szakmai követelménymodulok témakörei közül a „</w:t>
      </w:r>
      <w:r w:rsidRPr="00B561BF">
        <w:rPr>
          <w:i/>
          <w:color w:val="000000"/>
          <w:sz w:val="20"/>
          <w:szCs w:val="20"/>
        </w:rPr>
        <w:t>Takarmányozástan</w:t>
      </w:r>
      <w:r w:rsidRPr="00B561BF">
        <w:rPr>
          <w:bCs/>
          <w:color w:val="000000"/>
          <w:sz w:val="20"/>
          <w:szCs w:val="20"/>
        </w:rPr>
        <w:t xml:space="preserve"> </w:t>
      </w:r>
      <w:r w:rsidRPr="00B561BF">
        <w:rPr>
          <w:bCs/>
          <w:i/>
          <w:color w:val="000000"/>
          <w:sz w:val="20"/>
          <w:szCs w:val="20"/>
        </w:rPr>
        <w:t>és általános állattenyésztés</w:t>
      </w:r>
      <w:r w:rsidRPr="00B561BF">
        <w:rPr>
          <w:i/>
          <w:color w:val="000000"/>
          <w:sz w:val="20"/>
          <w:szCs w:val="20"/>
        </w:rPr>
        <w:t>”,</w:t>
      </w:r>
      <w:r w:rsidRPr="00B561BF">
        <w:rPr>
          <w:color w:val="000000"/>
          <w:sz w:val="20"/>
          <w:szCs w:val="20"/>
        </w:rPr>
        <w:t xml:space="preserve"> az </w:t>
      </w:r>
      <w:r w:rsidRPr="00B561BF">
        <w:rPr>
          <w:i/>
          <w:color w:val="000000"/>
          <w:sz w:val="20"/>
          <w:szCs w:val="20"/>
        </w:rPr>
        <w:t>„Állategészségtan”,</w:t>
      </w:r>
      <w:r w:rsidRPr="00B561BF">
        <w:rPr>
          <w:color w:val="000000"/>
          <w:sz w:val="20"/>
          <w:szCs w:val="20"/>
        </w:rPr>
        <w:t xml:space="preserve"> és az </w:t>
      </w:r>
      <w:r w:rsidRPr="00B561BF">
        <w:rPr>
          <w:i/>
          <w:color w:val="000000"/>
          <w:sz w:val="20"/>
          <w:szCs w:val="20"/>
        </w:rPr>
        <w:t>„Állattenyésztés”</w:t>
      </w:r>
      <w:r w:rsidRPr="00B561BF">
        <w:rPr>
          <w:color w:val="000000"/>
          <w:sz w:val="20"/>
          <w:szCs w:val="20"/>
        </w:rPr>
        <w:t xml:space="preserve"> követelménymodulok ismereteit </w:t>
      </w:r>
      <w:r w:rsidRPr="00B561BF">
        <w:rPr>
          <w:iCs/>
          <w:color w:val="000000"/>
          <w:sz w:val="20"/>
          <w:szCs w:val="20"/>
        </w:rPr>
        <w:t>tartalmazzák.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A vizsgafeladat időtartama: 60 perc (felkészülési idő 30 perc, válaszadási idő 30 perc)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A vizsgafeladat értékelési súlyaránya: 20%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 xml:space="preserve">A szakképesítéssel kapcsolatos előírások az állami szakképzési és felnőttképzési szerv </w:t>
      </w:r>
      <w:hyperlink r:id="rId7" w:history="1">
        <w:r w:rsidRPr="00B561BF">
          <w:rPr>
            <w:rStyle w:val="Hyperlink"/>
            <w:iCs/>
            <w:color w:val="000000"/>
            <w:sz w:val="20"/>
            <w:szCs w:val="20"/>
          </w:rPr>
          <w:t>http://www.munka.hu/</w:t>
        </w:r>
      </w:hyperlink>
      <w:r w:rsidRPr="00B561BF">
        <w:rPr>
          <w:iCs/>
          <w:color w:val="000000"/>
          <w:sz w:val="20"/>
          <w:szCs w:val="20"/>
        </w:rPr>
        <w:t xml:space="preserve"> című weblapján érhetők el a Szak- és felnőttképzés Vizsgák menüpontjában.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B561BF">
        <w:rPr>
          <w:iCs/>
          <w:color w:val="000000"/>
          <w:sz w:val="20"/>
          <w:szCs w:val="20"/>
        </w:rPr>
        <w:t>5.5. A szakmai vizsga értékelésének a szakmai vizsgaszabályzattól eltérő szempontjai: -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561BF">
        <w:rPr>
          <w:b/>
          <w:iCs/>
          <w:color w:val="000000"/>
          <w:sz w:val="20"/>
          <w:szCs w:val="20"/>
        </w:rPr>
        <w:t xml:space="preserve">6. </w:t>
      </w:r>
      <w:r w:rsidRPr="00B561BF">
        <w:rPr>
          <w:b/>
          <w:iCs/>
          <w:caps/>
          <w:color w:val="000000"/>
          <w:sz w:val="20"/>
          <w:szCs w:val="20"/>
        </w:rPr>
        <w:t>eszköz- és felszerelési jegyzék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35"/>
        <w:gridCol w:w="7947"/>
      </w:tblGrid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61BF">
              <w:rPr>
                <w:b/>
                <w:color w:val="000000"/>
                <w:sz w:val="20"/>
                <w:szCs w:val="20"/>
              </w:rPr>
              <w:t>A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61BF">
              <w:rPr>
                <w:b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Preparátumok, modellek, makettek, metszetek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Alapfelszereltségű természettudományos laboratórium, laboratóriumi eszközök, anyagok, vegyszerek tej- és laboratóriumi minták vizsgálatához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Mintavétel eszközei (takarmány, bélsár, vér, vizelet, bőrkaparék, citológiai, szövettani, bakteriológiai vizsgálathoz)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Boncoló helyiség, bonceszközök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Betegvizsgálat és betegkezelés eszközei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6.7.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Tőgygyulladás-vizsgálat eszközei, anyagai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6.8.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Mikroklíma-vizsgálat eszközei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6.9.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Állatrögzítés eszközei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Sebkezelés eszközei, anyagai, sebészeti műszerek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Szülészeti és szaporodásbiológiai eszközök, a mesterséges termékenyítés eszközei, anyagai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Gépüzemeltetéshez szükséges szerszámok, eszközök, anyagok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6.13.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Kézi és gépi anyagmozgatás eszközei, anyagai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6.14.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Mérleg, hídmérleg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6.15.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Szarvasmarha, ló, juh, sertés, baromfi istállója állatokkal és műszaki felszereléssel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6.16.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Legelő, karám és berendezései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6.17.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Tisztítás, fertőtlenítés, sterilezés eszközei, anyagai, felszerelései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6.18.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Állatápolás, elletés/fiaztatás, egyedi megjelölés eszközei, anyagai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6.19.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Fejés és tejkezelés gépei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6.20.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Tojáskezelés eszközei, gépei, anyagai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6.21.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Takarmányozás eszközei, gépei, anyagai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6.22.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Takarmánytárolás eszközei, gépei, anyagai, helyszíne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6.23.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Trágyakihordás eszközei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6.24.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Trágyatároló tér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6.25.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Tűzoltó anyagok, készülékek és eszközök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6.26.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Egyéni védőeszközök, elsősegélynyújtó anyagok, eszközök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6.27.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Irodahelyiség, irodai anyagok és eszközök (számítógép, nyomtató, fénymásoló, szkenner, telefon, fax, stb.)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6.28.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Internetelérés és szoftverek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6.29.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Bizonylatok, gépkönyvek, nyilvántartások</w:t>
            </w:r>
          </w:p>
        </w:tc>
      </w:tr>
      <w:tr w:rsidR="008D0A70" w:rsidRPr="00B561B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jc w:val="center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6.30.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70" w:rsidRPr="00B561BF" w:rsidRDefault="008D0A70" w:rsidP="00B561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1BF">
              <w:rPr>
                <w:color w:val="000000"/>
                <w:sz w:val="20"/>
                <w:szCs w:val="20"/>
              </w:rPr>
              <w:t>Szakirodalom (könyvek, folyóiratok, prospektusok, stb.)</w:t>
            </w:r>
          </w:p>
        </w:tc>
      </w:tr>
    </w:tbl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  <w:r w:rsidRPr="00B561BF">
        <w:rPr>
          <w:b/>
          <w:iCs/>
          <w:color w:val="000000"/>
          <w:sz w:val="20"/>
          <w:szCs w:val="20"/>
        </w:rPr>
        <w:t>7. EGYEBEK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61BF">
        <w:rPr>
          <w:color w:val="000000"/>
          <w:sz w:val="20"/>
          <w:szCs w:val="20"/>
        </w:rPr>
        <w:t>A 2 éves képzési idő ágazati szakmai érettségi megléte esetén (a megfelelő szakmai tartalmak alsóbb évfolya</w:t>
      </w:r>
      <w:r w:rsidRPr="00B561BF">
        <w:rPr>
          <w:color w:val="000000"/>
          <w:sz w:val="20"/>
          <w:szCs w:val="20"/>
        </w:rPr>
        <w:t>m</w:t>
      </w:r>
      <w:r w:rsidRPr="00B561BF">
        <w:rPr>
          <w:color w:val="000000"/>
          <w:sz w:val="20"/>
          <w:szCs w:val="20"/>
        </w:rPr>
        <w:t>ok tananyagába történő integrálásával) 1 éves időtartamra csökkenthető.</w:t>
      </w: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0A70" w:rsidRPr="00B561BF" w:rsidRDefault="008D0A70" w:rsidP="00B561BF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B561BF">
        <w:rPr>
          <w:bCs/>
          <w:color w:val="000000"/>
          <w:sz w:val="20"/>
          <w:szCs w:val="20"/>
        </w:rPr>
        <w:t>A szakképzésről szóló 2011. évi CLXXXVII. törvény 2. §-ának rendelkezése alapján a Gazda és a Lovász sza</w:t>
      </w:r>
      <w:r w:rsidRPr="00B561BF">
        <w:rPr>
          <w:bCs/>
          <w:color w:val="000000"/>
          <w:sz w:val="20"/>
          <w:szCs w:val="20"/>
        </w:rPr>
        <w:t>k</w:t>
      </w:r>
      <w:r w:rsidRPr="00B561BF">
        <w:rPr>
          <w:bCs/>
          <w:color w:val="000000"/>
          <w:sz w:val="20"/>
          <w:szCs w:val="20"/>
        </w:rPr>
        <w:t xml:space="preserve">képesítés birtokában megkezdett Állattenyésztő és állat-egészségügyi technikus képzés </w:t>
      </w:r>
      <w:r w:rsidRPr="00B561BF">
        <w:rPr>
          <w:color w:val="000000"/>
          <w:sz w:val="20"/>
          <w:szCs w:val="20"/>
        </w:rPr>
        <w:t>nem számít második szakképesítésnek, mivel a képzés a meglévő szakképesítéssel betölthető munkakör magasabb színvonalon való ellátását biztosítja.</w:t>
      </w:r>
    </w:p>
    <w:p w:rsidR="008D0A70" w:rsidRPr="00B561BF" w:rsidRDefault="008D0A70" w:rsidP="00B561B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sectPr w:rsidR="008D0A70" w:rsidRPr="00B561BF" w:rsidSect="0069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A70" w:rsidRDefault="008D0A70" w:rsidP="00E24035">
      <w:r>
        <w:separator/>
      </w:r>
    </w:p>
  </w:endnote>
  <w:endnote w:type="continuationSeparator" w:id="0">
    <w:p w:rsidR="008D0A70" w:rsidRDefault="008D0A70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A70" w:rsidRDefault="008D0A70" w:rsidP="00E24035">
      <w:r>
        <w:separator/>
      </w:r>
    </w:p>
  </w:footnote>
  <w:footnote w:type="continuationSeparator" w:id="0">
    <w:p w:rsidR="008D0A70" w:rsidRDefault="008D0A70" w:rsidP="00E24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306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C0D7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58C7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3C4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C2E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E279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6F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ACB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980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DA2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529FF"/>
    <w:multiLevelType w:val="multilevel"/>
    <w:tmpl w:val="CAD6F87C"/>
    <w:lvl w:ilvl="0"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2">
    <w:nsid w:val="214C2628"/>
    <w:multiLevelType w:val="multilevel"/>
    <w:tmpl w:val="E85CBFC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1842F7"/>
    <w:multiLevelType w:val="hybridMultilevel"/>
    <w:tmpl w:val="8D441264"/>
    <w:lvl w:ilvl="0" w:tplc="DC3222D2"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4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3B32DF"/>
    <w:multiLevelType w:val="multilevel"/>
    <w:tmpl w:val="DEAE72E2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16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7">
    <w:nsid w:val="5C613BB2"/>
    <w:multiLevelType w:val="multilevel"/>
    <w:tmpl w:val="8D441264"/>
    <w:lvl w:ilvl="0"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8">
    <w:nsid w:val="5C9E56DB"/>
    <w:multiLevelType w:val="hybridMultilevel"/>
    <w:tmpl w:val="CAD6F87C"/>
    <w:lvl w:ilvl="0" w:tplc="DC3222D2"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9">
    <w:nsid w:val="658616D2"/>
    <w:multiLevelType w:val="hybridMultilevel"/>
    <w:tmpl w:val="6574830C"/>
    <w:lvl w:ilvl="0" w:tplc="DC3222D2"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D6D8BED0">
      <w:numFmt w:val="bullet"/>
      <w:lvlText w:val="-"/>
      <w:lvlJc w:val="left"/>
      <w:pPr>
        <w:tabs>
          <w:tab w:val="num" w:pos="1440"/>
        </w:tabs>
        <w:ind w:left="1400" w:hanging="32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0">
    <w:nsid w:val="69D14D92"/>
    <w:multiLevelType w:val="hybridMultilevel"/>
    <w:tmpl w:val="63D6A5C2"/>
    <w:lvl w:ilvl="0" w:tplc="DC3222D2"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D6D8BED0">
      <w:numFmt w:val="bullet"/>
      <w:lvlText w:val="-"/>
      <w:lvlJc w:val="left"/>
      <w:pPr>
        <w:tabs>
          <w:tab w:val="num" w:pos="1440"/>
        </w:tabs>
        <w:ind w:left="1400" w:hanging="32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1">
    <w:nsid w:val="6E353299"/>
    <w:multiLevelType w:val="hybridMultilevel"/>
    <w:tmpl w:val="CD48F538"/>
    <w:lvl w:ilvl="0" w:tplc="705E3E06">
      <w:start w:val="1"/>
      <w:numFmt w:val="upperLetter"/>
      <w:lvlText w:val="%1.)"/>
      <w:lvlJc w:val="left"/>
      <w:pPr>
        <w:ind w:left="25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>
    <w:nsid w:val="6F4A2A17"/>
    <w:multiLevelType w:val="hybridMultilevel"/>
    <w:tmpl w:val="FEA0092E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6D8BED0">
      <w:numFmt w:val="bullet"/>
      <w:lvlText w:val="-"/>
      <w:lvlJc w:val="left"/>
      <w:pPr>
        <w:tabs>
          <w:tab w:val="num" w:pos="1440"/>
        </w:tabs>
        <w:ind w:left="1400" w:hanging="32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73F23"/>
    <w:multiLevelType w:val="hybridMultilevel"/>
    <w:tmpl w:val="06D20F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8F04F2"/>
    <w:multiLevelType w:val="multilevel"/>
    <w:tmpl w:val="DADE0B7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16"/>
  </w:num>
  <w:num w:numId="5">
    <w:abstractNumId w:val="15"/>
  </w:num>
  <w:num w:numId="6">
    <w:abstractNumId w:val="23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22"/>
  </w:num>
  <w:num w:numId="20">
    <w:abstractNumId w:val="18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2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264AF"/>
    <w:rsid w:val="00027301"/>
    <w:rsid w:val="00042597"/>
    <w:rsid w:val="00063EDF"/>
    <w:rsid w:val="00075892"/>
    <w:rsid w:val="0008240C"/>
    <w:rsid w:val="00092629"/>
    <w:rsid w:val="00093033"/>
    <w:rsid w:val="00096416"/>
    <w:rsid w:val="000A4449"/>
    <w:rsid w:val="000D4D87"/>
    <w:rsid w:val="000F679C"/>
    <w:rsid w:val="0012265E"/>
    <w:rsid w:val="001307B1"/>
    <w:rsid w:val="00137B0E"/>
    <w:rsid w:val="001537C7"/>
    <w:rsid w:val="00166022"/>
    <w:rsid w:val="00172AB6"/>
    <w:rsid w:val="00190180"/>
    <w:rsid w:val="001B0BF0"/>
    <w:rsid w:val="001B668D"/>
    <w:rsid w:val="001B6E2A"/>
    <w:rsid w:val="001B7FA0"/>
    <w:rsid w:val="001C2FCE"/>
    <w:rsid w:val="001C3793"/>
    <w:rsid w:val="001E4599"/>
    <w:rsid w:val="00202236"/>
    <w:rsid w:val="002035AC"/>
    <w:rsid w:val="00214605"/>
    <w:rsid w:val="0021667F"/>
    <w:rsid w:val="00216E6B"/>
    <w:rsid w:val="00223E7D"/>
    <w:rsid w:val="002262F6"/>
    <w:rsid w:val="00244207"/>
    <w:rsid w:val="00245409"/>
    <w:rsid w:val="00262A08"/>
    <w:rsid w:val="002733A3"/>
    <w:rsid w:val="00273A26"/>
    <w:rsid w:val="00274B45"/>
    <w:rsid w:val="002A627D"/>
    <w:rsid w:val="002B0FC4"/>
    <w:rsid w:val="002B5EA5"/>
    <w:rsid w:val="002C7942"/>
    <w:rsid w:val="002E5CF9"/>
    <w:rsid w:val="00301DDB"/>
    <w:rsid w:val="00327409"/>
    <w:rsid w:val="0032766A"/>
    <w:rsid w:val="00361B78"/>
    <w:rsid w:val="00377EA2"/>
    <w:rsid w:val="00382B4F"/>
    <w:rsid w:val="00384E6F"/>
    <w:rsid w:val="00393CF9"/>
    <w:rsid w:val="00397B99"/>
    <w:rsid w:val="003A5085"/>
    <w:rsid w:val="003C4114"/>
    <w:rsid w:val="003C534A"/>
    <w:rsid w:val="003C65E0"/>
    <w:rsid w:val="003D128E"/>
    <w:rsid w:val="003D6608"/>
    <w:rsid w:val="003E7FAA"/>
    <w:rsid w:val="003F3725"/>
    <w:rsid w:val="00414A26"/>
    <w:rsid w:val="00453C35"/>
    <w:rsid w:val="00460696"/>
    <w:rsid w:val="00464F1A"/>
    <w:rsid w:val="0046567C"/>
    <w:rsid w:val="00487E80"/>
    <w:rsid w:val="004B438A"/>
    <w:rsid w:val="004B4586"/>
    <w:rsid w:val="004C1447"/>
    <w:rsid w:val="004D0CB2"/>
    <w:rsid w:val="004D7D9F"/>
    <w:rsid w:val="004E2C84"/>
    <w:rsid w:val="004F17D4"/>
    <w:rsid w:val="005014A8"/>
    <w:rsid w:val="00506BA8"/>
    <w:rsid w:val="00525769"/>
    <w:rsid w:val="005464BC"/>
    <w:rsid w:val="00563617"/>
    <w:rsid w:val="005700C2"/>
    <w:rsid w:val="005A0F58"/>
    <w:rsid w:val="005A7A06"/>
    <w:rsid w:val="005B61F7"/>
    <w:rsid w:val="005C17AC"/>
    <w:rsid w:val="005C4193"/>
    <w:rsid w:val="005D39BC"/>
    <w:rsid w:val="005D5825"/>
    <w:rsid w:val="005D5845"/>
    <w:rsid w:val="005E4BAA"/>
    <w:rsid w:val="005F5E29"/>
    <w:rsid w:val="00602550"/>
    <w:rsid w:val="006028DB"/>
    <w:rsid w:val="00612721"/>
    <w:rsid w:val="0061384F"/>
    <w:rsid w:val="00617F5E"/>
    <w:rsid w:val="00624E2A"/>
    <w:rsid w:val="00634585"/>
    <w:rsid w:val="00641722"/>
    <w:rsid w:val="00655207"/>
    <w:rsid w:val="00667526"/>
    <w:rsid w:val="00671EE5"/>
    <w:rsid w:val="00677FF6"/>
    <w:rsid w:val="0068512D"/>
    <w:rsid w:val="006921ED"/>
    <w:rsid w:val="006A3DA6"/>
    <w:rsid w:val="006D089D"/>
    <w:rsid w:val="006E3A83"/>
    <w:rsid w:val="006F4301"/>
    <w:rsid w:val="006F4346"/>
    <w:rsid w:val="006F7FB0"/>
    <w:rsid w:val="00706A35"/>
    <w:rsid w:val="00720A42"/>
    <w:rsid w:val="007229B4"/>
    <w:rsid w:val="00724925"/>
    <w:rsid w:val="00735155"/>
    <w:rsid w:val="00751DA2"/>
    <w:rsid w:val="007544B2"/>
    <w:rsid w:val="00754F8A"/>
    <w:rsid w:val="00757677"/>
    <w:rsid w:val="0078033F"/>
    <w:rsid w:val="00795555"/>
    <w:rsid w:val="007978F8"/>
    <w:rsid w:val="007A67D9"/>
    <w:rsid w:val="007C5BA9"/>
    <w:rsid w:val="007C69F0"/>
    <w:rsid w:val="007F2838"/>
    <w:rsid w:val="0082091C"/>
    <w:rsid w:val="008319B6"/>
    <w:rsid w:val="0083317F"/>
    <w:rsid w:val="00846D33"/>
    <w:rsid w:val="00854A03"/>
    <w:rsid w:val="00870B5A"/>
    <w:rsid w:val="00886329"/>
    <w:rsid w:val="008927B7"/>
    <w:rsid w:val="008A41DF"/>
    <w:rsid w:val="008C09EF"/>
    <w:rsid w:val="008C1AD2"/>
    <w:rsid w:val="008C59AA"/>
    <w:rsid w:val="008D0A70"/>
    <w:rsid w:val="008D403C"/>
    <w:rsid w:val="008F6870"/>
    <w:rsid w:val="009074DE"/>
    <w:rsid w:val="00916302"/>
    <w:rsid w:val="00924546"/>
    <w:rsid w:val="009477FD"/>
    <w:rsid w:val="00967D33"/>
    <w:rsid w:val="009770B6"/>
    <w:rsid w:val="00977B75"/>
    <w:rsid w:val="00983BDD"/>
    <w:rsid w:val="00990957"/>
    <w:rsid w:val="009920AB"/>
    <w:rsid w:val="009957C5"/>
    <w:rsid w:val="009C236C"/>
    <w:rsid w:val="009C7929"/>
    <w:rsid w:val="009D2E3C"/>
    <w:rsid w:val="009F1D8B"/>
    <w:rsid w:val="00A033D9"/>
    <w:rsid w:val="00A053C0"/>
    <w:rsid w:val="00A06912"/>
    <w:rsid w:val="00A0706E"/>
    <w:rsid w:val="00A101B7"/>
    <w:rsid w:val="00A52F3D"/>
    <w:rsid w:val="00A60880"/>
    <w:rsid w:val="00A62FD1"/>
    <w:rsid w:val="00A70261"/>
    <w:rsid w:val="00A861A5"/>
    <w:rsid w:val="00A94D39"/>
    <w:rsid w:val="00A95165"/>
    <w:rsid w:val="00A97E2F"/>
    <w:rsid w:val="00AB6920"/>
    <w:rsid w:val="00AD37F6"/>
    <w:rsid w:val="00B01911"/>
    <w:rsid w:val="00B01B56"/>
    <w:rsid w:val="00B046E2"/>
    <w:rsid w:val="00B10600"/>
    <w:rsid w:val="00B11999"/>
    <w:rsid w:val="00B13724"/>
    <w:rsid w:val="00B22316"/>
    <w:rsid w:val="00B257F2"/>
    <w:rsid w:val="00B33CA0"/>
    <w:rsid w:val="00B34671"/>
    <w:rsid w:val="00B47516"/>
    <w:rsid w:val="00B561BF"/>
    <w:rsid w:val="00B87636"/>
    <w:rsid w:val="00B9393D"/>
    <w:rsid w:val="00BA4982"/>
    <w:rsid w:val="00BA6529"/>
    <w:rsid w:val="00BD6B3C"/>
    <w:rsid w:val="00BE5E4A"/>
    <w:rsid w:val="00BE68D2"/>
    <w:rsid w:val="00BF1E28"/>
    <w:rsid w:val="00C007E6"/>
    <w:rsid w:val="00C0134B"/>
    <w:rsid w:val="00C125A7"/>
    <w:rsid w:val="00C14199"/>
    <w:rsid w:val="00C40037"/>
    <w:rsid w:val="00C51090"/>
    <w:rsid w:val="00C55526"/>
    <w:rsid w:val="00C57FA0"/>
    <w:rsid w:val="00C61C40"/>
    <w:rsid w:val="00C65FA1"/>
    <w:rsid w:val="00C7303C"/>
    <w:rsid w:val="00C964FD"/>
    <w:rsid w:val="00CA0502"/>
    <w:rsid w:val="00CA4354"/>
    <w:rsid w:val="00CA6996"/>
    <w:rsid w:val="00CB3F3E"/>
    <w:rsid w:val="00CD243C"/>
    <w:rsid w:val="00CD354B"/>
    <w:rsid w:val="00CD3A62"/>
    <w:rsid w:val="00CE59EF"/>
    <w:rsid w:val="00D173FF"/>
    <w:rsid w:val="00D30742"/>
    <w:rsid w:val="00D523BB"/>
    <w:rsid w:val="00D66B3C"/>
    <w:rsid w:val="00D70C9C"/>
    <w:rsid w:val="00D75010"/>
    <w:rsid w:val="00D75BCE"/>
    <w:rsid w:val="00D92545"/>
    <w:rsid w:val="00D96D1F"/>
    <w:rsid w:val="00DC29A9"/>
    <w:rsid w:val="00DC435E"/>
    <w:rsid w:val="00DE7CAD"/>
    <w:rsid w:val="00DF093C"/>
    <w:rsid w:val="00E027F3"/>
    <w:rsid w:val="00E04CF2"/>
    <w:rsid w:val="00E24035"/>
    <w:rsid w:val="00E314F4"/>
    <w:rsid w:val="00E51DF7"/>
    <w:rsid w:val="00E57619"/>
    <w:rsid w:val="00E6363A"/>
    <w:rsid w:val="00E651BD"/>
    <w:rsid w:val="00E65600"/>
    <w:rsid w:val="00E73626"/>
    <w:rsid w:val="00E739D5"/>
    <w:rsid w:val="00E854D2"/>
    <w:rsid w:val="00E91AF8"/>
    <w:rsid w:val="00EB6753"/>
    <w:rsid w:val="00ED16B0"/>
    <w:rsid w:val="00EE00C6"/>
    <w:rsid w:val="00F109EF"/>
    <w:rsid w:val="00F266D8"/>
    <w:rsid w:val="00F735B9"/>
    <w:rsid w:val="00F73777"/>
    <w:rsid w:val="00F741F8"/>
    <w:rsid w:val="00F82C73"/>
    <w:rsid w:val="00F91264"/>
    <w:rsid w:val="00FB26BF"/>
    <w:rsid w:val="00FB4AB6"/>
    <w:rsid w:val="00FC4F22"/>
    <w:rsid w:val="00FF1965"/>
    <w:rsid w:val="00FF4DF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3B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683B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D683B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77E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83B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C17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D683B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5C17AC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3E7FAA"/>
    <w:pPr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68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1558</Words>
  <Characters>10756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MUNKAVÉDELMI TECHNIKUS</dc:title>
  <dc:subject/>
  <dc:creator>gubicza</dc:creator>
  <cp:keywords/>
  <dc:description/>
  <cp:lastModifiedBy>NMH-SZFI</cp:lastModifiedBy>
  <cp:revision>2</cp:revision>
  <cp:lastPrinted>2012-09-26T14:15:00Z</cp:lastPrinted>
  <dcterms:created xsi:type="dcterms:W3CDTF">2013-03-07T08:49:00Z</dcterms:created>
  <dcterms:modified xsi:type="dcterms:W3CDTF">2013-03-07T08:49:00Z</dcterms:modified>
</cp:coreProperties>
</file>