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16" w:rsidRPr="000060B7" w:rsidRDefault="00F04B16" w:rsidP="000060B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060B7">
        <w:rPr>
          <w:b/>
          <w:color w:val="000000"/>
          <w:sz w:val="20"/>
          <w:szCs w:val="20"/>
        </w:rPr>
        <w:t>A 295. sorszámú Mezőgazdasági gazdaasszony, falusi vendéglátó megnevezésű szakképesítés szakmai és vizsgakövetelménye</w:t>
      </w:r>
    </w:p>
    <w:p w:rsidR="00F04B16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060B7">
        <w:rPr>
          <w:b/>
          <w:iCs/>
          <w:color w:val="000000"/>
          <w:sz w:val="20"/>
          <w:szCs w:val="20"/>
        </w:rPr>
        <w:t>1. AZ ORSZÁGOS KÉPZÉSI JEGYZÉKBEN SZEREPLŐ ADATOK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1.1. A szakképesítés azonosító száma: 34 811 02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 xml:space="preserve">1.2. Szakképesítés megnevezése: </w:t>
      </w:r>
      <w:r w:rsidRPr="000060B7">
        <w:rPr>
          <w:color w:val="000000"/>
          <w:sz w:val="20"/>
          <w:szCs w:val="20"/>
        </w:rPr>
        <w:t>Mezőgazdasági gazdaasszony, falusi vendéglátó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1. 3. Iskolai rendszerű szakképzésben a szakképzési évfolyamok száma: 3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 xml:space="preserve">1.4. Iskolarendszeren kívüli szakképzésben az óraszám: 960 – 1440 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060B7">
        <w:rPr>
          <w:b/>
          <w:color w:val="000000"/>
          <w:sz w:val="20"/>
          <w:szCs w:val="20"/>
        </w:rPr>
        <w:t>2. EGYÉB ADATOK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2.1. A képzés megkezdésének feltételei: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pStyle w:val="Listaszerbekezds"/>
        <w:tabs>
          <w:tab w:val="left" w:pos="2694"/>
        </w:tabs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2.1.1. Iskolai előképzettség: alapfokú iskolai végzettség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ind w:left="23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vagy iskolai előképzettség hiányában</w:t>
      </w: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2.1.2. Bemeneti kompetenciák: a képzés megkezdhető az e rendelet 3. számú mellékletében a mezőgazdasági szakmacsoportra meghatározott kompetenciák birtokában</w:t>
      </w:r>
    </w:p>
    <w:p w:rsidR="00F04B16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2.2. Szakmai előképzettség: -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2.3. Előírt gyakorlat: -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2.4. Egészségügyi alkalmassági követelmények: szükségesek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2.5. Pályaalkalmassági követelmények: -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2.6. Elméleti képzési idő aránya: 30 %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 xml:space="preserve">2.7. Gyakorlati képzési idő aránya: 70 % 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2.8. Szintvizsga</w:t>
      </w:r>
      <w:r w:rsidRPr="000060B7">
        <w:rPr>
          <w:iCs/>
          <w:color w:val="000000"/>
          <w:sz w:val="20"/>
          <w:szCs w:val="20"/>
        </w:rPr>
        <w:t>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nappali rendszerű oktatás vagy a nappali oktatás munkarendje szerint szervezett felnőttoktatás esetén kötelező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 xml:space="preserve">2.9. Az iskolai rendszerű képzésben az összefüggő szakmai gyakorlat időtartama: 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3 évfolyamos képzés esetén a 9. évfolyamot követően 140 óra, a 10. évfolyamot követően 140 óra;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2 évfolyamos képzés esetén az első szakképzési évfolyamot követően 160 óra</w:t>
      </w: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0060B7">
        <w:rPr>
          <w:b/>
          <w:iCs/>
          <w:color w:val="000000"/>
          <w:sz w:val="20"/>
          <w:szCs w:val="20"/>
        </w:rPr>
        <w:t>3. PÁLYATÜKÖR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3.1. A szakképesítéssel</w:t>
      </w:r>
      <w:r w:rsidRPr="000060B7">
        <w:rPr>
          <w:color w:val="000000"/>
          <w:sz w:val="20"/>
          <w:szCs w:val="20"/>
        </w:rPr>
        <w:t xml:space="preserve"> </w:t>
      </w:r>
      <w:r w:rsidRPr="000060B7">
        <w:rPr>
          <w:iCs/>
          <w:color w:val="000000"/>
          <w:sz w:val="20"/>
          <w:szCs w:val="20"/>
        </w:rPr>
        <w:t>legjellemzőbben betölthető munkakör(ök), foglalkozás(ok)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tbl>
      <w:tblPr>
        <w:tblW w:w="89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559"/>
        <w:gridCol w:w="2410"/>
        <w:gridCol w:w="3827"/>
      </w:tblGrid>
      <w:tr w:rsidR="00F04B16" w:rsidRPr="000060B7" w:rsidTr="005006E9">
        <w:tc>
          <w:tcPr>
            <w:tcW w:w="1134" w:type="dxa"/>
            <w:tcBorders>
              <w:top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C</w:t>
            </w:r>
          </w:p>
        </w:tc>
      </w:tr>
      <w:tr w:rsidR="00F04B16" w:rsidRPr="000060B7" w:rsidTr="005006E9">
        <w:tc>
          <w:tcPr>
            <w:tcW w:w="1134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410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color w:val="000000"/>
                <w:sz w:val="20"/>
                <w:szCs w:val="20"/>
              </w:rPr>
              <w:t>FEOR megnevez</w:t>
            </w:r>
            <w:r w:rsidRPr="000060B7">
              <w:rPr>
                <w:b/>
                <w:color w:val="000000"/>
                <w:sz w:val="20"/>
                <w:szCs w:val="20"/>
              </w:rPr>
              <w:t>é</w:t>
            </w:r>
            <w:r w:rsidRPr="000060B7">
              <w:rPr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3827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color w:val="000000"/>
                <w:sz w:val="20"/>
                <w:szCs w:val="20"/>
              </w:rPr>
              <w:t>A szakképesítéssel betölthető mu</w:t>
            </w:r>
            <w:r w:rsidRPr="000060B7">
              <w:rPr>
                <w:b/>
                <w:color w:val="000000"/>
                <w:sz w:val="20"/>
                <w:szCs w:val="20"/>
              </w:rPr>
              <w:t>n</w:t>
            </w:r>
            <w:r w:rsidRPr="000060B7">
              <w:rPr>
                <w:b/>
                <w:color w:val="000000"/>
                <w:sz w:val="20"/>
                <w:szCs w:val="20"/>
              </w:rPr>
              <w:t>kakör(ök)</w:t>
            </w:r>
          </w:p>
        </w:tc>
      </w:tr>
      <w:tr w:rsidR="00F04B16" w:rsidRPr="000060B7" w:rsidTr="005006E9">
        <w:tc>
          <w:tcPr>
            <w:tcW w:w="1134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4B16" w:rsidRPr="000060B7" w:rsidRDefault="00F04B16" w:rsidP="000060B7">
            <w:pPr>
              <w:pStyle w:val="Nincstrkz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6130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Vegyes profilú gazdálk</w:t>
            </w:r>
            <w:r w:rsidRPr="000060B7">
              <w:rPr>
                <w:color w:val="000000"/>
                <w:sz w:val="20"/>
                <w:szCs w:val="20"/>
              </w:rPr>
              <w:t>o</w:t>
            </w:r>
            <w:r w:rsidRPr="000060B7">
              <w:rPr>
                <w:color w:val="000000"/>
                <w:sz w:val="20"/>
                <w:szCs w:val="20"/>
              </w:rPr>
              <w:t>dó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Őstermelő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B16" w:rsidRPr="000060B7" w:rsidRDefault="00F04B16" w:rsidP="000060B7">
            <w:pPr>
              <w:pStyle w:val="Nincstrkz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5242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Házvezető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Gazdaasszony</w:t>
            </w:r>
          </w:p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Falusi vendéglátó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559" w:type="dxa"/>
            <w:vAlign w:val="center"/>
          </w:tcPr>
          <w:p w:rsidR="00F04B16" w:rsidRPr="000060B7" w:rsidRDefault="00F04B16" w:rsidP="000060B7">
            <w:pPr>
              <w:pStyle w:val="Nincstrkz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5129</w:t>
            </w:r>
          </w:p>
        </w:tc>
        <w:tc>
          <w:tcPr>
            <w:tcW w:w="2410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Egyéb, máshova nem</w:t>
            </w:r>
          </w:p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sorolható kereskedelmi</w:t>
            </w:r>
          </w:p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fo</w:t>
            </w:r>
            <w:r w:rsidRPr="000060B7">
              <w:rPr>
                <w:color w:val="000000"/>
                <w:sz w:val="20"/>
                <w:szCs w:val="20"/>
              </w:rPr>
              <w:t>g</w:t>
            </w:r>
            <w:r w:rsidRPr="000060B7">
              <w:rPr>
                <w:color w:val="000000"/>
                <w:sz w:val="20"/>
                <w:szCs w:val="20"/>
              </w:rPr>
              <w:t>lalkozású</w:t>
            </w:r>
          </w:p>
        </w:tc>
        <w:tc>
          <w:tcPr>
            <w:tcW w:w="3827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Áru-előkészítő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559" w:type="dxa"/>
            <w:vAlign w:val="center"/>
          </w:tcPr>
          <w:p w:rsidR="00F04B16" w:rsidRPr="000060B7" w:rsidRDefault="00F04B16" w:rsidP="000060B7">
            <w:pPr>
              <w:pStyle w:val="Nincstrkz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3512</w:t>
            </w:r>
          </w:p>
        </w:tc>
        <w:tc>
          <w:tcPr>
            <w:tcW w:w="2410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Hivatásos nevelőszülő,</w:t>
            </w:r>
          </w:p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f</w:t>
            </w:r>
            <w:r w:rsidRPr="000060B7">
              <w:rPr>
                <w:color w:val="000000"/>
                <w:sz w:val="20"/>
                <w:szCs w:val="20"/>
              </w:rPr>
              <w:t>ő</w:t>
            </w:r>
            <w:r w:rsidRPr="000060B7">
              <w:rPr>
                <w:color w:val="000000"/>
                <w:sz w:val="20"/>
                <w:szCs w:val="20"/>
              </w:rPr>
              <w:t>állású anya</w:t>
            </w:r>
          </w:p>
        </w:tc>
        <w:tc>
          <w:tcPr>
            <w:tcW w:w="3827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Nevelőszülő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1559" w:type="dxa"/>
            <w:vAlign w:val="center"/>
          </w:tcPr>
          <w:p w:rsidR="00F04B16" w:rsidRPr="000060B7" w:rsidRDefault="00F04B16" w:rsidP="000060B7">
            <w:pPr>
              <w:pStyle w:val="Nincstrkz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2312</w:t>
            </w:r>
          </w:p>
        </w:tc>
        <w:tc>
          <w:tcPr>
            <w:tcW w:w="2410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Szociális munkás és</w:t>
            </w:r>
          </w:p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tanác</w:t>
            </w:r>
            <w:r w:rsidRPr="000060B7">
              <w:rPr>
                <w:color w:val="000000"/>
                <w:sz w:val="20"/>
                <w:szCs w:val="20"/>
              </w:rPr>
              <w:t>s</w:t>
            </w:r>
            <w:r w:rsidRPr="000060B7">
              <w:rPr>
                <w:color w:val="000000"/>
                <w:sz w:val="20"/>
                <w:szCs w:val="20"/>
              </w:rPr>
              <w:t>adó</w:t>
            </w:r>
          </w:p>
        </w:tc>
        <w:tc>
          <w:tcPr>
            <w:tcW w:w="3827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Házi szociális munkás</w:t>
            </w:r>
          </w:p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Családgondozó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1559" w:type="dxa"/>
            <w:vAlign w:val="center"/>
          </w:tcPr>
          <w:p w:rsidR="00F04B16" w:rsidRPr="000060B7" w:rsidRDefault="00F04B16" w:rsidP="000060B7">
            <w:pPr>
              <w:pStyle w:val="Nincstrkz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5115</w:t>
            </w:r>
          </w:p>
        </w:tc>
        <w:tc>
          <w:tcPr>
            <w:tcW w:w="2410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Piaci, utcai árus</w:t>
            </w:r>
          </w:p>
        </w:tc>
        <w:tc>
          <w:tcPr>
            <w:tcW w:w="3827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Piaci, utcai zöldséges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1559" w:type="dxa"/>
            <w:vAlign w:val="center"/>
          </w:tcPr>
          <w:p w:rsidR="00F04B16" w:rsidRPr="000060B7" w:rsidRDefault="00F04B16" w:rsidP="000060B7">
            <w:pPr>
              <w:pStyle w:val="Nincstrkz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5223</w:t>
            </w:r>
          </w:p>
        </w:tc>
        <w:tc>
          <w:tcPr>
            <w:tcW w:w="2410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Házi gondozó</w:t>
            </w:r>
          </w:p>
        </w:tc>
        <w:tc>
          <w:tcPr>
            <w:tcW w:w="3827" w:type="dxa"/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Házi ápoló</w:t>
            </w:r>
          </w:p>
        </w:tc>
      </w:tr>
      <w:tr w:rsidR="00F04B16" w:rsidRPr="000060B7" w:rsidTr="005006E9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4B16" w:rsidRPr="000060B7" w:rsidRDefault="00F04B16" w:rsidP="000060B7">
            <w:pPr>
              <w:pStyle w:val="Nincstrkz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9237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Háztartási alkalmazott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04B16" w:rsidRPr="000060B7" w:rsidRDefault="00F04B16" w:rsidP="000060B7">
            <w:pPr>
              <w:pStyle w:val="Nincstrkz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Háztartási alkalmazott</w:t>
            </w:r>
          </w:p>
        </w:tc>
      </w:tr>
    </w:tbl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3.2. A szakképesítés munkater</w:t>
      </w:r>
      <w:r w:rsidRPr="000060B7">
        <w:rPr>
          <w:color w:val="000000"/>
          <w:sz w:val="20"/>
          <w:szCs w:val="20"/>
        </w:rPr>
        <w:t>ü</w:t>
      </w:r>
      <w:r w:rsidRPr="000060B7">
        <w:rPr>
          <w:color w:val="000000"/>
          <w:sz w:val="20"/>
          <w:szCs w:val="20"/>
        </w:rPr>
        <w:t>letének rövid leírása:</w:t>
      </w: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A mezőgazdasági gazdaasszony családi gazdálkodási rendszerben, elsősorban őstermelői körülmények között megszervezi, irányítja és elvégzi a kertészeti növények termelésével, a gazdasági és egyéb háziállatok tartásával, gondozásával, a termékek értékesítésre előkészítésével, értékesítésével kapcsolatos munkákat. Intézkedik a készletek, ételek, italok, takarmányok, vegyszerek stb. beszerzéséről, tárolásáról.</w:t>
      </w: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Falusi vendéglátóként komplex szolgáltatást (szállásadás, étkeztetés, programszervezés, mezőgazdasági termék előállítást) biztosít. A tevékenység során figyelembe veszi környezetének hagyományait, népművészeti lehetőségeit.</w:t>
      </w: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 xml:space="preserve">Családellátóként elsődleges feladata saját háztartásának vezetése, családjának ellátása, gyermekeinek nevelése, gondozása, beteg családtagjainak ápolása. Ismeretei birtokában képes idegen családok háztartási feladatainak szervezésére, felügyeletének ellátására, illetve részfeladatainak elvégzésére. </w:t>
      </w: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Egyéneknek, családok-, közösségek tagjainak mindennapi életük viteléhez segítséget nyújt (takarítás, gyermek- és beteggondozás, mosás, bevásárlás, főzés, felszolgálás, állatgondozási-, kertészeti munkák stb.). Saját takarítási feladatain túl külső takarítási munkákat is ellát. Gyűjti és szelektíven kezeli a családban, a munkahelyén keletkező hulladékot.</w:t>
      </w:r>
    </w:p>
    <w:p w:rsidR="00F04B16" w:rsidRPr="000060B7" w:rsidRDefault="00F04B16" w:rsidP="000060B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szakképesítéssel rendelkező képes: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állattartás, növénytermesztés mennyiségi, minőségi és gazdaságos rendszerét megtervezni, a feladat</w:t>
      </w:r>
      <w:r w:rsidRPr="000060B7">
        <w:rPr>
          <w:color w:val="000000"/>
          <w:sz w:val="20"/>
          <w:szCs w:val="20"/>
        </w:rPr>
        <w:t>o</w:t>
      </w:r>
      <w:r w:rsidRPr="000060B7">
        <w:rPr>
          <w:color w:val="000000"/>
          <w:sz w:val="20"/>
          <w:szCs w:val="20"/>
        </w:rPr>
        <w:t>kat végrehajtani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mezőgazdasági és egyéb, a ház körül, a gazdaságban megtermelt árukat eladásra előkészíteni, árusítani,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kulturált életvitelt folytatni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családban, háztartásban előforduló ruhajavításokat, tisztításokat elvégezni, egyszerűbb ruhad</w:t>
      </w:r>
      <w:r w:rsidRPr="000060B7">
        <w:rPr>
          <w:color w:val="000000"/>
          <w:sz w:val="20"/>
          <w:szCs w:val="20"/>
        </w:rPr>
        <w:t>a</w:t>
      </w:r>
      <w:r w:rsidRPr="000060B7">
        <w:rPr>
          <w:color w:val="000000"/>
          <w:sz w:val="20"/>
          <w:szCs w:val="20"/>
        </w:rPr>
        <w:t>rabokat megvarrni, kézimunkát készíteni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családi pénzügyi tervet készíteni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konyhai-, élelmezési bevásárlást és a saját termékek gazdaságos felhasználását összehangolni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szerződéseket, megállapodásokat, számlákat, egyéb okmányokat kitölteni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pályázatokat előkészíteni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állat-egészségügyi, állatjóléti, környezetvédelmi szabályokat betartani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bemutatni a saját gazdaságot, a lakókörnyezetet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falusi vendéglátóhelyet kialakítani, berendezni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gondozni a virágoskertet és a háziállatokat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termények felhasználásának előkészítését, házi feldolgozását elvégezni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szabadtéri étkezést megvalósítani (szabadtűzön)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ételt előkészíteni, házi jellegű, valamint diabetikus, vegetáriánus ételeket elkészíteni, felszo</w:t>
      </w:r>
      <w:r w:rsidRPr="000060B7">
        <w:rPr>
          <w:color w:val="000000"/>
          <w:sz w:val="20"/>
          <w:szCs w:val="20"/>
        </w:rPr>
        <w:t>l</w:t>
      </w:r>
      <w:r w:rsidRPr="000060B7">
        <w:rPr>
          <w:color w:val="000000"/>
          <w:sz w:val="20"/>
          <w:szCs w:val="20"/>
        </w:rPr>
        <w:t>gálni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gazdálkodáshoz, vendégek fogadásához, a falusi/mezőgazdasági turizmus fejlesztéséhez kapcsolódó i</w:t>
      </w:r>
      <w:r w:rsidRPr="000060B7">
        <w:rPr>
          <w:color w:val="000000"/>
          <w:sz w:val="20"/>
          <w:szCs w:val="20"/>
        </w:rPr>
        <w:t>n</w:t>
      </w:r>
      <w:r w:rsidRPr="000060B7">
        <w:rPr>
          <w:color w:val="000000"/>
          <w:sz w:val="20"/>
          <w:szCs w:val="20"/>
        </w:rPr>
        <w:t>formációkat gyűjteni, felhasználni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tájegységnek megfelelő programokat szervezni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népi kismesterséget, népszokásokat megismertetni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árubeszerzést végezni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szakhatóságokkal kapcsolatot tartani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szálláshelyeket kialakítani és berendezni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vendégeket fogadni, ellátásukról gondoskodni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teríteni, ételt, italt felszolgálni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gondoskodni az eszközök, élelmiszerek, vegyszerek stb. biztonságos tárolásról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háztartási és konyhai eszközöket, gépeket kezelni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munka és környezetvédelmi szabályokat betartani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dokumentációt vezetni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készleteket, bevételeket és kiadásokat nyilvántartani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háztartási munkákat (egyszerű ételek főzése, mosás, takarítás, lakásgondozás, házkörüli rend biztosítása) elv</w:t>
      </w:r>
      <w:r w:rsidRPr="000060B7">
        <w:rPr>
          <w:color w:val="000000"/>
          <w:sz w:val="20"/>
          <w:szCs w:val="20"/>
        </w:rPr>
        <w:t>é</w:t>
      </w:r>
      <w:r w:rsidRPr="000060B7">
        <w:rPr>
          <w:color w:val="000000"/>
          <w:sz w:val="20"/>
          <w:szCs w:val="20"/>
        </w:rPr>
        <w:t>gezni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csecsemő- és gyermekgondozási, betegápolási feladatokat ellátni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segíteni a gyermekek, betegek, idősek gondozásában, ellátásában, elsősorban a házkörüli munkák végz</w:t>
      </w:r>
      <w:r w:rsidRPr="000060B7">
        <w:rPr>
          <w:color w:val="000000"/>
          <w:sz w:val="20"/>
          <w:szCs w:val="20"/>
        </w:rPr>
        <w:t>é</w:t>
      </w:r>
      <w:r w:rsidRPr="000060B7">
        <w:rPr>
          <w:color w:val="000000"/>
          <w:sz w:val="20"/>
          <w:szCs w:val="20"/>
        </w:rPr>
        <w:t>sével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szelektív szemétgyűjtést megvalósítani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lakások, szálláshelyek, panziók, termelő üzemek, gazdaságok termelő és szociális létesítményeinek hely</w:t>
      </w:r>
      <w:r w:rsidRPr="000060B7">
        <w:rPr>
          <w:color w:val="000000"/>
          <w:sz w:val="20"/>
          <w:szCs w:val="20"/>
        </w:rPr>
        <w:t>i</w:t>
      </w:r>
      <w:r w:rsidRPr="000060B7">
        <w:rPr>
          <w:color w:val="000000"/>
          <w:sz w:val="20"/>
          <w:szCs w:val="20"/>
        </w:rPr>
        <w:t>ségeit és berendezési tárgyait takarítani, tisztítani, fertőtleníteni</w:t>
      </w:r>
    </w:p>
    <w:p w:rsidR="00F04B16" w:rsidRPr="000060B7" w:rsidRDefault="00F04B16" w:rsidP="000060B7">
      <w:pPr>
        <w:pStyle w:val="Listaszerbekezds"/>
        <w:numPr>
          <w:ilvl w:val="0"/>
          <w:numId w:val="8"/>
        </w:numPr>
        <w:ind w:left="54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textíliák mosását, javítását végezni</w:t>
      </w:r>
    </w:p>
    <w:p w:rsidR="00F04B16" w:rsidRPr="000060B7" w:rsidRDefault="00F04B16" w:rsidP="000060B7">
      <w:pPr>
        <w:pStyle w:val="Listaszerbekezds"/>
        <w:ind w:left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3.3. Kapcsolódó szakképesítések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907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2834"/>
        <w:gridCol w:w="3260"/>
      </w:tblGrid>
      <w:tr w:rsidR="00F04B16" w:rsidRPr="000060B7" w:rsidTr="005006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C</w:t>
            </w:r>
          </w:p>
        </w:tc>
      </w:tr>
      <w:tr w:rsidR="00F04B16" w:rsidRPr="000060B7" w:rsidTr="005006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F04B16" w:rsidRPr="000060B7" w:rsidTr="005006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B7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color w:val="000000"/>
                <w:sz w:val="20"/>
                <w:szCs w:val="20"/>
              </w:rPr>
              <w:t>a kapcsolódás módja</w:t>
            </w:r>
          </w:p>
        </w:tc>
      </w:tr>
      <w:tr w:rsidR="00F04B16" w:rsidRPr="000060B7" w:rsidTr="005006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31 811 01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Falusi vendéglátó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részszakképesítés</w:t>
            </w:r>
          </w:p>
        </w:tc>
      </w:tr>
      <w:tr w:rsidR="00F04B16" w:rsidRPr="000060B7" w:rsidTr="005006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21 814 01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Családellátó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részszakképesítés</w:t>
            </w:r>
          </w:p>
        </w:tc>
      </w:tr>
    </w:tbl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060B7">
        <w:rPr>
          <w:b/>
          <w:iCs/>
          <w:color w:val="000000"/>
          <w:sz w:val="20"/>
          <w:szCs w:val="20"/>
        </w:rPr>
        <w:t>4. SZAKMAI KÖVETELMÉNYEK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843"/>
        <w:gridCol w:w="6061"/>
      </w:tblGrid>
      <w:tr w:rsidR="00F04B16" w:rsidRPr="000060B7" w:rsidTr="005006E9">
        <w:tc>
          <w:tcPr>
            <w:tcW w:w="1134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</w:t>
            </w:r>
            <w:r w:rsidRPr="000060B7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0060B7">
              <w:rPr>
                <w:b/>
                <w:bCs/>
                <w:color w:val="000000"/>
                <w:sz w:val="20"/>
                <w:szCs w:val="20"/>
              </w:rPr>
              <w:t>ménymoduljairól szóló kormányrendelet szerinti</w:t>
            </w:r>
          </w:p>
        </w:tc>
      </w:tr>
      <w:tr w:rsidR="00F04B16" w:rsidRPr="000060B7" w:rsidTr="005006E9">
        <w:tc>
          <w:tcPr>
            <w:tcW w:w="1134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B7">
              <w:rPr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11497-12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060B7">
              <w:rPr>
                <w:noProof/>
                <w:color w:val="000000"/>
                <w:sz w:val="20"/>
                <w:szCs w:val="20"/>
              </w:rPr>
              <w:t>Foglalkoztatás I.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060B7">
              <w:rPr>
                <w:noProof/>
                <w:color w:val="000000"/>
                <w:sz w:val="20"/>
                <w:szCs w:val="20"/>
              </w:rPr>
              <w:t>Foglalkoztatás II.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060B7">
              <w:rPr>
                <w:noProof/>
                <w:color w:val="000000"/>
                <w:sz w:val="20"/>
                <w:szCs w:val="20"/>
              </w:rPr>
              <w:t>Munkahelyi egészség és biztonság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11033-12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Család- és háztartásellátás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11034-12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Üzemgazdaság, ügyvitel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11035-12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Vendéglátás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11036-12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Napi tevékenységek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11037-12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Falusi vendégfogadás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11038-12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Kreatív textilfeldolgozás</w:t>
            </w:r>
          </w:p>
        </w:tc>
      </w:tr>
      <w:tr w:rsidR="00F04B16" w:rsidRPr="000060B7" w:rsidTr="005006E9">
        <w:tc>
          <w:tcPr>
            <w:tcW w:w="11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11039-12</w:t>
            </w:r>
          </w:p>
        </w:tc>
        <w:tc>
          <w:tcPr>
            <w:tcW w:w="6061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Mezőgazdasági termelés és feldolgozás</w:t>
            </w:r>
          </w:p>
        </w:tc>
      </w:tr>
    </w:tbl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060B7">
        <w:rPr>
          <w:b/>
          <w:color w:val="000000"/>
          <w:sz w:val="20"/>
          <w:szCs w:val="20"/>
        </w:rPr>
        <w:t>5. VIZSGÁZTATÁSI KÖVETELMÉNYEK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5.1. A komplex szakmai vizsgára bocsátás feltételei: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0060B7">
        <w:rPr>
          <w:rFonts w:eastAsia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0060B7">
        <w:rPr>
          <w:rFonts w:eastAsia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 w:rsidRPr="000060B7">
        <w:rPr>
          <w:rFonts w:eastAsia="Times New Roman"/>
          <w:b/>
          <w:i/>
          <w:color w:val="000000"/>
          <w:sz w:val="20"/>
          <w:szCs w:val="20"/>
        </w:rPr>
        <w:t>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i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0060B7">
        <w:rPr>
          <w:rFonts w:eastAsia="Times New Roman"/>
          <w:color w:val="000000"/>
          <w:sz w:val="20"/>
          <w:szCs w:val="20"/>
        </w:rPr>
        <w:t>A Kreatív textilfeldolgozás modul tananyagából vizsgaremek és dokumentációjának elkészítése.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5.2. A modulzáró vizsga vizsgatevékenysége és az eredményesség feltétele: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0"/>
        <w:gridCol w:w="1843"/>
        <w:gridCol w:w="3072"/>
        <w:gridCol w:w="2834"/>
      </w:tblGrid>
      <w:tr w:rsidR="00F04B16" w:rsidRPr="000060B7" w:rsidTr="005006E9">
        <w:trPr>
          <w:jc w:val="center"/>
        </w:trPr>
        <w:tc>
          <w:tcPr>
            <w:tcW w:w="1230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72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4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49" w:type="dxa"/>
            <w:gridSpan w:val="3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B7">
              <w:rPr>
                <w:b/>
                <w:bCs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43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072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43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11033-12</w:t>
            </w:r>
          </w:p>
        </w:tc>
        <w:tc>
          <w:tcPr>
            <w:tcW w:w="3072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Család- és háztartáse</w:t>
            </w:r>
            <w:r w:rsidRPr="000060B7">
              <w:rPr>
                <w:color w:val="000000"/>
                <w:sz w:val="20"/>
                <w:szCs w:val="20"/>
              </w:rPr>
              <w:t>l</w:t>
            </w:r>
            <w:r w:rsidRPr="000060B7">
              <w:rPr>
                <w:color w:val="000000"/>
                <w:sz w:val="20"/>
                <w:szCs w:val="20"/>
              </w:rPr>
              <w:t>látás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gyakorlat, szóbeli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843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11034-12</w:t>
            </w:r>
          </w:p>
        </w:tc>
        <w:tc>
          <w:tcPr>
            <w:tcW w:w="3072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Üzemgazdaság, ügyv</w:t>
            </w:r>
            <w:r w:rsidRPr="000060B7">
              <w:rPr>
                <w:color w:val="000000"/>
                <w:sz w:val="20"/>
                <w:szCs w:val="20"/>
              </w:rPr>
              <w:t>i</w:t>
            </w:r>
            <w:r w:rsidRPr="000060B7">
              <w:rPr>
                <w:color w:val="000000"/>
                <w:sz w:val="20"/>
                <w:szCs w:val="20"/>
              </w:rPr>
              <w:t>tel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gyakorlat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843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11035-12</w:t>
            </w:r>
          </w:p>
        </w:tc>
        <w:tc>
          <w:tcPr>
            <w:tcW w:w="3072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Vendéglátás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gyakorlat, szóbeli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843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11036-12</w:t>
            </w:r>
          </w:p>
        </w:tc>
        <w:tc>
          <w:tcPr>
            <w:tcW w:w="3072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Napi tevékenységek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gyakorlat, szóbeli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843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11037-12</w:t>
            </w:r>
          </w:p>
        </w:tc>
        <w:tc>
          <w:tcPr>
            <w:tcW w:w="3072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Falusi vendégfogadás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gyakorlat, szóbeli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843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11038-12</w:t>
            </w:r>
          </w:p>
        </w:tc>
        <w:tc>
          <w:tcPr>
            <w:tcW w:w="3072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Kreatív textilfeldolg</w:t>
            </w:r>
            <w:r w:rsidRPr="000060B7">
              <w:rPr>
                <w:color w:val="000000"/>
                <w:sz w:val="20"/>
                <w:szCs w:val="20"/>
              </w:rPr>
              <w:t>o</w:t>
            </w:r>
            <w:r w:rsidRPr="000060B7">
              <w:rPr>
                <w:color w:val="000000"/>
                <w:sz w:val="20"/>
                <w:szCs w:val="20"/>
              </w:rPr>
              <w:t>zás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gyakorlat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843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11039-12</w:t>
            </w:r>
          </w:p>
        </w:tc>
        <w:tc>
          <w:tcPr>
            <w:tcW w:w="3072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Mezőgazdasági termelés és feldo</w:t>
            </w:r>
            <w:r w:rsidRPr="000060B7">
              <w:rPr>
                <w:color w:val="000000"/>
                <w:sz w:val="20"/>
                <w:szCs w:val="20"/>
              </w:rPr>
              <w:t>l</w:t>
            </w:r>
            <w:r w:rsidRPr="000060B7">
              <w:rPr>
                <w:color w:val="000000"/>
                <w:sz w:val="20"/>
                <w:szCs w:val="20"/>
              </w:rPr>
              <w:t>gozás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gyakorlat, szóbeli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11497-12</w:t>
            </w:r>
          </w:p>
        </w:tc>
        <w:tc>
          <w:tcPr>
            <w:tcW w:w="3072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060B7">
              <w:rPr>
                <w:noProof/>
                <w:color w:val="000000"/>
                <w:sz w:val="20"/>
                <w:szCs w:val="20"/>
              </w:rPr>
              <w:t>Foglalkoztatás I.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írásbeli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5.2.11.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3072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060B7">
              <w:rPr>
                <w:noProof/>
                <w:color w:val="000000"/>
                <w:sz w:val="20"/>
                <w:szCs w:val="20"/>
              </w:rPr>
              <w:t>Foglalkoztatás II.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írásbeli</w:t>
            </w:r>
          </w:p>
        </w:tc>
      </w:tr>
      <w:tr w:rsidR="00F04B16" w:rsidRPr="000060B7" w:rsidTr="005006E9">
        <w:trPr>
          <w:jc w:val="center"/>
        </w:trPr>
        <w:tc>
          <w:tcPr>
            <w:tcW w:w="1230" w:type="dxa"/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5.2.12.</w:t>
            </w:r>
          </w:p>
        </w:tc>
        <w:tc>
          <w:tcPr>
            <w:tcW w:w="1843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60B7">
              <w:rPr>
                <w:bCs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3072" w:type="dxa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060B7">
              <w:rPr>
                <w:noProof/>
                <w:color w:val="000000"/>
                <w:sz w:val="20"/>
                <w:szCs w:val="20"/>
              </w:rPr>
              <w:t>Munkahelyi egészség és biztonság</w:t>
            </w:r>
          </w:p>
        </w:tc>
        <w:tc>
          <w:tcPr>
            <w:tcW w:w="2834" w:type="dxa"/>
            <w:vAlign w:val="center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írásbeli</w:t>
            </w:r>
          </w:p>
        </w:tc>
      </w:tr>
    </w:tbl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0060B7">
        <w:rPr>
          <w:rFonts w:eastAsia="Times New Roman"/>
          <w:color w:val="000000"/>
          <w:sz w:val="20"/>
          <w:szCs w:val="20"/>
        </w:rPr>
        <w:t>Egy szakmai követelménymodulhoz kapcsolódó modulzáró vizsga akkor eredményes, ha a modulhoz előírt f</w:t>
      </w:r>
      <w:r w:rsidRPr="000060B7">
        <w:rPr>
          <w:rFonts w:eastAsia="Times New Roman"/>
          <w:color w:val="000000"/>
          <w:sz w:val="20"/>
          <w:szCs w:val="20"/>
        </w:rPr>
        <w:t>e</w:t>
      </w:r>
      <w:r w:rsidRPr="000060B7">
        <w:rPr>
          <w:rFonts w:eastAsia="Times New Roman"/>
          <w:color w:val="000000"/>
          <w:sz w:val="20"/>
          <w:szCs w:val="20"/>
        </w:rPr>
        <w:t>ladat végrehajtása legalább 51%-osra értékelhető.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5.3. A komplex szakmai vizsga vizsgatevékenységei és vizsgafeladatai: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5.3.1. Gyakorlati vizsgatevékenység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megnevezése: Textil-munkák készítése (vizsgaremek) és dokumentációja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ismertetése: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A vizsgáztató intézet által a Kreatív textilfeldolgozás követelménymodul szakmai ismeretei alapján meghatár</w:t>
      </w:r>
      <w:r w:rsidRPr="000060B7">
        <w:rPr>
          <w:color w:val="000000"/>
          <w:sz w:val="20"/>
          <w:szCs w:val="20"/>
        </w:rPr>
        <w:t>o</w:t>
      </w:r>
      <w:r w:rsidRPr="000060B7">
        <w:rPr>
          <w:color w:val="000000"/>
          <w:sz w:val="20"/>
          <w:szCs w:val="20"/>
        </w:rPr>
        <w:t>zott munkadarab elkészítése, amely lehet:</w:t>
      </w:r>
    </w:p>
    <w:p w:rsidR="00F04B16" w:rsidRPr="000060B7" w:rsidRDefault="00F04B16" w:rsidP="000060B7">
      <w:pPr>
        <w:numPr>
          <w:ilvl w:val="1"/>
          <w:numId w:val="11"/>
        </w:numPr>
        <w:ind w:left="0" w:firstLine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szabásminta alapján egyszerű ruhadarab (szoknya, blúz, nadrág, kötény, bébi-ruha),</w:t>
      </w:r>
    </w:p>
    <w:p w:rsidR="00F04B16" w:rsidRPr="000060B7" w:rsidRDefault="00F04B16" w:rsidP="000060B7">
      <w:pPr>
        <w:numPr>
          <w:ilvl w:val="1"/>
          <w:numId w:val="11"/>
        </w:numPr>
        <w:ind w:left="0" w:firstLine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hímzett, illetve egyéb technikával készült lakástextília,</w:t>
      </w:r>
    </w:p>
    <w:p w:rsidR="00F04B16" w:rsidRPr="000060B7" w:rsidRDefault="00F04B16" w:rsidP="000060B7">
      <w:pPr>
        <w:numPr>
          <w:ilvl w:val="1"/>
          <w:numId w:val="11"/>
        </w:numPr>
        <w:ind w:left="0" w:firstLine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kötött, horgolt ruhadarab,</w:t>
      </w:r>
    </w:p>
    <w:p w:rsidR="00F04B16" w:rsidRPr="000060B7" w:rsidRDefault="00F04B16" w:rsidP="000060B7">
      <w:pPr>
        <w:numPr>
          <w:ilvl w:val="1"/>
          <w:numId w:val="11"/>
        </w:numPr>
        <w:ind w:left="0" w:firstLine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népi motívum alapján kidolgozott használati eszköz, díszítő tárgy.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időtartama: 0 perc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aránya: 10 %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 xml:space="preserve">A vizsgafeladat megnevezése: 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Falusi vendégfogadás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Konyhatechnika és felszolgálás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Család- és háztartásellátás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 xml:space="preserve">A vizsgafeladat ismertetése: 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falusi vendégfogadás jellegzetességeinek bemutatása. A vendéglátó családi lakóépület szükséges átalakítás</w:t>
      </w:r>
      <w:r w:rsidRPr="000060B7">
        <w:rPr>
          <w:iCs/>
          <w:color w:val="000000"/>
          <w:sz w:val="20"/>
          <w:szCs w:val="20"/>
        </w:rPr>
        <w:t>á</w:t>
      </w:r>
      <w:r w:rsidRPr="000060B7">
        <w:rPr>
          <w:iCs/>
          <w:color w:val="000000"/>
          <w:sz w:val="20"/>
          <w:szCs w:val="20"/>
        </w:rPr>
        <w:t>nak rajzon történő megtervezése, tájjellegű ételek bemutatása, szabadban történő étkezés előkészítése, saját ga</w:t>
      </w:r>
      <w:r w:rsidRPr="000060B7">
        <w:rPr>
          <w:iCs/>
          <w:color w:val="000000"/>
          <w:sz w:val="20"/>
          <w:szCs w:val="20"/>
        </w:rPr>
        <w:t>z</w:t>
      </w:r>
      <w:r w:rsidRPr="000060B7">
        <w:rPr>
          <w:iCs/>
          <w:color w:val="000000"/>
          <w:sz w:val="20"/>
          <w:szCs w:val="20"/>
        </w:rPr>
        <w:t>daság, népszokások, hagyományok, emléktárgyak bemutatása, ház körüli munkafeladatok végzése, pro</w:t>
      </w:r>
      <w:r w:rsidRPr="000060B7">
        <w:rPr>
          <w:iCs/>
          <w:color w:val="000000"/>
          <w:sz w:val="20"/>
          <w:szCs w:val="20"/>
        </w:rPr>
        <w:t>g</w:t>
      </w:r>
      <w:r w:rsidRPr="000060B7">
        <w:rPr>
          <w:iCs/>
          <w:color w:val="000000"/>
          <w:sz w:val="20"/>
          <w:szCs w:val="20"/>
        </w:rPr>
        <w:t>ramok szervezésének előkészítése (pl. lekvár főzés, termék betakarítás a vendéggel).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vizsgázó a vendéglátással kapcsolatos étkeztetési feladatokról bizonyítja rátermettségét. A kihúzott tételnek megfelelően kiválasztja az alapanyagokat, elkészíti a 2, vagy 3 fogásos főétkezésre szolgáló ételeket, megterít, felszolgálja és a hozzá illő italokkal is megkínálja a vendéget. Bemutatja az általa készített ételeket, ismerteti azok táplálóértékét, jellegzetességeit stb. Befejezésként leszedi az asztalt, rendet rak a munkahelyén, elmos</w:t>
      </w:r>
      <w:r w:rsidRPr="000060B7">
        <w:rPr>
          <w:iCs/>
          <w:color w:val="000000"/>
          <w:sz w:val="20"/>
          <w:szCs w:val="20"/>
        </w:rPr>
        <w:t>o</w:t>
      </w:r>
      <w:r w:rsidRPr="000060B7">
        <w:rPr>
          <w:iCs/>
          <w:color w:val="000000"/>
          <w:sz w:val="20"/>
          <w:szCs w:val="20"/>
        </w:rPr>
        <w:t>gat.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vizsgázó a családi környezetben történő munkavégzés feladatairól ad számot. Megtervezi a napi munkafelad</w:t>
      </w:r>
      <w:r w:rsidRPr="000060B7">
        <w:rPr>
          <w:iCs/>
          <w:color w:val="000000"/>
          <w:sz w:val="20"/>
          <w:szCs w:val="20"/>
        </w:rPr>
        <w:t>a</w:t>
      </w:r>
      <w:r w:rsidRPr="000060B7">
        <w:rPr>
          <w:iCs/>
          <w:color w:val="000000"/>
          <w:sz w:val="20"/>
          <w:szCs w:val="20"/>
        </w:rPr>
        <w:t>tokat, elvégzi a bevásárlást, reggelit készít, tárolja az élelmiszereket, kezeli a gépeket és eszközöket, takarít, egyszerű saját készítésű anyagokkal, erdei, kerti termékekkel díszíti a lakást, vasal, tisztít. Segédkezik a gyerm</w:t>
      </w:r>
      <w:r w:rsidRPr="000060B7">
        <w:rPr>
          <w:iCs/>
          <w:color w:val="000000"/>
          <w:sz w:val="20"/>
          <w:szCs w:val="20"/>
        </w:rPr>
        <w:t>e</w:t>
      </w:r>
      <w:r w:rsidRPr="000060B7">
        <w:rPr>
          <w:iCs/>
          <w:color w:val="000000"/>
          <w:sz w:val="20"/>
          <w:szCs w:val="20"/>
        </w:rPr>
        <w:t>kek és betegek gondozásában, gyermekekkel foglalkozik, játszik, felolvas, verset, éneket tanít. Kiemelt fe</w:t>
      </w:r>
      <w:r w:rsidRPr="000060B7">
        <w:rPr>
          <w:iCs/>
          <w:color w:val="000000"/>
          <w:sz w:val="20"/>
          <w:szCs w:val="20"/>
        </w:rPr>
        <w:t>l</w:t>
      </w:r>
      <w:r w:rsidRPr="000060B7">
        <w:rPr>
          <w:iCs/>
          <w:color w:val="000000"/>
          <w:sz w:val="20"/>
          <w:szCs w:val="20"/>
        </w:rPr>
        <w:t>adat a személyi higiénia alkalmazása, valamint a gyermekneveléshez kapcsolódó tevékenységek végzése.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időtartama: 285 perc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aránya: 45 %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 xml:space="preserve">A vizsgafeladat megnevezése: Mezőgazdasági munkafeladatok 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ismertetése: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különböző mezőgazdasági tevékenységek közül a vizsgázó a tételsorból az általa húzott vizsgafeladatot öná</w:t>
      </w:r>
      <w:r w:rsidRPr="000060B7">
        <w:rPr>
          <w:iCs/>
          <w:color w:val="000000"/>
          <w:sz w:val="20"/>
          <w:szCs w:val="20"/>
        </w:rPr>
        <w:t>l</w:t>
      </w:r>
      <w:r w:rsidRPr="000060B7">
        <w:rPr>
          <w:iCs/>
          <w:color w:val="000000"/>
          <w:sz w:val="20"/>
          <w:szCs w:val="20"/>
        </w:rPr>
        <w:t>lóan, az előírt környezeti és biztonsági előírások figyelembevételével végrehajtja.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szükséges eszközöket, gépeket, növényeket, állatokat stb. a képző iskola vagy a gyakorlati munkahely bizt</w:t>
      </w:r>
      <w:r w:rsidRPr="000060B7">
        <w:rPr>
          <w:iCs/>
          <w:color w:val="000000"/>
          <w:sz w:val="20"/>
          <w:szCs w:val="20"/>
        </w:rPr>
        <w:t>o</w:t>
      </w:r>
      <w:r w:rsidRPr="000060B7">
        <w:rPr>
          <w:iCs/>
          <w:color w:val="000000"/>
          <w:sz w:val="20"/>
          <w:szCs w:val="20"/>
        </w:rPr>
        <w:t>sítja. A feladat elvégzéséhez a munkaeszközök mellett tankönyv, jegyzet nem használható, viszont a számít</w:t>
      </w:r>
      <w:r w:rsidRPr="000060B7">
        <w:rPr>
          <w:iCs/>
          <w:color w:val="000000"/>
          <w:sz w:val="20"/>
          <w:szCs w:val="20"/>
        </w:rPr>
        <w:t>á</w:t>
      </w:r>
      <w:r w:rsidRPr="000060B7">
        <w:rPr>
          <w:iCs/>
          <w:color w:val="000000"/>
          <w:sz w:val="20"/>
          <w:szCs w:val="20"/>
        </w:rPr>
        <w:t>sokhoz szükséges táblázatokat a vizsgázó rendelkezésére kell bocsátani.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tételsornak tartalmaznia kell a mezőgazdasági termeléssel és a kisüzemi, házi feldolgozással, értékes</w:t>
      </w:r>
      <w:r w:rsidRPr="000060B7">
        <w:rPr>
          <w:iCs/>
          <w:color w:val="000000"/>
          <w:sz w:val="20"/>
          <w:szCs w:val="20"/>
        </w:rPr>
        <w:t>í</w:t>
      </w:r>
      <w:r w:rsidRPr="000060B7">
        <w:rPr>
          <w:iCs/>
          <w:color w:val="000000"/>
          <w:sz w:val="20"/>
          <w:szCs w:val="20"/>
        </w:rPr>
        <w:t>tésre történő előkészítéssel kapcsolatos, a Szakmai és Vizsgakövetelményekben meghatározott valamennyi munkafe</w:t>
      </w:r>
      <w:r w:rsidRPr="000060B7">
        <w:rPr>
          <w:iCs/>
          <w:color w:val="000000"/>
          <w:sz w:val="20"/>
          <w:szCs w:val="20"/>
        </w:rPr>
        <w:t>l</w:t>
      </w:r>
      <w:r w:rsidRPr="000060B7">
        <w:rPr>
          <w:iCs/>
          <w:color w:val="000000"/>
          <w:sz w:val="20"/>
          <w:szCs w:val="20"/>
        </w:rPr>
        <w:t>adatot.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tanuló a munkafeladat elvégzése után a szerszámokat letisztítva, a terepet rendezetten adja át vizsgabizottsá</w:t>
      </w:r>
      <w:r w:rsidRPr="000060B7">
        <w:rPr>
          <w:iCs/>
          <w:color w:val="000000"/>
          <w:sz w:val="20"/>
          <w:szCs w:val="20"/>
        </w:rPr>
        <w:t>g</w:t>
      </w:r>
      <w:r w:rsidRPr="000060B7">
        <w:rPr>
          <w:iCs/>
          <w:color w:val="000000"/>
          <w:sz w:val="20"/>
          <w:szCs w:val="20"/>
        </w:rPr>
        <w:t>nak.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időtartama: 60 perc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aránya: 15 %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5.3.2. Központi írásbeli vizsgatevékenység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b/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megnevezése: Gazdasági feladatok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tabs>
          <w:tab w:val="left" w:pos="284"/>
        </w:tabs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 xml:space="preserve">A vizsgafeladat ismertetése: </w:t>
      </w:r>
    </w:p>
    <w:p w:rsidR="00F04B16" w:rsidRPr="000060B7" w:rsidRDefault="00F04B16" w:rsidP="000060B7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A feladatlap az ismeretek alkalmazását, az alapvető számítási, ügyviteli feladatok elsajátítását méri fel: vállalk</w:t>
      </w:r>
      <w:r w:rsidRPr="000060B7">
        <w:rPr>
          <w:color w:val="000000"/>
          <w:sz w:val="20"/>
          <w:szCs w:val="20"/>
        </w:rPr>
        <w:t>o</w:t>
      </w:r>
      <w:r w:rsidRPr="000060B7">
        <w:rPr>
          <w:color w:val="000000"/>
          <w:sz w:val="20"/>
          <w:szCs w:val="20"/>
        </w:rPr>
        <w:t>zási alapfogalmak, vállalkozások indítása, működtetése, fejlesztése, marketing tevékenység, ügyviteli, számviteli és pénzügyi alapismeretek, nyomtatványok használata, levelezés, szövegszerkesztés, táblázatkez</w:t>
      </w:r>
      <w:r w:rsidRPr="000060B7">
        <w:rPr>
          <w:color w:val="000000"/>
          <w:sz w:val="20"/>
          <w:szCs w:val="20"/>
        </w:rPr>
        <w:t>e</w:t>
      </w:r>
      <w:r w:rsidRPr="000060B7">
        <w:rPr>
          <w:color w:val="000000"/>
          <w:sz w:val="20"/>
          <w:szCs w:val="20"/>
        </w:rPr>
        <w:t>lés.</w:t>
      </w:r>
    </w:p>
    <w:p w:rsidR="00F04B16" w:rsidRPr="000060B7" w:rsidRDefault="00F04B16" w:rsidP="000060B7">
      <w:pPr>
        <w:tabs>
          <w:tab w:val="left" w:pos="284"/>
        </w:tabs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tabs>
          <w:tab w:val="left" w:pos="284"/>
        </w:tabs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Az írásbeli vizsgatevékenység részei: Egyszerű számítási feladat (árumegrendelés mennyiségének, a vásá</w:t>
      </w:r>
      <w:r w:rsidRPr="000060B7">
        <w:rPr>
          <w:iCs/>
          <w:color w:val="000000"/>
          <w:sz w:val="20"/>
          <w:szCs w:val="20"/>
        </w:rPr>
        <w:t>r</w:t>
      </w:r>
      <w:r w:rsidRPr="000060B7">
        <w:rPr>
          <w:iCs/>
          <w:color w:val="000000"/>
          <w:sz w:val="20"/>
          <w:szCs w:val="20"/>
        </w:rPr>
        <w:t>lás összegének meghatározása, órabérszám</w:t>
      </w:r>
      <w:r w:rsidRPr="000060B7">
        <w:rPr>
          <w:iCs/>
          <w:color w:val="000000"/>
          <w:sz w:val="20"/>
          <w:szCs w:val="20"/>
        </w:rPr>
        <w:t>í</w:t>
      </w:r>
      <w:r w:rsidRPr="000060B7">
        <w:rPr>
          <w:iCs/>
          <w:color w:val="000000"/>
          <w:sz w:val="20"/>
          <w:szCs w:val="20"/>
        </w:rPr>
        <w:t>tás stb.). Nyomtatvány (pl. pénzfeladás, számla) kitöltése.</w:t>
      </w:r>
    </w:p>
    <w:p w:rsidR="00F04B16" w:rsidRPr="000060B7" w:rsidRDefault="00F04B16" w:rsidP="000060B7">
      <w:pPr>
        <w:tabs>
          <w:tab w:val="left" w:pos="284"/>
        </w:tabs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tabs>
          <w:tab w:val="left" w:pos="284"/>
        </w:tabs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időtartama: 90 perc</w:t>
      </w:r>
    </w:p>
    <w:p w:rsidR="00F04B16" w:rsidRPr="000060B7" w:rsidRDefault="00F04B16" w:rsidP="000060B7">
      <w:pPr>
        <w:tabs>
          <w:tab w:val="left" w:pos="284"/>
        </w:tabs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értékelési súlyaránya: 10 %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 xml:space="preserve">5.3.3. Szóbeli vizsgatevékenység 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megnevezése: Vendégfogadás és ellátás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ismertetése: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szóbeli vizsgatevékenység központilag összeállított vizsgakérdései a 4. Sza</w:t>
      </w:r>
      <w:r w:rsidRPr="000060B7">
        <w:rPr>
          <w:iCs/>
          <w:color w:val="000000"/>
          <w:sz w:val="20"/>
          <w:szCs w:val="20"/>
        </w:rPr>
        <w:t>k</w:t>
      </w:r>
      <w:r w:rsidRPr="000060B7">
        <w:rPr>
          <w:iCs/>
          <w:color w:val="000000"/>
          <w:sz w:val="20"/>
          <w:szCs w:val="20"/>
        </w:rPr>
        <w:t xml:space="preserve">mai követelmények fejezetben szereplő </w:t>
      </w:r>
      <w:r w:rsidRPr="000060B7">
        <w:rPr>
          <w:i/>
          <w:iCs/>
          <w:color w:val="000000"/>
          <w:sz w:val="20"/>
          <w:szCs w:val="20"/>
        </w:rPr>
        <w:t>„Vendéglátás”,</w:t>
      </w:r>
      <w:r w:rsidRPr="000060B7">
        <w:rPr>
          <w:iCs/>
          <w:color w:val="000000"/>
          <w:sz w:val="20"/>
          <w:szCs w:val="20"/>
        </w:rPr>
        <w:t xml:space="preserve"> valamint a </w:t>
      </w:r>
      <w:r w:rsidRPr="000060B7">
        <w:rPr>
          <w:i/>
          <w:iCs/>
          <w:color w:val="000000"/>
          <w:sz w:val="20"/>
          <w:szCs w:val="20"/>
        </w:rPr>
        <w:t>„Napi tevékenységek”</w:t>
      </w:r>
      <w:r w:rsidRPr="000060B7">
        <w:rPr>
          <w:iCs/>
          <w:color w:val="000000"/>
          <w:sz w:val="20"/>
          <w:szCs w:val="20"/>
        </w:rPr>
        <w:t xml:space="preserve"> modulok témaköreinek mindegyikét tartalmazza.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vizsgázónak i</w:t>
      </w:r>
      <w:r w:rsidRPr="000060B7">
        <w:rPr>
          <w:iCs/>
          <w:color w:val="000000"/>
          <w:sz w:val="20"/>
          <w:szCs w:val="20"/>
        </w:rPr>
        <w:t>s</w:t>
      </w:r>
      <w:r w:rsidRPr="000060B7">
        <w:rPr>
          <w:iCs/>
          <w:color w:val="000000"/>
          <w:sz w:val="20"/>
          <w:szCs w:val="20"/>
        </w:rPr>
        <w:t>mernie kell az ételkészítés első lépésétől (előkészület, tervezés) kezdve, az étel-alapanyagok vásárlásának sz</w:t>
      </w:r>
      <w:r w:rsidRPr="000060B7">
        <w:rPr>
          <w:iCs/>
          <w:color w:val="000000"/>
          <w:sz w:val="20"/>
          <w:szCs w:val="20"/>
        </w:rPr>
        <w:t>a</w:t>
      </w:r>
      <w:r w:rsidRPr="000060B7">
        <w:rPr>
          <w:iCs/>
          <w:color w:val="000000"/>
          <w:sz w:val="20"/>
          <w:szCs w:val="20"/>
        </w:rPr>
        <w:t>bályain keresztül, a felszolgált ételek elfogyasztásának befejezéséig terjedő, és az azt követő munkák végzését.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tételek között szerepelni kell a vendéglátás és a napi tevékenységek valamennyi lényeges feladatának. Fo</w:t>
      </w:r>
      <w:r w:rsidRPr="000060B7">
        <w:rPr>
          <w:iCs/>
          <w:color w:val="000000"/>
          <w:sz w:val="20"/>
          <w:szCs w:val="20"/>
        </w:rPr>
        <w:t>n</w:t>
      </w:r>
      <w:r w:rsidRPr="000060B7">
        <w:rPr>
          <w:iCs/>
          <w:color w:val="000000"/>
          <w:sz w:val="20"/>
          <w:szCs w:val="20"/>
        </w:rPr>
        <w:t>tos, hogy a tanuló a higiéniai, a munkabiztonsági, a környezetvédelmi, a balesetvédelmi és az elsős</w:t>
      </w:r>
      <w:r w:rsidRPr="000060B7">
        <w:rPr>
          <w:iCs/>
          <w:color w:val="000000"/>
          <w:sz w:val="20"/>
          <w:szCs w:val="20"/>
        </w:rPr>
        <w:t>e</w:t>
      </w:r>
      <w:r w:rsidRPr="000060B7">
        <w:rPr>
          <w:iCs/>
          <w:color w:val="000000"/>
          <w:sz w:val="20"/>
          <w:szCs w:val="20"/>
        </w:rPr>
        <w:t>gély-nyújtási teendőket is ismerje. Minden feladatnál ki kell térni a helyi, az iskola vagy a lakóhely környék</w:t>
      </w:r>
      <w:r w:rsidRPr="000060B7">
        <w:rPr>
          <w:iCs/>
          <w:color w:val="000000"/>
          <w:sz w:val="20"/>
          <w:szCs w:val="20"/>
        </w:rPr>
        <w:t>é</w:t>
      </w:r>
      <w:r w:rsidRPr="000060B7">
        <w:rPr>
          <w:iCs/>
          <w:color w:val="000000"/>
          <w:sz w:val="20"/>
          <w:szCs w:val="20"/>
        </w:rPr>
        <w:t>nek jellegzetes vendégfogadási lehetőségeire. Kiemelten fontos az egészséges életmódra történő utalás.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időtartama: 30 perc (felkészülési idő 20 perc, válaszadási idő 10 perc)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aránya: 10 %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B.) A vizsgafeladat megnevezése: Mezőgazdasági munkafeladatok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ismertetése: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szóbeli vizsgatevékenység központilag összeállított vizsgakérdései a 4. Sza</w:t>
      </w:r>
      <w:r w:rsidRPr="000060B7">
        <w:rPr>
          <w:iCs/>
          <w:color w:val="000000"/>
          <w:sz w:val="20"/>
          <w:szCs w:val="20"/>
        </w:rPr>
        <w:t>k</w:t>
      </w:r>
      <w:r w:rsidRPr="000060B7">
        <w:rPr>
          <w:iCs/>
          <w:color w:val="000000"/>
          <w:sz w:val="20"/>
          <w:szCs w:val="20"/>
        </w:rPr>
        <w:t xml:space="preserve">mai követelmények fejezetben szereplő </w:t>
      </w:r>
      <w:r w:rsidRPr="000060B7">
        <w:rPr>
          <w:i/>
          <w:iCs/>
          <w:color w:val="000000"/>
          <w:sz w:val="20"/>
          <w:szCs w:val="20"/>
        </w:rPr>
        <w:t>„Mezőgazdasági termelés és feldolgozás”</w:t>
      </w:r>
      <w:r w:rsidRPr="000060B7">
        <w:rPr>
          <w:iCs/>
          <w:color w:val="000000"/>
          <w:sz w:val="20"/>
          <w:szCs w:val="20"/>
        </w:rPr>
        <w:t xml:space="preserve"> modul témaköreinek mindegyikét tartalmazza. 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vizsgázónak ismernie kell a kertészet és az állattenyésztés legfontosabb feladatait, a növények-állatok igényeit, a megtermelt áru értékesítésének lehetőségeit. Fontos cél az egyes tájegységekre különösen jellemző kultúrák terjesztése, valamint a speciális területek (fűszer- és gyógynövénytermesztés, kisállattenyésztés) feladatainak ismerete. Minden feladatnál ki kell térni a helyi értékesítés lehetőségeire.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időtartama: 30 perc (felkészülési idő 20 perc, válaszadási idő 10 perc)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vizsgafeladat aránya: 10 %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A vizsgaremekre vonatkozó előírások: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 xml:space="preserve">A harmadik szakképző évfolyam első félévében kiadott témák közül a tanuló választja ki a számára legkedvezőbb, lehetőségeinek, elképzeléseinek leginkább megfelelő vizsgaremek feladatot. Ehhez a tanár, szakoktató a tanuló előzetes munkáját ismerve segítséget nyújt, és a készítés során is figyeli, támogatja a tanulói munkát. 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A vizsgaremek elsősorban az iskolai tanműhelyben, de kizárólag a szakoktató irányító tevékenysége alatt készíthető. A vizsgaremek készítésére a feladat munkaigényességétől függően 10 gyakorlati nap fordítható, a szüks</w:t>
      </w:r>
      <w:r w:rsidRPr="000060B7">
        <w:rPr>
          <w:color w:val="000000"/>
          <w:sz w:val="20"/>
          <w:szCs w:val="20"/>
        </w:rPr>
        <w:t>é</w:t>
      </w:r>
      <w:r w:rsidRPr="000060B7">
        <w:rPr>
          <w:color w:val="000000"/>
          <w:sz w:val="20"/>
          <w:szCs w:val="20"/>
        </w:rPr>
        <w:t>ges további munkát a tanuló szabadidejében végzi. A munkadarab csak akkor értékelhető, ha teljesen és hatá</w:t>
      </w:r>
      <w:r w:rsidRPr="000060B7">
        <w:rPr>
          <w:color w:val="000000"/>
          <w:sz w:val="20"/>
          <w:szCs w:val="20"/>
        </w:rPr>
        <w:t>r</w:t>
      </w:r>
      <w:r w:rsidRPr="000060B7">
        <w:rPr>
          <w:color w:val="000000"/>
          <w:sz w:val="20"/>
          <w:szCs w:val="20"/>
        </w:rPr>
        <w:t>időre elkészül.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A dokumentációnak tartalmaznia kell a vizsgaremekhez tartozó rajzokat, szabásmintát, anyagnormát, műszaki leírást és árkalkulációt.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A vizsgaremek és annak dokumentációjának elkészítése és beadása, nappali rendszerű képzés esetén legk</w:t>
      </w:r>
      <w:r w:rsidRPr="000060B7">
        <w:rPr>
          <w:color w:val="000000"/>
          <w:sz w:val="20"/>
          <w:szCs w:val="20"/>
        </w:rPr>
        <w:t>é</w:t>
      </w:r>
      <w:r w:rsidRPr="000060B7">
        <w:rPr>
          <w:color w:val="000000"/>
          <w:sz w:val="20"/>
          <w:szCs w:val="20"/>
        </w:rPr>
        <w:t>sőbb az utolsó tanítási napon, felnőttképzés esetén a vizsgára jelentkezéskor történik.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korábban elkészített és az iskolai értékelő bizottság (igazgató /vagy megbízottja + 2 fő oktató) által előzet</w:t>
      </w:r>
      <w:r w:rsidRPr="000060B7">
        <w:rPr>
          <w:iCs/>
          <w:color w:val="000000"/>
          <w:sz w:val="20"/>
          <w:szCs w:val="20"/>
        </w:rPr>
        <w:t>e</w:t>
      </w:r>
      <w:r w:rsidRPr="000060B7">
        <w:rPr>
          <w:iCs/>
          <w:color w:val="000000"/>
          <w:sz w:val="20"/>
          <w:szCs w:val="20"/>
        </w:rPr>
        <w:t xml:space="preserve">sen értékelt munkát a tanuló a teljes vizsgabizottságnak bemutatja, lehetőleg a szóbeli vizsga megkezdése előtt. </w:t>
      </w:r>
      <w:r w:rsidRPr="000060B7">
        <w:rPr>
          <w:color w:val="000000"/>
          <w:sz w:val="20"/>
          <w:szCs w:val="20"/>
        </w:rPr>
        <w:t>Az értékelésbe külső szakértő is bevonható.</w:t>
      </w: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A vizsgaremek kiválasztásának indoklásával, elkészítésével, a felhasznált anyagokkal ka</w:t>
      </w:r>
      <w:r w:rsidRPr="000060B7">
        <w:rPr>
          <w:iCs/>
          <w:color w:val="000000"/>
          <w:sz w:val="20"/>
          <w:szCs w:val="20"/>
        </w:rPr>
        <w:t>p</w:t>
      </w:r>
      <w:r w:rsidRPr="000060B7">
        <w:rPr>
          <w:iCs/>
          <w:color w:val="000000"/>
          <w:sz w:val="20"/>
          <w:szCs w:val="20"/>
        </w:rPr>
        <w:t>csolatban bemutatás közben, beszélgetés során a vizsgabizottság kérdéseket tehet fel.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A vizsgaremek értékelése: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- a munkadarab elkészítésének nehézségi foka, munkaigényessége: 30%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- a kivitelezés minősége: 70%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0B7">
        <w:rPr>
          <w:color w:val="000000"/>
          <w:sz w:val="20"/>
          <w:szCs w:val="20"/>
        </w:rPr>
        <w:t>Az elkészített munkadarabokból kiállítást is kell szervezni, amit a komplex vizsga idejére, illetve lehetőleg a vizsgaidőszak, évzáró befejezéséig meg kell tartani. A komplex vizsga után a tanulók visszakapják a vizsgamunkákat.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 xml:space="preserve">A szakképesítéssel kapcsolatos előírások az állami szakképzési és felnőttképzési szerv </w:t>
      </w:r>
      <w:hyperlink r:id="rId7" w:history="1">
        <w:r w:rsidRPr="000060B7">
          <w:rPr>
            <w:rStyle w:val="Hyperlink"/>
            <w:iCs/>
            <w:color w:val="000000"/>
            <w:sz w:val="20"/>
            <w:szCs w:val="20"/>
          </w:rPr>
          <w:t>http://www.munka.hu/</w:t>
        </w:r>
      </w:hyperlink>
      <w:r w:rsidRPr="000060B7">
        <w:rPr>
          <w:iCs/>
          <w:color w:val="000000"/>
          <w:sz w:val="20"/>
          <w:szCs w:val="20"/>
        </w:rPr>
        <w:t xml:space="preserve"> című weblapján érhetők el a Szak- és felnőttképzés Vizsgák menüpontjában.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0060B7">
        <w:rPr>
          <w:iCs/>
          <w:color w:val="000000"/>
          <w:sz w:val="20"/>
          <w:szCs w:val="20"/>
        </w:rPr>
        <w:t>5.5. A szakmai vizsga értékelésének a szakmai vizsgaszabályzattól eltérő szempontjai: -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060B7">
        <w:rPr>
          <w:b/>
          <w:iCs/>
          <w:color w:val="000000"/>
          <w:sz w:val="20"/>
          <w:szCs w:val="20"/>
        </w:rPr>
        <w:t xml:space="preserve">6. </w:t>
      </w:r>
      <w:r w:rsidRPr="000060B7">
        <w:rPr>
          <w:b/>
          <w:iCs/>
          <w:caps/>
          <w:color w:val="000000"/>
          <w:sz w:val="20"/>
          <w:szCs w:val="20"/>
        </w:rPr>
        <w:t>eszköz- és felszerelési jegyzék</w:t>
      </w: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7947"/>
      </w:tblGrid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60B7">
              <w:rPr>
                <w:b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Konyhai berendezések, felszerelések és gépek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Terítés, felszolgálás eszközei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Takarító eszközök, gépek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Mosás, vasalás gépei, eszközei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Csecsemőgondozási felszerelések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Betegágy, házi beteggondozási felszerelések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Elsősegélynyújtás eszközei, anyagai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Telefon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Számítógép (szoftverek, hardver, Internet kapcsolat, nyomtató, szkenner)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Vendégszobai bútorok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Vendégszoba berendezési kiegészítők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Mini-bárkocsi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Szabadtűzön főzés eszközei és berendezései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Virágoskert, konyhakert terület, művelési eszközök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Fűnyíró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Udvargondozási eszközök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Szabadidős tevékenység (játszótér) eszközei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6.19.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Népi kismesterségek bemutatásához szükséges eszközök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Házkörüli állatok, állattartási eszközök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Disznóölés, házi zöldség- és gyümölcsfeldolgozás eszközei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Textilfeldolgozáshoz szükséges gépek, eszközök, felszerelések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Dísznövény-, zöldség-, gyümölcs-, szőlőtermesztést bemutató és gyakorló földterület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Termesztő berendezés (fóliaház, üvegház)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Mezőgazdasági kisgépek, kéziszerszámok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Helyi adottságoknak megfelelő berendezett állattartó telep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Különféle állatfajok, tartásukhoz szükséges felszerelés, berendezés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Fejési berendezések és eszközök, tejvizsgálati felszerelés</w:t>
            </w:r>
          </w:p>
        </w:tc>
      </w:tr>
      <w:tr w:rsidR="00F04B16" w:rsidRPr="000060B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6" w:rsidRPr="000060B7" w:rsidRDefault="00F04B16" w:rsidP="000060B7">
            <w:pPr>
              <w:jc w:val="center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6.29.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16" w:rsidRPr="000060B7" w:rsidRDefault="00F04B16" w:rsidP="000060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60B7">
              <w:rPr>
                <w:color w:val="000000"/>
                <w:sz w:val="20"/>
                <w:szCs w:val="20"/>
              </w:rPr>
              <w:t>Mezőgazdasági termékek (állati termékek, zöldség-, gyümölcs-, szőlő) elsődleges feldolgozás</w:t>
            </w:r>
            <w:r w:rsidRPr="000060B7">
              <w:rPr>
                <w:color w:val="000000"/>
                <w:sz w:val="20"/>
                <w:szCs w:val="20"/>
              </w:rPr>
              <w:t>á</w:t>
            </w:r>
            <w:r w:rsidRPr="000060B7">
              <w:rPr>
                <w:color w:val="000000"/>
                <w:sz w:val="20"/>
                <w:szCs w:val="20"/>
              </w:rPr>
              <w:t>nak, csomagolásának, értékesítésének eszközei</w:t>
            </w:r>
          </w:p>
        </w:tc>
      </w:tr>
    </w:tbl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F04B16" w:rsidRPr="000060B7" w:rsidRDefault="00F04B16" w:rsidP="000060B7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0060B7">
        <w:rPr>
          <w:b/>
          <w:iCs/>
          <w:color w:val="000000"/>
          <w:sz w:val="20"/>
          <w:szCs w:val="20"/>
        </w:rPr>
        <w:t>7. EGYEBEK</w:t>
      </w:r>
    </w:p>
    <w:sectPr w:rsidR="00F04B16" w:rsidRPr="000060B7" w:rsidSect="00F0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16" w:rsidRDefault="00F04B16">
      <w:r>
        <w:separator/>
      </w:r>
    </w:p>
  </w:endnote>
  <w:endnote w:type="continuationSeparator" w:id="0">
    <w:p w:rsidR="00F04B16" w:rsidRDefault="00F0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16" w:rsidRDefault="00F04B16">
      <w:r>
        <w:separator/>
      </w:r>
    </w:p>
  </w:footnote>
  <w:footnote w:type="continuationSeparator" w:id="0">
    <w:p w:rsidR="00F04B16" w:rsidRDefault="00F0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4BBF"/>
    <w:multiLevelType w:val="hybridMultilevel"/>
    <w:tmpl w:val="81261AE0"/>
    <w:lvl w:ilvl="0" w:tplc="9424BE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D22CC"/>
    <w:multiLevelType w:val="hybridMultilevel"/>
    <w:tmpl w:val="37E83A46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5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7">
    <w:nsid w:val="73362BEF"/>
    <w:multiLevelType w:val="hybridMultilevel"/>
    <w:tmpl w:val="5AA61B46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2F60B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C1630"/>
    <w:multiLevelType w:val="hybridMultilevel"/>
    <w:tmpl w:val="69ECF692"/>
    <w:lvl w:ilvl="0" w:tplc="DEDC2908">
      <w:start w:val="1"/>
      <w:numFmt w:val="upperLetter"/>
      <w:lvlText w:val="%1.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617"/>
    <w:rsid w:val="000060B7"/>
    <w:rsid w:val="000C2B54"/>
    <w:rsid w:val="000C589E"/>
    <w:rsid w:val="00281D3E"/>
    <w:rsid w:val="002B009E"/>
    <w:rsid w:val="002C0EC4"/>
    <w:rsid w:val="00337AA0"/>
    <w:rsid w:val="003974D3"/>
    <w:rsid w:val="004665CB"/>
    <w:rsid w:val="005006E9"/>
    <w:rsid w:val="00505BEB"/>
    <w:rsid w:val="005552D5"/>
    <w:rsid w:val="00587E71"/>
    <w:rsid w:val="005C3D3B"/>
    <w:rsid w:val="005E03D4"/>
    <w:rsid w:val="0062627F"/>
    <w:rsid w:val="007060F6"/>
    <w:rsid w:val="00824FEB"/>
    <w:rsid w:val="00832EBA"/>
    <w:rsid w:val="00876738"/>
    <w:rsid w:val="009327C1"/>
    <w:rsid w:val="00956F6E"/>
    <w:rsid w:val="009727A2"/>
    <w:rsid w:val="00A05638"/>
    <w:rsid w:val="00AF2672"/>
    <w:rsid w:val="00C53A29"/>
    <w:rsid w:val="00CA74B8"/>
    <w:rsid w:val="00CE1FCF"/>
    <w:rsid w:val="00D66C61"/>
    <w:rsid w:val="00DA1E40"/>
    <w:rsid w:val="00DC607C"/>
    <w:rsid w:val="00E11617"/>
    <w:rsid w:val="00E57090"/>
    <w:rsid w:val="00ED50C7"/>
    <w:rsid w:val="00F04B16"/>
    <w:rsid w:val="00F5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1C"/>
    <w:rPr>
      <w:sz w:val="0"/>
      <w:szCs w:val="0"/>
    </w:rPr>
  </w:style>
  <w:style w:type="character" w:customStyle="1" w:styleId="BuborkszvegChar">
    <w:name w:val="Buborékszöveg Char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521C"/>
    <w:rPr>
      <w:sz w:val="24"/>
      <w:szCs w:val="24"/>
    </w:rPr>
  </w:style>
  <w:style w:type="character" w:customStyle="1" w:styleId="lfejChar">
    <w:name w:val="Élőfej Char"/>
    <w:uiPriority w:val="99"/>
    <w:locked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521C"/>
    <w:rPr>
      <w:sz w:val="24"/>
      <w:szCs w:val="24"/>
    </w:rPr>
  </w:style>
  <w:style w:type="character" w:customStyle="1" w:styleId="llbChar">
    <w:name w:val="Élőláb Char"/>
    <w:uiPriority w:val="99"/>
    <w:locked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21C"/>
    <w:rPr>
      <w:sz w:val="20"/>
      <w:szCs w:val="20"/>
    </w:rPr>
  </w:style>
  <w:style w:type="character" w:customStyle="1" w:styleId="JegyzetszvegChar">
    <w:name w:val="Jegyzetszöveg Char"/>
    <w:uiPriority w:val="99"/>
    <w:semiHidden/>
    <w:locked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21C"/>
    <w:rPr>
      <w:b/>
      <w:bCs/>
    </w:rPr>
  </w:style>
  <w:style w:type="character" w:customStyle="1" w:styleId="MegjegyzstrgyaChar">
    <w:name w:val="Megjegyzés tárgya Char"/>
    <w:uiPriority w:val="99"/>
    <w:semiHidden/>
    <w:locked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pPr>
      <w:ind w:left="720"/>
      <w:contextualSpacing/>
    </w:pPr>
  </w:style>
  <w:style w:type="paragraph" w:customStyle="1" w:styleId="Nincstrkz">
    <w:name w:val="Nincs térköz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2277</Words>
  <Characters>15718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2012-09-29T14:44:00Z</cp:lastPrinted>
  <dcterms:created xsi:type="dcterms:W3CDTF">2013-03-07T09:07:00Z</dcterms:created>
  <dcterms:modified xsi:type="dcterms:W3CDTF">2013-03-07T09:07:00Z</dcterms:modified>
</cp:coreProperties>
</file>