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7" w:rsidRPr="0092216F" w:rsidRDefault="00A45BF7" w:rsidP="00A45BF7">
      <w:pPr>
        <w:autoSpaceDE w:val="0"/>
        <w:autoSpaceDN w:val="0"/>
        <w:adjustRightInd w:val="0"/>
        <w:ind w:left="284"/>
        <w:jc w:val="center"/>
        <w:rPr>
          <w:b/>
          <w:iCs/>
        </w:rPr>
      </w:pPr>
      <w:bookmarkStart w:id="0" w:name="Legördülő1"/>
      <w:proofErr w:type="gramStart"/>
      <w:r w:rsidRPr="0092216F">
        <w:rPr>
          <w:b/>
        </w:rPr>
        <w:t>A …</w:t>
      </w:r>
      <w:proofErr w:type="gramEnd"/>
      <w:r w:rsidRPr="0092216F">
        <w:rPr>
          <w:b/>
        </w:rPr>
        <w:t xml:space="preserve"> sorszámú Gumiabroncs-javító és kerékkiegyensúlyozó megnevezésű szakképesítés szakmai és vizsgakövetelménye</w:t>
      </w:r>
    </w:p>
    <w:p w:rsidR="00A45BF7" w:rsidRPr="0092216F" w:rsidRDefault="00A45BF7" w:rsidP="00FF1965">
      <w:pPr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bookmarkEnd w:id="0"/>
    <w:p w:rsidR="00A45BF7" w:rsidRPr="0092216F" w:rsidRDefault="00A45BF7" w:rsidP="00A45BF7">
      <w:pPr>
        <w:autoSpaceDE w:val="0"/>
        <w:autoSpaceDN w:val="0"/>
        <w:adjustRightInd w:val="0"/>
        <w:jc w:val="center"/>
        <w:rPr>
          <w:b/>
        </w:rPr>
      </w:pPr>
      <w:r w:rsidRPr="0092216F">
        <w:rPr>
          <w:b/>
          <w:iCs/>
        </w:rPr>
        <w:t>1. AZ ORSZÁGOS KÉPZÉSI JEGYZÉKBEN SZEREPLŐ ADATOK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FF1965" w:rsidRPr="0092216F" w:rsidRDefault="00FF1965" w:rsidP="00AF256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92216F">
        <w:rPr>
          <w:iCs/>
        </w:rPr>
        <w:t>A szakképesítés azonosító száma:</w:t>
      </w:r>
      <w:r w:rsidR="007C5BA9" w:rsidRPr="0092216F">
        <w:rPr>
          <w:iCs/>
        </w:rPr>
        <w:t xml:space="preserve"> </w:t>
      </w:r>
      <w:r w:rsidR="00597B9C" w:rsidRPr="0092216F">
        <w:rPr>
          <w:iCs/>
        </w:rPr>
        <w:t>32 525 01</w:t>
      </w:r>
    </w:p>
    <w:p w:rsidR="00626D7C" w:rsidRPr="0092216F" w:rsidRDefault="00626D7C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92216F" w:rsidRDefault="00FF1965" w:rsidP="00AF256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92216F">
        <w:rPr>
          <w:iCs/>
        </w:rPr>
        <w:t>Szakképesítés megnevezése:</w:t>
      </w:r>
      <w:r w:rsidR="007C5BA9" w:rsidRPr="0092216F">
        <w:rPr>
          <w:iCs/>
        </w:rPr>
        <w:t xml:space="preserve"> </w:t>
      </w:r>
      <w:r w:rsidR="00CD70F8" w:rsidRPr="0092216F">
        <w:rPr>
          <w:iCs/>
        </w:rPr>
        <w:t>Gumiabroncs-javító és kerékkiegyensúlyozó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92216F" w:rsidRDefault="00FF1965" w:rsidP="00AF256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92216F">
        <w:rPr>
          <w:iCs/>
        </w:rPr>
        <w:t>Iskolai rendszerű szakképzésben a szakképzési évfolyamok száma:</w:t>
      </w:r>
      <w:r w:rsidR="00207806" w:rsidRPr="0092216F">
        <w:rPr>
          <w:iCs/>
        </w:rPr>
        <w:t xml:space="preserve"> </w:t>
      </w:r>
      <w:r w:rsidR="00514307" w:rsidRPr="0092216F">
        <w:rPr>
          <w:iCs/>
        </w:rPr>
        <w:t>─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bookmarkStart w:id="1" w:name="_GoBack"/>
      <w:bookmarkEnd w:id="1"/>
    </w:p>
    <w:p w:rsidR="00FF1965" w:rsidRPr="0092216F" w:rsidRDefault="005464BC" w:rsidP="00AF256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92216F">
        <w:rPr>
          <w:iCs/>
        </w:rPr>
        <w:t>Iskola</w:t>
      </w:r>
      <w:r w:rsidR="00FF1965" w:rsidRPr="0092216F">
        <w:rPr>
          <w:iCs/>
        </w:rPr>
        <w:t>rendszeren kívüli szakképzésben az óraszám:</w:t>
      </w:r>
      <w:r w:rsidR="00207806" w:rsidRPr="0092216F">
        <w:rPr>
          <w:iCs/>
        </w:rPr>
        <w:t xml:space="preserve"> </w:t>
      </w:r>
      <w:r w:rsidR="009C0AD0" w:rsidRPr="0092216F">
        <w:rPr>
          <w:iCs/>
        </w:rPr>
        <w:t>720-1080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FF1965" w:rsidRPr="0092216F" w:rsidRDefault="009C0AD0" w:rsidP="00AF256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92216F">
        <w:rPr>
          <w:b/>
        </w:rPr>
        <w:t xml:space="preserve">EGYÉB </w:t>
      </w:r>
      <w:r w:rsidR="00FF1965" w:rsidRPr="0092216F">
        <w:rPr>
          <w:b/>
        </w:rPr>
        <w:t>ADATOK</w:t>
      </w:r>
    </w:p>
    <w:p w:rsidR="00FF1965" w:rsidRPr="0092216F" w:rsidRDefault="00FF1965" w:rsidP="00FF196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14307" w:rsidRPr="0092216F" w:rsidRDefault="00514307" w:rsidP="00514307">
      <w:pPr>
        <w:pStyle w:val="NormlWeb"/>
        <w:ind w:left="280" w:firstLine="0"/>
        <w:rPr>
          <w:rFonts w:ascii="Times" w:hAnsi="Times" w:cs="Times"/>
        </w:rPr>
      </w:pPr>
      <w:r w:rsidRPr="0092216F">
        <w:rPr>
          <w:rFonts w:ascii="Times" w:hAnsi="Times" w:cs="Times"/>
        </w:rPr>
        <w:t>2.1. A képzés megkezdésének feltételei:</w:t>
      </w:r>
    </w:p>
    <w:p w:rsidR="00514307" w:rsidRPr="0092216F" w:rsidRDefault="00514307" w:rsidP="00FF196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F7F18" w:rsidRPr="0092216F" w:rsidRDefault="00514307" w:rsidP="00514307">
      <w:pPr>
        <w:pStyle w:val="NormlWeb"/>
        <w:ind w:left="900" w:hanging="620"/>
      </w:pPr>
      <w:r w:rsidRPr="0092216F">
        <w:rPr>
          <w:rFonts w:ascii="Times" w:hAnsi="Times" w:cs="Times"/>
        </w:rPr>
        <w:t xml:space="preserve">2.1.1. </w:t>
      </w:r>
      <w:smartTag w:uri="urn:schemas-microsoft-com:office:smarttags" w:element="PersonName">
        <w:r w:rsidRPr="0092216F">
          <w:rPr>
            <w:rFonts w:ascii="Times" w:hAnsi="Times" w:cs="Times"/>
          </w:rPr>
          <w:t>Iskola</w:t>
        </w:r>
      </w:smartTag>
      <w:r w:rsidRPr="0092216F">
        <w:rPr>
          <w:rFonts w:ascii="Times" w:hAnsi="Times" w:cs="Times"/>
        </w:rPr>
        <w:t xml:space="preserve">i előképzettség: </w:t>
      </w:r>
      <w:r w:rsidRPr="0092216F">
        <w:t xml:space="preserve">alapfokú iskolai végzettség, </w:t>
      </w:r>
      <w:r w:rsidR="00FF7F18" w:rsidRPr="0092216F">
        <w:t xml:space="preserve">                                                 </w:t>
      </w:r>
    </w:p>
    <w:p w:rsidR="00514307" w:rsidRPr="0092216F" w:rsidRDefault="00FF7F18" w:rsidP="00514307">
      <w:pPr>
        <w:pStyle w:val="NormlWeb"/>
        <w:ind w:left="900" w:hanging="620"/>
      </w:pPr>
      <w:r w:rsidRPr="0092216F">
        <w:t xml:space="preserve">          </w:t>
      </w:r>
      <w:proofErr w:type="gramStart"/>
      <w:r w:rsidR="00514307" w:rsidRPr="0092216F">
        <w:t>vagy</w:t>
      </w:r>
      <w:proofErr w:type="gramEnd"/>
      <w:r w:rsidR="00514307" w:rsidRPr="0092216F">
        <w:t xml:space="preserve"> iskolai előképzettség hiányában</w:t>
      </w:r>
    </w:p>
    <w:p w:rsidR="004B7B55" w:rsidRPr="0092216F" w:rsidRDefault="00514307" w:rsidP="00514307">
      <w:pPr>
        <w:pStyle w:val="NormlWeb"/>
        <w:spacing w:before="120"/>
        <w:ind w:left="900" w:hanging="622"/>
        <w:rPr>
          <w:rFonts w:ascii="Times" w:hAnsi="Times" w:cs="Times"/>
        </w:rPr>
      </w:pPr>
      <w:r w:rsidRPr="0092216F">
        <w:rPr>
          <w:rFonts w:ascii="Times" w:hAnsi="Times" w:cs="Times"/>
        </w:rPr>
        <w:t>2.1.2. Bemeneti kompetenciák:</w:t>
      </w:r>
      <w:r w:rsidRPr="0092216F">
        <w:t xml:space="preserve"> </w:t>
      </w:r>
      <w:r w:rsidRPr="0092216F">
        <w:rPr>
          <w:rFonts w:ascii="Times" w:hAnsi="Times" w:cs="Times"/>
        </w:rPr>
        <w:t xml:space="preserve">a képzés megkezdhető e rendelet 3. számú mellékletében </w:t>
      </w:r>
      <w:proofErr w:type="gramStart"/>
      <w:r w:rsidRPr="0092216F">
        <w:rPr>
          <w:rFonts w:ascii="Times" w:hAnsi="Times" w:cs="Times"/>
        </w:rPr>
        <w:t>a</w:t>
      </w:r>
      <w:proofErr w:type="gramEnd"/>
      <w:r w:rsidRPr="0092216F">
        <w:rPr>
          <w:rFonts w:ascii="Times" w:hAnsi="Times" w:cs="Times"/>
        </w:rPr>
        <w:t xml:space="preserve"> </w:t>
      </w:r>
    </w:p>
    <w:p w:rsidR="00514307" w:rsidRPr="0092216F" w:rsidRDefault="004B7B55" w:rsidP="0092216F">
      <w:pPr>
        <w:pStyle w:val="NormlWeb"/>
        <w:spacing w:before="120"/>
        <w:ind w:left="900" w:firstLine="0"/>
        <w:rPr>
          <w:rFonts w:ascii="Times" w:hAnsi="Times" w:cs="Times"/>
        </w:rPr>
      </w:pPr>
      <w:proofErr w:type="gramStart"/>
      <w:r w:rsidRPr="0092216F">
        <w:rPr>
          <w:rFonts w:ascii="Times" w:hAnsi="Times" w:cs="Times"/>
        </w:rPr>
        <w:t>közlekedés</w:t>
      </w:r>
      <w:proofErr w:type="gramEnd"/>
      <w:r w:rsidR="00514307" w:rsidRPr="0092216F">
        <w:rPr>
          <w:rFonts w:ascii="Times" w:hAnsi="Times" w:cs="Times"/>
        </w:rPr>
        <w:t xml:space="preserve"> szakmacsoportra meghatározott kompetenciák birtokában.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514307" w:rsidRPr="0092216F" w:rsidRDefault="00514307" w:rsidP="00514307">
      <w:pPr>
        <w:pStyle w:val="NormlWeb"/>
        <w:ind w:left="3780" w:hanging="3500"/>
        <w:rPr>
          <w:rFonts w:ascii="Times" w:hAnsi="Times" w:cs="Times"/>
        </w:rPr>
      </w:pPr>
      <w:r w:rsidRPr="0092216F">
        <w:rPr>
          <w:rFonts w:ascii="Times" w:hAnsi="Times" w:cs="Times"/>
        </w:rPr>
        <w:t xml:space="preserve">2.2. Szakmai előképzettség: </w:t>
      </w:r>
      <w:r w:rsidRPr="0092216F">
        <w:rPr>
          <w:rFonts w:ascii="Times" w:hAnsi="Times" w:cs="Times"/>
          <w:i/>
          <w:iCs/>
        </w:rPr>
        <w:t>–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514307" w:rsidRPr="0092216F" w:rsidRDefault="00514307" w:rsidP="00514307">
      <w:pPr>
        <w:pStyle w:val="NormlWeb"/>
        <w:ind w:firstLine="280"/>
        <w:rPr>
          <w:rFonts w:ascii="Times" w:hAnsi="Times" w:cs="Times"/>
        </w:rPr>
      </w:pPr>
      <w:r w:rsidRPr="0092216F">
        <w:rPr>
          <w:rFonts w:ascii="Times" w:hAnsi="Times" w:cs="Times"/>
        </w:rPr>
        <w:t>2.3. Előírt gyakorlat: –</w:t>
      </w:r>
    </w:p>
    <w:p w:rsidR="00514307" w:rsidRPr="0092216F" w:rsidRDefault="00514307" w:rsidP="00FF1965">
      <w:pPr>
        <w:autoSpaceDE w:val="0"/>
        <w:autoSpaceDN w:val="0"/>
        <w:adjustRightInd w:val="0"/>
        <w:ind w:firstLine="204"/>
        <w:jc w:val="both"/>
      </w:pPr>
    </w:p>
    <w:p w:rsidR="00FF1965" w:rsidRPr="0092216F" w:rsidRDefault="00514307" w:rsidP="00FF1965">
      <w:pPr>
        <w:autoSpaceDE w:val="0"/>
        <w:autoSpaceDN w:val="0"/>
        <w:adjustRightInd w:val="0"/>
        <w:ind w:firstLine="204"/>
        <w:jc w:val="both"/>
      </w:pPr>
      <w:r w:rsidRPr="0092216F">
        <w:rPr>
          <w:rFonts w:ascii="Times" w:hAnsi="Times" w:cs="Times"/>
        </w:rPr>
        <w:t xml:space="preserve">2.4. Egészségügyi alkalmassági követelmények: </w:t>
      </w:r>
      <w:r w:rsidRPr="0092216F">
        <w:t>szükségesek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514307" w:rsidRPr="0092216F" w:rsidRDefault="00514307" w:rsidP="00514307">
      <w:pPr>
        <w:pStyle w:val="NormlWeb"/>
        <w:ind w:firstLine="280"/>
        <w:rPr>
          <w:rFonts w:ascii="Times" w:hAnsi="Times" w:cs="Times"/>
        </w:rPr>
      </w:pPr>
      <w:r w:rsidRPr="0092216F">
        <w:rPr>
          <w:rFonts w:ascii="Times" w:hAnsi="Times" w:cs="Times"/>
        </w:rPr>
        <w:t>2.5. Pályaalkalmassági követelmények: –</w:t>
      </w:r>
    </w:p>
    <w:p w:rsidR="00514307" w:rsidRPr="0092216F" w:rsidRDefault="00514307" w:rsidP="00FF1965">
      <w:pPr>
        <w:autoSpaceDE w:val="0"/>
        <w:autoSpaceDN w:val="0"/>
        <w:adjustRightInd w:val="0"/>
        <w:ind w:firstLine="204"/>
        <w:jc w:val="both"/>
      </w:pPr>
    </w:p>
    <w:p w:rsidR="00514307" w:rsidRPr="0092216F" w:rsidRDefault="00514307" w:rsidP="00514307">
      <w:pPr>
        <w:pStyle w:val="NormlWeb"/>
        <w:ind w:firstLine="280"/>
        <w:rPr>
          <w:rFonts w:ascii="Times" w:hAnsi="Times" w:cs="Times"/>
        </w:rPr>
      </w:pPr>
      <w:r w:rsidRPr="0092216F">
        <w:rPr>
          <w:rFonts w:ascii="Times" w:hAnsi="Times" w:cs="Times"/>
        </w:rPr>
        <w:t>2.6. Elméleti képzési idő aránya: 30 %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514307" w:rsidRPr="0092216F" w:rsidRDefault="00514307" w:rsidP="00514307">
      <w:pPr>
        <w:pStyle w:val="NormlWeb"/>
        <w:ind w:firstLine="280"/>
        <w:rPr>
          <w:rFonts w:ascii="Times" w:hAnsi="Times" w:cs="Times"/>
        </w:rPr>
      </w:pPr>
      <w:r w:rsidRPr="0092216F">
        <w:rPr>
          <w:rFonts w:ascii="Times" w:hAnsi="Times" w:cs="Times"/>
        </w:rPr>
        <w:t>2.7. Gyakorlati képzési idő aránya: 70 %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9D7441" w:rsidRPr="0092216F" w:rsidRDefault="009D7441" w:rsidP="009D7441">
      <w:pPr>
        <w:pStyle w:val="NormlWeb"/>
        <w:ind w:firstLine="280"/>
        <w:rPr>
          <w:rFonts w:ascii="Times" w:hAnsi="Times" w:cs="Times"/>
        </w:rPr>
      </w:pPr>
      <w:r w:rsidRPr="0092216F">
        <w:rPr>
          <w:rFonts w:ascii="Times" w:hAnsi="Times" w:cs="Times"/>
        </w:rPr>
        <w:t>2.8. Szintvizsga: –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9D7441" w:rsidRPr="0092216F" w:rsidRDefault="009D7441" w:rsidP="009D7441">
      <w:pPr>
        <w:pStyle w:val="NormlWeb"/>
        <w:ind w:firstLine="280"/>
        <w:rPr>
          <w:rFonts w:ascii="Times" w:hAnsi="Times" w:cs="Times"/>
        </w:rPr>
      </w:pPr>
      <w:r w:rsidRPr="0092216F">
        <w:rPr>
          <w:rFonts w:ascii="Times" w:hAnsi="Times" w:cs="Times"/>
        </w:rPr>
        <w:t>2.9. Az iskolai rendszerű képzésben az összefüggő szakmai gyakorlat időtartama: –</w:t>
      </w:r>
    </w:p>
    <w:p w:rsidR="009D7441" w:rsidRPr="0092216F" w:rsidRDefault="009D7441" w:rsidP="009D7441">
      <w:pPr>
        <w:pStyle w:val="NormlWeb"/>
        <w:ind w:firstLine="280"/>
        <w:rPr>
          <w:rFonts w:ascii="Times" w:hAnsi="Times" w:cs="Times"/>
        </w:rPr>
      </w:pPr>
      <w:r w:rsidRPr="0092216F">
        <w:rPr>
          <w:rFonts w:ascii="Times" w:hAnsi="Times" w:cs="Times"/>
        </w:rPr>
        <w:t xml:space="preserve">       </w:t>
      </w:r>
    </w:p>
    <w:p w:rsidR="00FF1965" w:rsidRPr="0092216F" w:rsidRDefault="00E24035" w:rsidP="00AF256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iCs/>
        </w:rPr>
      </w:pPr>
      <w:r w:rsidRPr="0092216F">
        <w:rPr>
          <w:b/>
          <w:iCs/>
        </w:rPr>
        <w:t>PÁLYATÜKÖR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FF1965" w:rsidRPr="0092216F" w:rsidRDefault="00FF1965" w:rsidP="00FF196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2216F">
        <w:rPr>
          <w:iCs/>
        </w:rPr>
        <w:t>A szakképesítéssel</w:t>
      </w:r>
      <w:r w:rsidRPr="0092216F">
        <w:t xml:space="preserve"> </w:t>
      </w:r>
      <w:r w:rsidRPr="0092216F">
        <w:rPr>
          <w:iCs/>
        </w:rPr>
        <w:t xml:space="preserve">legjellemzőbben betölthető </w:t>
      </w:r>
      <w:proofErr w:type="gramStart"/>
      <w:r w:rsidRPr="0092216F">
        <w:rPr>
          <w:iCs/>
        </w:rPr>
        <w:t>munkakör(</w:t>
      </w:r>
      <w:proofErr w:type="gramEnd"/>
      <w:r w:rsidRPr="0092216F">
        <w:rPr>
          <w:iCs/>
        </w:rPr>
        <w:t xml:space="preserve">ök), foglalkozás(ok) </w:t>
      </w:r>
    </w:p>
    <w:p w:rsidR="00C91F07" w:rsidRPr="0092216F" w:rsidRDefault="00C91F07" w:rsidP="00C91F07">
      <w:pPr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</w:p>
    <w:tbl>
      <w:tblPr>
        <w:tblW w:w="8464" w:type="dxa"/>
        <w:jc w:val="center"/>
        <w:tblInd w:w="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2"/>
        <w:gridCol w:w="2340"/>
        <w:gridCol w:w="3368"/>
      </w:tblGrid>
      <w:tr w:rsidR="0092216F" w:rsidRPr="0092216F" w:rsidTr="0092216F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92216F">
              <w:rPr>
                <w:b/>
                <w:bCs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92216F">
              <w:rPr>
                <w:b/>
              </w:rPr>
              <w:t>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5D58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</w:rPr>
              <w:t>C</w:t>
            </w:r>
          </w:p>
        </w:tc>
      </w:tr>
      <w:tr w:rsidR="0092216F" w:rsidRPr="0092216F" w:rsidTr="0092216F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9D7441" w:rsidP="009221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3.1.1.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  <w:bCs/>
              </w:rPr>
              <w:t>FEOR száma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</w:rPr>
              <w:t>FEOR megnevezése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9D7441" w:rsidP="009D7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</w:rPr>
              <w:t>a</w:t>
            </w:r>
            <w:r w:rsidR="00C91F07" w:rsidRPr="0092216F">
              <w:rPr>
                <w:b/>
              </w:rPr>
              <w:t xml:space="preserve"> szakképesítéssel betölthető </w:t>
            </w:r>
            <w:proofErr w:type="gramStart"/>
            <w:r w:rsidR="00C91F07" w:rsidRPr="0092216F">
              <w:rPr>
                <w:b/>
              </w:rPr>
              <w:t>munkakör(</w:t>
            </w:r>
            <w:proofErr w:type="gramEnd"/>
            <w:r w:rsidR="00C91F07" w:rsidRPr="0092216F">
              <w:rPr>
                <w:b/>
              </w:rPr>
              <w:t>ök)</w:t>
            </w:r>
          </w:p>
        </w:tc>
      </w:tr>
      <w:tr w:rsidR="0092216F" w:rsidRPr="0092216F" w:rsidTr="0092216F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</w:t>
            </w:r>
            <w:r w:rsidR="009D7441"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5111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C40037">
            <w:pPr>
              <w:autoSpaceDE w:val="0"/>
              <w:autoSpaceDN w:val="0"/>
              <w:adjustRightInd w:val="0"/>
            </w:pPr>
            <w:r w:rsidRPr="0092216F">
              <w:t xml:space="preserve">Kereskedő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C40037">
            <w:pPr>
              <w:autoSpaceDE w:val="0"/>
              <w:autoSpaceDN w:val="0"/>
              <w:adjustRightInd w:val="0"/>
            </w:pPr>
            <w:r w:rsidRPr="0092216F">
              <w:t>Gumiabroncs kereskedő</w:t>
            </w:r>
          </w:p>
        </w:tc>
      </w:tr>
      <w:tr w:rsidR="0092216F" w:rsidRPr="0092216F" w:rsidTr="0092216F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  <w:r w:rsidR="009D7441"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7331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5B37A6" w:rsidP="00C40037">
            <w:pPr>
              <w:autoSpaceDE w:val="0"/>
              <w:autoSpaceDN w:val="0"/>
              <w:adjustRightInd w:val="0"/>
            </w:pPr>
            <w:r w:rsidRPr="0092216F">
              <w:t>Autógumi-javító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C40037">
            <w:pPr>
              <w:autoSpaceDE w:val="0"/>
              <w:autoSpaceDN w:val="0"/>
              <w:adjustRightInd w:val="0"/>
            </w:pPr>
            <w:r w:rsidRPr="0092216F">
              <w:t>Autógumi-javító</w:t>
            </w:r>
          </w:p>
        </w:tc>
      </w:tr>
      <w:tr w:rsidR="0092216F" w:rsidRPr="0092216F" w:rsidTr="0092216F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  <w:r w:rsidR="009D7441"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9D7441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7331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5B37A6" w:rsidP="00C40037">
            <w:pPr>
              <w:autoSpaceDE w:val="0"/>
              <w:autoSpaceDN w:val="0"/>
              <w:adjustRightInd w:val="0"/>
            </w:pPr>
            <w:r w:rsidRPr="0092216F">
              <w:t>Gumijavító és centírozó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C40037">
            <w:pPr>
              <w:autoSpaceDE w:val="0"/>
              <w:autoSpaceDN w:val="0"/>
              <w:adjustRightInd w:val="0"/>
            </w:pPr>
            <w:r w:rsidRPr="0092216F">
              <w:t>Gumijavító és cent</w:t>
            </w:r>
            <w:r w:rsidR="005B37A6" w:rsidRPr="0092216F">
              <w:t>írozó</w:t>
            </w:r>
          </w:p>
        </w:tc>
      </w:tr>
      <w:tr w:rsidR="0092216F" w:rsidRPr="0092216F" w:rsidTr="0092216F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  <w:r w:rsidR="009D7441"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5B37A6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8136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C40037">
            <w:pPr>
              <w:autoSpaceDE w:val="0"/>
              <w:autoSpaceDN w:val="0"/>
              <w:adjustRightInd w:val="0"/>
            </w:pPr>
            <w:r w:rsidRPr="0092216F">
              <w:t>Gumitermékgyártó</w:t>
            </w:r>
            <w:r w:rsidR="005B37A6" w:rsidRPr="0092216F">
              <w:t>, vulkanizáló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C40037">
            <w:pPr>
              <w:autoSpaceDE w:val="0"/>
              <w:autoSpaceDN w:val="0"/>
              <w:adjustRightInd w:val="0"/>
            </w:pPr>
            <w:r w:rsidRPr="0092216F">
              <w:t>Gumitermék javító</w:t>
            </w:r>
          </w:p>
        </w:tc>
      </w:tr>
      <w:tr w:rsidR="0092216F" w:rsidRPr="0092216F" w:rsidTr="0092216F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  <w:r w:rsidR="009D7441"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221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8211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5B37A6" w:rsidP="00C40037">
            <w:pPr>
              <w:autoSpaceDE w:val="0"/>
              <w:autoSpaceDN w:val="0"/>
              <w:adjustRightInd w:val="0"/>
            </w:pPr>
            <w:r w:rsidRPr="0092216F">
              <w:t>Gumiabroncs-felszerelő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7" w:rsidRPr="0092216F" w:rsidRDefault="00C91F07" w:rsidP="00C40037">
            <w:pPr>
              <w:autoSpaceDE w:val="0"/>
              <w:autoSpaceDN w:val="0"/>
              <w:adjustRightInd w:val="0"/>
            </w:pPr>
            <w:r w:rsidRPr="0092216F">
              <w:t>Gumiabroncs</w:t>
            </w:r>
            <w:r w:rsidR="005B37A6" w:rsidRPr="0092216F">
              <w:t>-</w:t>
            </w:r>
            <w:r w:rsidRPr="0092216F">
              <w:t>felszerelő</w:t>
            </w:r>
          </w:p>
        </w:tc>
      </w:tr>
    </w:tbl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FF1965" w:rsidRPr="0092216F" w:rsidRDefault="00FF1965" w:rsidP="00EC078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2216F">
        <w:rPr>
          <w:iCs/>
          <w:sz w:val="22"/>
          <w:szCs w:val="22"/>
        </w:rPr>
        <w:t>A szakképesítés munkaterületének rövid leírása</w:t>
      </w:r>
      <w:r w:rsidR="00612721" w:rsidRPr="0092216F">
        <w:rPr>
          <w:iCs/>
          <w:sz w:val="22"/>
          <w:szCs w:val="22"/>
        </w:rPr>
        <w:t>:</w:t>
      </w:r>
    </w:p>
    <w:p w:rsidR="00B90A49" w:rsidRPr="0092216F" w:rsidRDefault="00B90A49" w:rsidP="00EC07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16F">
        <w:rPr>
          <w:sz w:val="22"/>
          <w:szCs w:val="22"/>
        </w:rPr>
        <w:t xml:space="preserve">A </w:t>
      </w:r>
      <w:r w:rsidR="0080152F" w:rsidRPr="0092216F">
        <w:rPr>
          <w:sz w:val="22"/>
          <w:szCs w:val="22"/>
        </w:rPr>
        <w:t>g</w:t>
      </w:r>
      <w:r w:rsidR="0080152F" w:rsidRPr="0092216F">
        <w:rPr>
          <w:iCs/>
        </w:rPr>
        <w:t>umiabroncs-javító és kerékkiegyensúlyozó</w:t>
      </w:r>
      <w:r w:rsidR="0080152F" w:rsidRPr="0092216F">
        <w:rPr>
          <w:sz w:val="22"/>
          <w:szCs w:val="22"/>
        </w:rPr>
        <w:t xml:space="preserve"> feladata a </w:t>
      </w:r>
      <w:r w:rsidRPr="0092216F">
        <w:rPr>
          <w:sz w:val="22"/>
          <w:szCs w:val="22"/>
        </w:rPr>
        <w:t>gumiabroncsok szerviztevékenységét végző műhely üzemeltetése.</w:t>
      </w:r>
    </w:p>
    <w:p w:rsidR="00B90A49" w:rsidRPr="0092216F" w:rsidRDefault="00B90A49" w:rsidP="00EC07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16F">
        <w:rPr>
          <w:sz w:val="22"/>
          <w:szCs w:val="22"/>
        </w:rPr>
        <w:t>A gépjármű- kerékpánttal és gumiabronccsal és azok tartozékaival kapcsolatos feladatok ellátása a kereskedelem, a javítás, a szerelés, a kiegyensúlyozás, a tárolás, a környezetvédelem, a munkavédelem területén.</w:t>
      </w:r>
    </w:p>
    <w:p w:rsidR="00B90A49" w:rsidRPr="0092216F" w:rsidRDefault="00B90A49" w:rsidP="00EC078F">
      <w:pPr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</w:p>
    <w:p w:rsidR="00B90A49" w:rsidRPr="0092216F" w:rsidRDefault="00B90A49" w:rsidP="00C91F07">
      <w:pPr>
        <w:autoSpaceDE w:val="0"/>
        <w:autoSpaceDN w:val="0"/>
        <w:adjustRightInd w:val="0"/>
        <w:ind w:left="360"/>
        <w:jc w:val="both"/>
      </w:pPr>
      <w:r w:rsidRPr="0092216F">
        <w:t>A</w:t>
      </w:r>
      <w:r w:rsidR="00C91F07" w:rsidRPr="0092216F">
        <w:t xml:space="preserve"> szakképesítéssel rendelkező</w:t>
      </w:r>
      <w:r w:rsidR="009D7441" w:rsidRPr="0092216F">
        <w:t xml:space="preserve"> képes</w:t>
      </w:r>
      <w:r w:rsidRPr="0092216F">
        <w:t>:</w:t>
      </w:r>
    </w:p>
    <w:p w:rsidR="00B90A49" w:rsidRPr="0092216F" w:rsidRDefault="009D7441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>g</w:t>
      </w:r>
      <w:r w:rsidR="00B90A49" w:rsidRPr="0092216F">
        <w:t>ondoskod</w:t>
      </w:r>
      <w:r w:rsidRPr="0092216F">
        <w:t>ni</w:t>
      </w:r>
      <w:r w:rsidR="00B90A49" w:rsidRPr="0092216F">
        <w:t xml:space="preserve"> a gumiabroncs szerviz üzemeltetéséről</w:t>
      </w:r>
    </w:p>
    <w:p w:rsidR="00B90A49" w:rsidRPr="0092216F" w:rsidRDefault="009D7441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>kerékpántokkal</w:t>
      </w:r>
      <w:r w:rsidR="00B90A49" w:rsidRPr="0092216F">
        <w:t>, gumiabroncsokkal és azok tartozékaival keresked</w:t>
      </w:r>
      <w:r w:rsidRPr="0092216F">
        <w:t>ni</w:t>
      </w:r>
    </w:p>
    <w:p w:rsidR="00B90A49" w:rsidRPr="0092216F" w:rsidRDefault="009D7441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</w:pPr>
      <w:r w:rsidRPr="0092216F">
        <w:t>új</w:t>
      </w:r>
      <w:r w:rsidR="00B90A49" w:rsidRPr="0092216F">
        <w:t xml:space="preserve">, használt és </w:t>
      </w:r>
      <w:r w:rsidR="004536FB" w:rsidRPr="0092216F">
        <w:t>selejt kerékpántok</w:t>
      </w:r>
      <w:r w:rsidR="00B90A49" w:rsidRPr="0092216F">
        <w:t xml:space="preserve">, </w:t>
      </w:r>
      <w:r w:rsidR="004536FB" w:rsidRPr="0092216F">
        <w:t>gumiabroncsok,</w:t>
      </w:r>
      <w:r w:rsidR="00B90A49" w:rsidRPr="0092216F">
        <w:t xml:space="preserve"> és tartozékok szakszerű</w:t>
      </w:r>
      <w:r w:rsidRPr="0092216F">
        <w:t xml:space="preserve"> </w:t>
      </w:r>
      <w:r w:rsidR="00B90A49" w:rsidRPr="0092216F">
        <w:t>tárolásáról gondoskod</w:t>
      </w:r>
      <w:r w:rsidRPr="0092216F">
        <w:t>n</w:t>
      </w:r>
      <w:r w:rsidR="00B90A49" w:rsidRPr="0092216F">
        <w:t xml:space="preserve">i </w:t>
      </w:r>
    </w:p>
    <w:p w:rsidR="00B90A49" w:rsidRPr="0092216F" w:rsidRDefault="009D7441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>b</w:t>
      </w:r>
      <w:r w:rsidR="00B90A49" w:rsidRPr="0092216F">
        <w:t>etart</w:t>
      </w:r>
      <w:r w:rsidRPr="0092216F">
        <w:t>ani</w:t>
      </w:r>
      <w:r w:rsidR="00B90A49" w:rsidRPr="0092216F">
        <w:t xml:space="preserve"> és betartat</w:t>
      </w:r>
      <w:r w:rsidRPr="0092216F">
        <w:t>ni</w:t>
      </w:r>
      <w:r w:rsidR="00B90A49" w:rsidRPr="0092216F">
        <w:t xml:space="preserve"> a munka-</w:t>
      </w:r>
      <w:r w:rsidR="00901EAF" w:rsidRPr="0092216F">
        <w:t>, tűz-,</w:t>
      </w:r>
      <w:r w:rsidR="00B90A49" w:rsidRPr="0092216F">
        <w:t xml:space="preserve"> és környezetvédelmi szabályokat</w:t>
      </w:r>
    </w:p>
    <w:p w:rsidR="00901EAF" w:rsidRPr="0092216F" w:rsidRDefault="009D7441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 xml:space="preserve">biztonságtechnikai </w:t>
      </w:r>
      <w:r w:rsidR="008457C9" w:rsidRPr="0092216F">
        <w:t>szabályok,</w:t>
      </w:r>
      <w:r w:rsidR="00901EAF" w:rsidRPr="0092216F">
        <w:t xml:space="preserve"> betartásával dolgoz</w:t>
      </w:r>
      <w:r w:rsidRPr="0092216F">
        <w:t>n</w:t>
      </w:r>
      <w:r w:rsidR="00901EAF" w:rsidRPr="0092216F">
        <w:t>i</w:t>
      </w:r>
    </w:p>
    <w:p w:rsidR="00901EAF" w:rsidRPr="0092216F" w:rsidRDefault="009D7441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 xml:space="preserve">betartatni </w:t>
      </w:r>
      <w:r w:rsidR="00901EAF" w:rsidRPr="0092216F">
        <w:t>a vállalkozására vonatkozó szabályokat</w:t>
      </w:r>
    </w:p>
    <w:p w:rsidR="008457C9" w:rsidRPr="0092216F" w:rsidRDefault="009D7441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</w:pPr>
      <w:r w:rsidRPr="0092216F">
        <w:t xml:space="preserve">biztosítani </w:t>
      </w:r>
      <w:r w:rsidR="008457C9" w:rsidRPr="0092216F">
        <w:t>a szükséges vállalkozási (anyagi és tárgyi) feltételeket és betart</w:t>
      </w:r>
      <w:r w:rsidRPr="0092216F">
        <w:t>atni</w:t>
      </w:r>
      <w:r w:rsidR="008457C9" w:rsidRPr="0092216F">
        <w:t xml:space="preserve"> az erre vonatkozó szabályokat</w:t>
      </w:r>
    </w:p>
    <w:p w:rsidR="00901EAF" w:rsidRPr="0092216F" w:rsidRDefault="009D7441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>ügyfelekkel</w:t>
      </w:r>
      <w:r w:rsidR="008457C9" w:rsidRPr="0092216F">
        <w:t>, ellenőrző hatóságokkal</w:t>
      </w:r>
      <w:r w:rsidR="00B90A49" w:rsidRPr="0092216F">
        <w:t xml:space="preserve"> kapcsolatot tart</w:t>
      </w:r>
      <w:r w:rsidR="00B474FE" w:rsidRPr="0092216F">
        <w:t>ani</w:t>
      </w:r>
    </w:p>
    <w:p w:rsidR="00901EAF" w:rsidRPr="0092216F" w:rsidRDefault="00B474FE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 xml:space="preserve">reklamációt </w:t>
      </w:r>
      <w:r w:rsidR="00901EAF" w:rsidRPr="0092216F">
        <w:t>kezel</w:t>
      </w:r>
      <w:r w:rsidRPr="0092216F">
        <w:t>ni</w:t>
      </w:r>
    </w:p>
    <w:p w:rsidR="00901EAF" w:rsidRPr="0092216F" w:rsidRDefault="00B474FE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 xml:space="preserve">számlát </w:t>
      </w:r>
      <w:r w:rsidR="00901EAF" w:rsidRPr="0092216F">
        <w:t>készít</w:t>
      </w:r>
      <w:r w:rsidRPr="0092216F">
        <w:t>eni</w:t>
      </w:r>
    </w:p>
    <w:p w:rsidR="00B90A49" w:rsidRPr="0092216F" w:rsidRDefault="00B474FE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</w:pPr>
      <w:r w:rsidRPr="0092216F">
        <w:t xml:space="preserve">a </w:t>
      </w:r>
      <w:r w:rsidR="00B90A49" w:rsidRPr="0092216F">
        <w:t>kerékpánt és gumiabroncs, adott gépjárműre való szerelhetőségét</w:t>
      </w:r>
      <w:r w:rsidR="008457C9" w:rsidRPr="0092216F">
        <w:t xml:space="preserve"> (oldal, forgásirány)</w:t>
      </w:r>
      <w:r w:rsidR="00B90A49" w:rsidRPr="0092216F">
        <w:t xml:space="preserve"> megállapít</w:t>
      </w:r>
      <w:r w:rsidRPr="0092216F">
        <w:t>ani</w:t>
      </w:r>
    </w:p>
    <w:p w:rsidR="00B90A49" w:rsidRPr="0092216F" w:rsidRDefault="00B474FE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</w:pPr>
      <w:r w:rsidRPr="0092216F">
        <w:t xml:space="preserve">a </w:t>
      </w:r>
      <w:r w:rsidR="00B90A49" w:rsidRPr="0092216F">
        <w:t xml:space="preserve">kerék gépjárműre való és a gumiabroncs kerékpántra való fel- és leszerelését </w:t>
      </w:r>
      <w:r w:rsidRPr="0092216F">
        <w:t>el</w:t>
      </w:r>
      <w:r w:rsidR="00B90A49" w:rsidRPr="0092216F">
        <w:t>vég</w:t>
      </w:r>
      <w:r w:rsidRPr="0092216F">
        <w:t>e</w:t>
      </w:r>
      <w:r w:rsidR="00B90A49" w:rsidRPr="0092216F">
        <w:t>z</w:t>
      </w:r>
      <w:r w:rsidRPr="0092216F">
        <w:t>n</w:t>
      </w:r>
      <w:r w:rsidR="00B90A49" w:rsidRPr="0092216F">
        <w:t>i</w:t>
      </w:r>
    </w:p>
    <w:p w:rsidR="00B90A49" w:rsidRPr="0092216F" w:rsidRDefault="00B474FE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 xml:space="preserve">mobil </w:t>
      </w:r>
      <w:r w:rsidR="00B90A49" w:rsidRPr="0092216F">
        <w:t xml:space="preserve">és stabil kiegyensúlyozó gépeken a kerék kiegyensúlyozását </w:t>
      </w:r>
      <w:r w:rsidRPr="0092216F">
        <w:t>el</w:t>
      </w:r>
      <w:r w:rsidR="00B90A49" w:rsidRPr="0092216F">
        <w:t>vég</w:t>
      </w:r>
      <w:r w:rsidRPr="0092216F">
        <w:t>e</w:t>
      </w:r>
      <w:r w:rsidR="00B90A49" w:rsidRPr="0092216F">
        <w:t>z</w:t>
      </w:r>
      <w:r w:rsidRPr="0092216F">
        <w:t>n</w:t>
      </w:r>
      <w:r w:rsidR="00B90A49" w:rsidRPr="0092216F">
        <w:t>i</w:t>
      </w:r>
    </w:p>
    <w:p w:rsidR="00B90A49" w:rsidRPr="0092216F" w:rsidRDefault="00B90A49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>kerékpánt és gumiabroncs hibáit megállapít</w:t>
      </w:r>
      <w:r w:rsidR="00B474FE" w:rsidRPr="0092216F">
        <w:t>ani</w:t>
      </w:r>
    </w:p>
    <w:p w:rsidR="00B90A49" w:rsidRPr="0092216F" w:rsidRDefault="00B474FE" w:rsidP="009D7441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 xml:space="preserve">gumiabroncs </w:t>
      </w:r>
      <w:r w:rsidR="00B90A49" w:rsidRPr="0092216F">
        <w:t>javíthatóságát megállapít</w:t>
      </w:r>
      <w:r w:rsidRPr="0092216F">
        <w:t>ani</w:t>
      </w:r>
    </w:p>
    <w:p w:rsidR="00B90A49" w:rsidRPr="0092216F" w:rsidRDefault="00B474FE" w:rsidP="0092216F">
      <w:pPr>
        <w:numPr>
          <w:ilvl w:val="1"/>
          <w:numId w:val="13"/>
        </w:numPr>
        <w:tabs>
          <w:tab w:val="clear" w:pos="2160"/>
          <w:tab w:val="num" w:pos="900"/>
        </w:tabs>
        <w:autoSpaceDE w:val="0"/>
        <w:autoSpaceDN w:val="0"/>
        <w:adjustRightInd w:val="0"/>
        <w:ind w:hanging="1620"/>
        <w:jc w:val="both"/>
      </w:pPr>
      <w:r w:rsidRPr="0092216F">
        <w:t xml:space="preserve">gumiabroncs </w:t>
      </w:r>
      <w:r w:rsidR="00B90A49" w:rsidRPr="0092216F">
        <w:t>és tömlőjavítást végez</w:t>
      </w:r>
      <w:r w:rsidRPr="0092216F">
        <w:t>ni</w:t>
      </w:r>
    </w:p>
    <w:p w:rsidR="00B90A49" w:rsidRPr="0092216F" w:rsidRDefault="00B90A49" w:rsidP="00B90A49">
      <w:pPr>
        <w:autoSpaceDE w:val="0"/>
        <w:autoSpaceDN w:val="0"/>
        <w:adjustRightInd w:val="0"/>
        <w:jc w:val="both"/>
      </w:pPr>
    </w:p>
    <w:p w:rsidR="00FF1965" w:rsidRPr="0092216F" w:rsidRDefault="00FF1965" w:rsidP="00EC078F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2216F">
        <w:rPr>
          <w:iCs/>
        </w:rPr>
        <w:t xml:space="preserve">Kapcsolódó szakképesítések 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340"/>
        <w:gridCol w:w="2592"/>
      </w:tblGrid>
      <w:tr w:rsidR="0092216F" w:rsidRPr="0092216F" w:rsidTr="0092216F">
        <w:tc>
          <w:tcPr>
            <w:tcW w:w="1080" w:type="dxa"/>
          </w:tcPr>
          <w:p w:rsidR="004966B6" w:rsidRPr="0092216F" w:rsidRDefault="004966B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4966B6" w:rsidRPr="0092216F" w:rsidRDefault="004966B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92216F">
              <w:rPr>
                <w:b/>
                <w:bCs/>
              </w:rPr>
              <w:t>A</w:t>
            </w:r>
          </w:p>
        </w:tc>
        <w:tc>
          <w:tcPr>
            <w:tcW w:w="2340" w:type="dxa"/>
          </w:tcPr>
          <w:p w:rsidR="004966B6" w:rsidRPr="0092216F" w:rsidRDefault="004966B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92216F">
              <w:rPr>
                <w:b/>
                <w:bCs/>
              </w:rPr>
              <w:t>B</w:t>
            </w:r>
          </w:p>
        </w:tc>
        <w:tc>
          <w:tcPr>
            <w:tcW w:w="2592" w:type="dxa"/>
          </w:tcPr>
          <w:p w:rsidR="004966B6" w:rsidRPr="0092216F" w:rsidRDefault="004966B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</w:rPr>
            </w:pPr>
            <w:r w:rsidRPr="0092216F">
              <w:rPr>
                <w:b/>
                <w:bCs/>
              </w:rPr>
              <w:t>C</w:t>
            </w:r>
          </w:p>
        </w:tc>
      </w:tr>
      <w:tr w:rsidR="0092216F" w:rsidRPr="0092216F" w:rsidTr="0092216F">
        <w:tc>
          <w:tcPr>
            <w:tcW w:w="1080" w:type="dxa"/>
          </w:tcPr>
          <w:p w:rsidR="00B474FE" w:rsidRPr="0092216F" w:rsidRDefault="00B474FE" w:rsidP="0092216F">
            <w:pPr>
              <w:autoSpaceDE w:val="0"/>
              <w:autoSpaceDN w:val="0"/>
              <w:adjustRightInd w:val="0"/>
            </w:pPr>
            <w:r w:rsidRPr="0092216F">
              <w:rPr>
                <w:bCs/>
              </w:rPr>
              <w:t>3.3.1.</w:t>
            </w:r>
          </w:p>
        </w:tc>
        <w:tc>
          <w:tcPr>
            <w:tcW w:w="7992" w:type="dxa"/>
            <w:gridSpan w:val="3"/>
          </w:tcPr>
          <w:p w:rsidR="00B474FE" w:rsidRPr="0092216F" w:rsidRDefault="00B474FE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92216F">
              <w:rPr>
                <w:b/>
                <w:bCs/>
              </w:rPr>
              <w:t xml:space="preserve">A kapcsolódó </w:t>
            </w:r>
            <w:r w:rsidRPr="0092216F">
              <w:rPr>
                <w:b/>
                <w:iCs/>
              </w:rPr>
              <w:t>szakképesítés, részszakképesítés, szakképesítés-ráépülés</w:t>
            </w:r>
          </w:p>
        </w:tc>
      </w:tr>
      <w:tr w:rsidR="0092216F" w:rsidRPr="0092216F" w:rsidTr="0092216F">
        <w:trPr>
          <w:trHeight w:val="415"/>
        </w:trPr>
        <w:tc>
          <w:tcPr>
            <w:tcW w:w="1080" w:type="dxa"/>
          </w:tcPr>
          <w:p w:rsidR="004966B6" w:rsidRPr="0092216F" w:rsidRDefault="00B474FE" w:rsidP="0092216F">
            <w:pPr>
              <w:autoSpaceDE w:val="0"/>
              <w:autoSpaceDN w:val="0"/>
              <w:adjustRightInd w:val="0"/>
              <w:rPr>
                <w:bCs/>
              </w:rPr>
            </w:pPr>
            <w:r w:rsidRPr="0092216F">
              <w:t>3.3.2.</w:t>
            </w:r>
          </w:p>
        </w:tc>
        <w:tc>
          <w:tcPr>
            <w:tcW w:w="3060" w:type="dxa"/>
          </w:tcPr>
          <w:p w:rsidR="004966B6" w:rsidRPr="0092216F" w:rsidRDefault="004966B6" w:rsidP="00B474FE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92216F">
              <w:rPr>
                <w:b/>
                <w:bCs/>
              </w:rPr>
              <w:t>azonosító száma</w:t>
            </w:r>
          </w:p>
        </w:tc>
        <w:tc>
          <w:tcPr>
            <w:tcW w:w="2340" w:type="dxa"/>
          </w:tcPr>
          <w:p w:rsidR="004966B6" w:rsidRPr="0092216F" w:rsidRDefault="004966B6" w:rsidP="00B474FE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92216F">
              <w:rPr>
                <w:b/>
              </w:rPr>
              <w:t>megnevezése</w:t>
            </w:r>
          </w:p>
        </w:tc>
        <w:tc>
          <w:tcPr>
            <w:tcW w:w="2592" w:type="dxa"/>
          </w:tcPr>
          <w:p w:rsidR="004966B6" w:rsidRPr="0092216F" w:rsidRDefault="00B474FE" w:rsidP="00B474FE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92216F">
              <w:rPr>
                <w:b/>
              </w:rPr>
              <w:t>a kapcsolódás módja</w:t>
            </w:r>
          </w:p>
        </w:tc>
      </w:tr>
      <w:tr w:rsidR="0092216F" w:rsidRPr="0092216F" w:rsidTr="0092216F">
        <w:trPr>
          <w:trHeight w:val="414"/>
        </w:trPr>
        <w:tc>
          <w:tcPr>
            <w:tcW w:w="1080" w:type="dxa"/>
          </w:tcPr>
          <w:p w:rsidR="004966B6" w:rsidRPr="0092216F" w:rsidRDefault="00B474FE" w:rsidP="0092216F">
            <w:pPr>
              <w:autoSpaceDE w:val="0"/>
              <w:autoSpaceDN w:val="0"/>
              <w:adjustRightInd w:val="0"/>
            </w:pPr>
            <w:r w:rsidRPr="0092216F">
              <w:t>3.3.3.</w:t>
            </w:r>
          </w:p>
        </w:tc>
        <w:tc>
          <w:tcPr>
            <w:tcW w:w="3060" w:type="dxa"/>
          </w:tcPr>
          <w:p w:rsidR="004966B6" w:rsidRPr="0092216F" w:rsidRDefault="00B474FE" w:rsidP="003C534A">
            <w:pPr>
              <w:autoSpaceDE w:val="0"/>
              <w:autoSpaceDN w:val="0"/>
              <w:adjustRightInd w:val="0"/>
              <w:ind w:firstLine="204"/>
              <w:jc w:val="center"/>
            </w:pPr>
            <w:r w:rsidRPr="0092216F">
              <w:rPr>
                <w:rFonts w:ascii="Times" w:hAnsi="Times" w:cs="Times"/>
              </w:rPr>
              <w:t>–</w:t>
            </w:r>
          </w:p>
        </w:tc>
        <w:tc>
          <w:tcPr>
            <w:tcW w:w="2340" w:type="dxa"/>
          </w:tcPr>
          <w:p w:rsidR="004966B6" w:rsidRPr="0092216F" w:rsidRDefault="00B474FE" w:rsidP="003C534A">
            <w:pPr>
              <w:autoSpaceDE w:val="0"/>
              <w:autoSpaceDN w:val="0"/>
              <w:adjustRightInd w:val="0"/>
              <w:ind w:firstLine="204"/>
              <w:jc w:val="center"/>
            </w:pPr>
            <w:r w:rsidRPr="0092216F">
              <w:rPr>
                <w:rFonts w:ascii="Times" w:hAnsi="Times" w:cs="Times"/>
              </w:rPr>
              <w:t>–</w:t>
            </w:r>
          </w:p>
        </w:tc>
        <w:tc>
          <w:tcPr>
            <w:tcW w:w="2592" w:type="dxa"/>
          </w:tcPr>
          <w:p w:rsidR="004966B6" w:rsidRPr="0092216F" w:rsidRDefault="00B474FE" w:rsidP="003C534A">
            <w:pPr>
              <w:autoSpaceDE w:val="0"/>
              <w:autoSpaceDN w:val="0"/>
              <w:adjustRightInd w:val="0"/>
              <w:ind w:firstLine="204"/>
              <w:jc w:val="center"/>
            </w:pPr>
            <w:r w:rsidRPr="0092216F">
              <w:rPr>
                <w:rFonts w:ascii="Times" w:hAnsi="Times" w:cs="Times"/>
              </w:rPr>
              <w:t>–</w:t>
            </w:r>
          </w:p>
        </w:tc>
      </w:tr>
    </w:tbl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83317F" w:rsidRPr="0092216F" w:rsidRDefault="0083317F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99433A" w:rsidRPr="0092216F" w:rsidRDefault="0099433A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4966B6" w:rsidRPr="0092216F" w:rsidRDefault="004966B6" w:rsidP="00FF1965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p w:rsidR="00FF1965" w:rsidRPr="0092216F" w:rsidRDefault="00FF1965" w:rsidP="004966B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92216F">
        <w:rPr>
          <w:b/>
          <w:iCs/>
        </w:rPr>
        <w:t>SZAKMAI KÖVETELMÉNYEK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20"/>
        <w:gridCol w:w="6120"/>
      </w:tblGrid>
      <w:tr w:rsidR="0092216F" w:rsidRPr="0092216F" w:rsidTr="0092216F">
        <w:tc>
          <w:tcPr>
            <w:tcW w:w="578" w:type="dxa"/>
            <w:shd w:val="clear" w:color="auto" w:fill="auto"/>
          </w:tcPr>
          <w:p w:rsidR="004966B6" w:rsidRPr="0092216F" w:rsidRDefault="004966B6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4966B6" w:rsidRPr="0092216F" w:rsidRDefault="00114DA3" w:rsidP="003C5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A</w:t>
            </w:r>
          </w:p>
        </w:tc>
        <w:tc>
          <w:tcPr>
            <w:tcW w:w="6120" w:type="dxa"/>
            <w:shd w:val="clear" w:color="auto" w:fill="auto"/>
          </w:tcPr>
          <w:p w:rsidR="004966B6" w:rsidRPr="0092216F" w:rsidRDefault="00114DA3" w:rsidP="003C5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B</w:t>
            </w:r>
          </w:p>
        </w:tc>
      </w:tr>
      <w:tr w:rsidR="0092216F" w:rsidRPr="0092216F" w:rsidTr="0092216F">
        <w:tc>
          <w:tcPr>
            <w:tcW w:w="578" w:type="dxa"/>
            <w:shd w:val="clear" w:color="auto" w:fill="auto"/>
          </w:tcPr>
          <w:p w:rsidR="00B474FE" w:rsidRPr="0092216F" w:rsidRDefault="00B474FE" w:rsidP="0074055E">
            <w:pPr>
              <w:autoSpaceDE w:val="0"/>
              <w:autoSpaceDN w:val="0"/>
              <w:adjustRightInd w:val="0"/>
              <w:jc w:val="center"/>
            </w:pPr>
            <w:r w:rsidRPr="0092216F">
              <w:rPr>
                <w:bCs/>
              </w:rPr>
              <w:t>4.1.</w:t>
            </w:r>
          </w:p>
        </w:tc>
        <w:tc>
          <w:tcPr>
            <w:tcW w:w="8640" w:type="dxa"/>
            <w:gridSpan w:val="2"/>
            <w:shd w:val="clear" w:color="auto" w:fill="auto"/>
          </w:tcPr>
          <w:p w:rsidR="00B474FE" w:rsidRPr="0092216F" w:rsidRDefault="00B474FE" w:rsidP="00605780">
            <w:pPr>
              <w:autoSpaceDE w:val="0"/>
              <w:autoSpaceDN w:val="0"/>
              <w:adjustRightInd w:val="0"/>
              <w:jc w:val="center"/>
            </w:pPr>
            <w:r w:rsidRPr="0092216F">
              <w:rPr>
                <w:b/>
                <w:bCs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92216F" w:rsidRPr="0092216F" w:rsidTr="0092216F">
        <w:trPr>
          <w:trHeight w:val="419"/>
        </w:trPr>
        <w:tc>
          <w:tcPr>
            <w:tcW w:w="578" w:type="dxa"/>
            <w:shd w:val="clear" w:color="auto" w:fill="auto"/>
          </w:tcPr>
          <w:p w:rsidR="004966B6" w:rsidRPr="0092216F" w:rsidRDefault="00B474FE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4.2.</w:t>
            </w:r>
          </w:p>
        </w:tc>
        <w:tc>
          <w:tcPr>
            <w:tcW w:w="2520" w:type="dxa"/>
            <w:shd w:val="clear" w:color="auto" w:fill="auto"/>
          </w:tcPr>
          <w:p w:rsidR="00114DA3" w:rsidRPr="0092216F" w:rsidRDefault="00114DA3" w:rsidP="00114D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  <w:bCs/>
              </w:rPr>
              <w:t>azonosító száma</w:t>
            </w:r>
          </w:p>
          <w:p w:rsidR="004966B6" w:rsidRPr="0092216F" w:rsidRDefault="004966B6" w:rsidP="003C53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shd w:val="clear" w:color="auto" w:fill="auto"/>
          </w:tcPr>
          <w:p w:rsidR="00114DA3" w:rsidRPr="0092216F" w:rsidRDefault="00114DA3" w:rsidP="00114D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</w:rPr>
              <w:t>megnevezése</w:t>
            </w:r>
          </w:p>
          <w:p w:rsidR="004966B6" w:rsidRPr="0092216F" w:rsidRDefault="004966B6" w:rsidP="003C53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2216F" w:rsidRPr="0092216F" w:rsidTr="0092216F">
        <w:trPr>
          <w:trHeight w:val="506"/>
        </w:trPr>
        <w:tc>
          <w:tcPr>
            <w:tcW w:w="578" w:type="dxa"/>
            <w:shd w:val="clear" w:color="auto" w:fill="auto"/>
          </w:tcPr>
          <w:p w:rsidR="00114DA3" w:rsidRPr="0092216F" w:rsidRDefault="0099433A" w:rsidP="009221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4.</w:t>
            </w:r>
            <w:r w:rsidR="00B474FE" w:rsidRPr="0092216F">
              <w:rPr>
                <w:bCs/>
              </w:rPr>
              <w:t>3</w:t>
            </w:r>
            <w:r w:rsidRPr="0092216F">
              <w:rPr>
                <w:bCs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114DA3" w:rsidRPr="0092216F" w:rsidRDefault="00597B9C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10462-12</w:t>
            </w:r>
          </w:p>
        </w:tc>
        <w:tc>
          <w:tcPr>
            <w:tcW w:w="6120" w:type="dxa"/>
            <w:shd w:val="clear" w:color="auto" w:fill="auto"/>
          </w:tcPr>
          <w:p w:rsidR="00114DA3" w:rsidRPr="0092216F" w:rsidRDefault="00114DA3" w:rsidP="0092216F">
            <w:pPr>
              <w:autoSpaceDE w:val="0"/>
              <w:autoSpaceDN w:val="0"/>
              <w:adjustRightInd w:val="0"/>
            </w:pPr>
            <w:r w:rsidRPr="0092216F">
              <w:rPr>
                <w:bCs/>
                <w:noProof/>
              </w:rPr>
              <w:t>Gumijavító műhely üzemeltetése</w:t>
            </w:r>
          </w:p>
          <w:p w:rsidR="00114DA3" w:rsidRPr="0092216F" w:rsidRDefault="00114DA3" w:rsidP="009221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216F" w:rsidRPr="0092216F" w:rsidTr="0092216F">
        <w:trPr>
          <w:trHeight w:val="506"/>
        </w:trPr>
        <w:tc>
          <w:tcPr>
            <w:tcW w:w="578" w:type="dxa"/>
            <w:shd w:val="clear" w:color="auto" w:fill="auto"/>
          </w:tcPr>
          <w:p w:rsidR="00114DA3" w:rsidRPr="0092216F" w:rsidRDefault="00114DA3" w:rsidP="009221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4.</w:t>
            </w:r>
            <w:r w:rsidR="00B474FE" w:rsidRPr="0092216F">
              <w:rPr>
                <w:bCs/>
              </w:rPr>
              <w:t>4</w:t>
            </w:r>
            <w:r w:rsidRPr="0092216F">
              <w:rPr>
                <w:bCs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114DA3" w:rsidRPr="0092216F" w:rsidRDefault="00597B9C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10463-12</w:t>
            </w:r>
          </w:p>
        </w:tc>
        <w:tc>
          <w:tcPr>
            <w:tcW w:w="6120" w:type="dxa"/>
            <w:shd w:val="clear" w:color="auto" w:fill="auto"/>
          </w:tcPr>
          <w:p w:rsidR="00114DA3" w:rsidRPr="0092216F" w:rsidRDefault="00114DA3" w:rsidP="0092216F">
            <w:pPr>
              <w:autoSpaceDE w:val="0"/>
              <w:autoSpaceDN w:val="0"/>
              <w:adjustRightInd w:val="0"/>
              <w:rPr>
                <w:bCs/>
              </w:rPr>
            </w:pPr>
            <w:r w:rsidRPr="0092216F">
              <w:rPr>
                <w:bCs/>
                <w:noProof/>
              </w:rPr>
              <w:t>Gumiabroncs</w:t>
            </w:r>
            <w:r w:rsidR="0074055E" w:rsidRPr="0092216F">
              <w:rPr>
                <w:bCs/>
                <w:noProof/>
              </w:rPr>
              <w:t>-</w:t>
            </w:r>
            <w:r w:rsidRPr="0092216F">
              <w:rPr>
                <w:bCs/>
                <w:noProof/>
              </w:rPr>
              <w:t xml:space="preserve">szerelés és </w:t>
            </w:r>
            <w:r w:rsidR="0074055E" w:rsidRPr="0092216F">
              <w:rPr>
                <w:bCs/>
                <w:noProof/>
              </w:rPr>
              <w:t>-</w:t>
            </w:r>
            <w:r w:rsidRPr="0092216F">
              <w:rPr>
                <w:bCs/>
                <w:noProof/>
              </w:rPr>
              <w:t>kiegyensúlyozás</w:t>
            </w:r>
          </w:p>
        </w:tc>
      </w:tr>
      <w:tr w:rsidR="0092216F" w:rsidRPr="0092216F" w:rsidTr="0092216F">
        <w:trPr>
          <w:trHeight w:val="506"/>
        </w:trPr>
        <w:tc>
          <w:tcPr>
            <w:tcW w:w="578" w:type="dxa"/>
            <w:shd w:val="clear" w:color="auto" w:fill="auto"/>
          </w:tcPr>
          <w:p w:rsidR="00114DA3" w:rsidRPr="0092216F" w:rsidRDefault="00114DA3" w:rsidP="009221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4.</w:t>
            </w:r>
            <w:r w:rsidR="00B474FE" w:rsidRPr="0092216F">
              <w:rPr>
                <w:bCs/>
              </w:rPr>
              <w:t>5</w:t>
            </w:r>
            <w:r w:rsidRPr="0092216F">
              <w:rPr>
                <w:bCs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114DA3" w:rsidRPr="0092216F" w:rsidRDefault="00597B9C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10464-12</w:t>
            </w:r>
          </w:p>
        </w:tc>
        <w:tc>
          <w:tcPr>
            <w:tcW w:w="6120" w:type="dxa"/>
            <w:shd w:val="clear" w:color="auto" w:fill="auto"/>
          </w:tcPr>
          <w:p w:rsidR="00114DA3" w:rsidRPr="0092216F" w:rsidRDefault="00114DA3" w:rsidP="0092216F">
            <w:pPr>
              <w:autoSpaceDE w:val="0"/>
              <w:autoSpaceDN w:val="0"/>
              <w:adjustRightInd w:val="0"/>
              <w:rPr>
                <w:bCs/>
              </w:rPr>
            </w:pPr>
            <w:r w:rsidRPr="0092216F">
              <w:rPr>
                <w:bCs/>
                <w:noProof/>
              </w:rPr>
              <w:t>Gumiabroncs</w:t>
            </w:r>
            <w:r w:rsidR="0074055E" w:rsidRPr="0092216F">
              <w:rPr>
                <w:bCs/>
                <w:noProof/>
              </w:rPr>
              <w:t>-</w:t>
            </w:r>
            <w:r w:rsidRPr="0092216F">
              <w:rPr>
                <w:bCs/>
                <w:noProof/>
              </w:rPr>
              <w:t>javítás</w:t>
            </w:r>
          </w:p>
        </w:tc>
      </w:tr>
      <w:tr w:rsidR="0092216F" w:rsidRPr="0092216F" w:rsidTr="0092216F">
        <w:trPr>
          <w:trHeight w:val="506"/>
        </w:trPr>
        <w:tc>
          <w:tcPr>
            <w:tcW w:w="578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4.6.</w:t>
            </w:r>
          </w:p>
        </w:tc>
        <w:tc>
          <w:tcPr>
            <w:tcW w:w="2520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jc w:val="center"/>
            </w:pPr>
            <w:r w:rsidRPr="0092216F">
              <w:t>11497-12</w:t>
            </w:r>
          </w:p>
        </w:tc>
        <w:tc>
          <w:tcPr>
            <w:tcW w:w="6120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92216F">
              <w:rPr>
                <w:bCs/>
                <w:noProof/>
              </w:rPr>
              <w:t>Foglalkoztatás I.</w:t>
            </w:r>
          </w:p>
        </w:tc>
      </w:tr>
      <w:tr w:rsidR="0092216F" w:rsidRPr="0092216F" w:rsidTr="0092216F">
        <w:trPr>
          <w:trHeight w:val="506"/>
        </w:trPr>
        <w:tc>
          <w:tcPr>
            <w:tcW w:w="578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4.7.</w:t>
            </w:r>
          </w:p>
        </w:tc>
        <w:tc>
          <w:tcPr>
            <w:tcW w:w="2520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jc w:val="center"/>
            </w:pPr>
            <w:r w:rsidRPr="0092216F">
              <w:t>11499-12</w:t>
            </w:r>
          </w:p>
        </w:tc>
        <w:tc>
          <w:tcPr>
            <w:tcW w:w="6120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92216F">
              <w:rPr>
                <w:bCs/>
                <w:noProof/>
              </w:rPr>
              <w:t>Foglalkoztatás II.</w:t>
            </w:r>
          </w:p>
        </w:tc>
      </w:tr>
      <w:tr w:rsidR="0092216F" w:rsidRPr="0092216F" w:rsidTr="0092216F">
        <w:trPr>
          <w:trHeight w:val="506"/>
        </w:trPr>
        <w:tc>
          <w:tcPr>
            <w:tcW w:w="578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4.8.</w:t>
            </w:r>
          </w:p>
        </w:tc>
        <w:tc>
          <w:tcPr>
            <w:tcW w:w="2520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jc w:val="center"/>
            </w:pPr>
            <w:r w:rsidRPr="0092216F">
              <w:t>11500-12</w:t>
            </w:r>
          </w:p>
        </w:tc>
        <w:tc>
          <w:tcPr>
            <w:tcW w:w="6120" w:type="dxa"/>
            <w:shd w:val="clear" w:color="auto" w:fill="auto"/>
          </w:tcPr>
          <w:p w:rsidR="0074055E" w:rsidRPr="0092216F" w:rsidRDefault="0074055E" w:rsidP="0074055E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92216F">
              <w:rPr>
                <w:bCs/>
                <w:noProof/>
              </w:rPr>
              <w:t>Munkahelyi egészség és biztonság</w:t>
            </w:r>
          </w:p>
        </w:tc>
      </w:tr>
    </w:tbl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FF1965" w:rsidRPr="0092216F" w:rsidRDefault="00FF1965" w:rsidP="00114DA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92216F">
        <w:rPr>
          <w:b/>
        </w:rPr>
        <w:t>VIZSGÁZTATÁSI KÖVETELMÉNYEK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FF1965" w:rsidRPr="0092216F" w:rsidRDefault="00FF1965" w:rsidP="00114DA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2216F">
        <w:t>A komplex szakmai vizsgára bocsátás feltételei:</w:t>
      </w:r>
    </w:p>
    <w:p w:rsidR="006F4346" w:rsidRPr="0092216F" w:rsidRDefault="006F4346" w:rsidP="00FF196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FF1965" w:rsidRPr="0092216F" w:rsidRDefault="00605780" w:rsidP="00FF1965">
      <w:pPr>
        <w:autoSpaceDE w:val="0"/>
        <w:autoSpaceDN w:val="0"/>
        <w:adjustRightInd w:val="0"/>
        <w:ind w:firstLine="204"/>
        <w:jc w:val="both"/>
      </w:pPr>
      <w:r w:rsidRPr="0092216F">
        <w:t>Az i</w:t>
      </w:r>
      <w:r w:rsidR="00114DA3" w:rsidRPr="0092216F">
        <w:t>skolarendszeren kívüli szakképzés</w:t>
      </w:r>
      <w:r w:rsidRPr="0092216F">
        <w:t xml:space="preserve">ben az 5.2. pontban előírt valamennyi </w:t>
      </w:r>
      <w:r w:rsidR="00114DA3" w:rsidRPr="0092216F">
        <w:t>modulzáró vizsga eredményes letétele.</w:t>
      </w:r>
    </w:p>
    <w:p w:rsidR="00114DA3" w:rsidRPr="0092216F" w:rsidRDefault="00114DA3" w:rsidP="00FF196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114DA3" w:rsidRPr="0092216F" w:rsidRDefault="00114DA3" w:rsidP="00114DA3">
      <w:pPr>
        <w:numPr>
          <w:ilvl w:val="1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jc w:val="both"/>
      </w:pPr>
      <w:r w:rsidRPr="0092216F">
        <w:t>A modulzáró vizsga vizsgatevékenysége és az eredményesség feltétele:</w:t>
      </w:r>
    </w:p>
    <w:p w:rsidR="00114DA3" w:rsidRPr="0092216F" w:rsidRDefault="00114DA3" w:rsidP="00114DA3">
      <w:pPr>
        <w:tabs>
          <w:tab w:val="left" w:pos="851"/>
          <w:tab w:val="left" w:pos="1560"/>
        </w:tabs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980"/>
        <w:gridCol w:w="1241"/>
        <w:gridCol w:w="1999"/>
        <w:gridCol w:w="298"/>
        <w:gridCol w:w="2176"/>
        <w:tblGridChange w:id="2">
          <w:tblGrid>
            <w:gridCol w:w="938"/>
            <w:gridCol w:w="1980"/>
            <w:gridCol w:w="1241"/>
            <w:gridCol w:w="1999"/>
            <w:gridCol w:w="298"/>
            <w:gridCol w:w="2176"/>
          </w:tblGrid>
        </w:tblGridChange>
      </w:tblGrid>
      <w:tr w:rsidR="0092216F" w:rsidRPr="0092216F" w:rsidTr="0092216F">
        <w:tc>
          <w:tcPr>
            <w:tcW w:w="938" w:type="dxa"/>
            <w:shd w:val="clear" w:color="auto" w:fill="auto"/>
          </w:tcPr>
          <w:p w:rsidR="00293FEB" w:rsidRPr="0092216F" w:rsidRDefault="00293FEB" w:rsidP="009A57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293FEB" w:rsidRPr="0092216F" w:rsidRDefault="00293FEB" w:rsidP="009A57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216F">
              <w:rPr>
                <w:b/>
                <w:bCs/>
              </w:rPr>
              <w:t>A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93FEB" w:rsidRPr="0092216F" w:rsidRDefault="00293FEB" w:rsidP="009A57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216F">
              <w:rPr>
                <w:b/>
                <w:bCs/>
              </w:rPr>
              <w:t>B</w:t>
            </w:r>
          </w:p>
        </w:tc>
        <w:tc>
          <w:tcPr>
            <w:tcW w:w="2176" w:type="dxa"/>
            <w:shd w:val="clear" w:color="auto" w:fill="auto"/>
          </w:tcPr>
          <w:p w:rsidR="00293FEB" w:rsidRPr="0092216F" w:rsidRDefault="00293FEB" w:rsidP="009A57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216F">
              <w:rPr>
                <w:b/>
                <w:bCs/>
              </w:rPr>
              <w:t>C</w:t>
            </w:r>
          </w:p>
        </w:tc>
      </w:tr>
      <w:tr w:rsidR="0092216F" w:rsidRPr="0092216F" w:rsidTr="0092216F">
        <w:tc>
          <w:tcPr>
            <w:tcW w:w="938" w:type="dxa"/>
            <w:shd w:val="clear" w:color="auto" w:fill="auto"/>
          </w:tcPr>
          <w:p w:rsidR="00605780" w:rsidRPr="0092216F" w:rsidRDefault="00605780" w:rsidP="006057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5.2.1.</w:t>
            </w:r>
          </w:p>
        </w:tc>
        <w:tc>
          <w:tcPr>
            <w:tcW w:w="7694" w:type="dxa"/>
            <w:gridSpan w:val="5"/>
            <w:shd w:val="clear" w:color="auto" w:fill="auto"/>
          </w:tcPr>
          <w:p w:rsidR="00605780" w:rsidRPr="0092216F" w:rsidRDefault="00605780" w:rsidP="009A57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216F">
              <w:rPr>
                <w:b/>
                <w:bCs/>
              </w:rPr>
              <w:t>A szakképesítés szakmai követelménymoduljainak</w:t>
            </w:r>
          </w:p>
        </w:tc>
      </w:tr>
      <w:tr w:rsidR="0092216F" w:rsidRPr="0092216F" w:rsidTr="0092216F">
        <w:trPr>
          <w:trHeight w:val="758"/>
        </w:trPr>
        <w:tc>
          <w:tcPr>
            <w:tcW w:w="938" w:type="dxa"/>
            <w:shd w:val="clear" w:color="auto" w:fill="auto"/>
          </w:tcPr>
          <w:p w:rsidR="00293FEB" w:rsidRPr="0092216F" w:rsidRDefault="00293FEB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5.2.</w:t>
            </w:r>
            <w:r w:rsidR="00605780" w:rsidRPr="0092216F">
              <w:t>2</w:t>
            </w:r>
            <w:r w:rsidRPr="0092216F">
              <w:t>.</w:t>
            </w:r>
          </w:p>
        </w:tc>
        <w:tc>
          <w:tcPr>
            <w:tcW w:w="1980" w:type="dxa"/>
            <w:shd w:val="clear" w:color="auto" w:fill="auto"/>
          </w:tcPr>
          <w:p w:rsidR="00293FEB" w:rsidRPr="0092216F" w:rsidRDefault="00293FEB" w:rsidP="006057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  <w:bCs/>
              </w:rPr>
              <w:t>azonosító száma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93FEB" w:rsidRPr="0092216F" w:rsidRDefault="00293FEB" w:rsidP="00293F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</w:rPr>
              <w:t>megnevezés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93FEB" w:rsidRPr="0092216F" w:rsidRDefault="00293FEB" w:rsidP="00293F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</w:rPr>
              <w:t>a modulzáró vizsga vizsgatevékenysége</w:t>
            </w:r>
          </w:p>
        </w:tc>
      </w:tr>
      <w:tr w:rsidR="0092216F" w:rsidRPr="0092216F" w:rsidTr="0092216F">
        <w:trPr>
          <w:trHeight w:val="757"/>
        </w:trPr>
        <w:tc>
          <w:tcPr>
            <w:tcW w:w="938" w:type="dxa"/>
            <w:shd w:val="clear" w:color="auto" w:fill="auto"/>
          </w:tcPr>
          <w:p w:rsidR="00293FEB" w:rsidRPr="0092216F" w:rsidRDefault="00293FEB" w:rsidP="009221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5.2.</w:t>
            </w:r>
            <w:r w:rsidR="00605780" w:rsidRPr="0092216F">
              <w:rPr>
                <w:bCs/>
              </w:rPr>
              <w:t>3</w:t>
            </w:r>
            <w:r w:rsidRPr="0092216F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293FEB" w:rsidRPr="0092216F" w:rsidRDefault="00597B9C" w:rsidP="006057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216F">
              <w:t>10462-12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93FEB" w:rsidRPr="0092216F" w:rsidRDefault="00293FEB" w:rsidP="0092216F">
            <w:pPr>
              <w:autoSpaceDE w:val="0"/>
              <w:autoSpaceDN w:val="0"/>
              <w:adjustRightInd w:val="0"/>
              <w:rPr>
                <w:bCs/>
              </w:rPr>
            </w:pPr>
            <w:r w:rsidRPr="0092216F">
              <w:rPr>
                <w:bCs/>
                <w:noProof/>
              </w:rPr>
              <w:t>Gumijavító műhely üzemeltetése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93FEB" w:rsidRPr="0092216F" w:rsidRDefault="00293FEB" w:rsidP="009A5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216F">
              <w:t>írásbeli</w:t>
            </w:r>
          </w:p>
        </w:tc>
      </w:tr>
      <w:tr w:rsidR="0092216F" w:rsidRPr="0092216F" w:rsidTr="0092216F">
        <w:trPr>
          <w:trHeight w:val="757"/>
        </w:trPr>
        <w:tc>
          <w:tcPr>
            <w:tcW w:w="938" w:type="dxa"/>
            <w:shd w:val="clear" w:color="auto" w:fill="auto"/>
          </w:tcPr>
          <w:p w:rsidR="00293FEB" w:rsidRPr="0092216F" w:rsidRDefault="00293FEB" w:rsidP="009221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5.2.</w:t>
            </w:r>
            <w:r w:rsidR="00605780" w:rsidRPr="0092216F">
              <w:rPr>
                <w:bCs/>
              </w:rPr>
              <w:t>4</w:t>
            </w:r>
            <w:r w:rsidRPr="0092216F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293FEB" w:rsidRPr="0092216F" w:rsidRDefault="00597B9C" w:rsidP="006057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216F">
              <w:t>10463-12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93FEB" w:rsidRPr="0092216F" w:rsidRDefault="00293FEB" w:rsidP="0092216F">
            <w:pPr>
              <w:autoSpaceDE w:val="0"/>
              <w:autoSpaceDN w:val="0"/>
              <w:adjustRightInd w:val="0"/>
              <w:rPr>
                <w:bCs/>
              </w:rPr>
            </w:pPr>
            <w:r w:rsidRPr="0092216F">
              <w:rPr>
                <w:bCs/>
                <w:noProof/>
              </w:rPr>
              <w:t>Gumiabroncs</w:t>
            </w:r>
            <w:r w:rsidR="00C837A7" w:rsidRPr="0092216F">
              <w:rPr>
                <w:bCs/>
                <w:noProof/>
              </w:rPr>
              <w:t>-</w:t>
            </w:r>
            <w:r w:rsidRPr="0092216F">
              <w:rPr>
                <w:bCs/>
                <w:noProof/>
              </w:rPr>
              <w:t xml:space="preserve">szerelés és </w:t>
            </w:r>
            <w:r w:rsidR="00C837A7" w:rsidRPr="0092216F">
              <w:rPr>
                <w:bCs/>
                <w:noProof/>
              </w:rPr>
              <w:t xml:space="preserve">          -</w:t>
            </w:r>
            <w:r w:rsidRPr="0092216F">
              <w:rPr>
                <w:bCs/>
                <w:noProof/>
              </w:rPr>
              <w:t>kiegyensúlyozás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93FEB" w:rsidRPr="0092216F" w:rsidRDefault="00DE7C0F" w:rsidP="009A5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216F">
              <w:t>gyakorlati</w:t>
            </w:r>
          </w:p>
        </w:tc>
      </w:tr>
      <w:tr w:rsidR="0092216F" w:rsidRPr="0092216F" w:rsidTr="0092216F">
        <w:trPr>
          <w:trHeight w:val="757"/>
        </w:trPr>
        <w:tc>
          <w:tcPr>
            <w:tcW w:w="938" w:type="dxa"/>
            <w:shd w:val="clear" w:color="auto" w:fill="auto"/>
          </w:tcPr>
          <w:p w:rsidR="00293FEB" w:rsidRPr="0092216F" w:rsidRDefault="00293FEB" w:rsidP="009221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5.2.</w:t>
            </w:r>
            <w:r w:rsidR="00605780" w:rsidRPr="0092216F">
              <w:rPr>
                <w:bCs/>
              </w:rPr>
              <w:t>5</w:t>
            </w:r>
            <w:r w:rsidRPr="0092216F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293FEB" w:rsidRPr="0092216F" w:rsidRDefault="00597B9C" w:rsidP="00605780">
            <w:pPr>
              <w:autoSpaceDE w:val="0"/>
              <w:autoSpaceDN w:val="0"/>
              <w:adjustRightInd w:val="0"/>
              <w:jc w:val="center"/>
            </w:pPr>
            <w:r w:rsidRPr="0092216F">
              <w:t>10464-12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93FEB" w:rsidRPr="0092216F" w:rsidRDefault="00293FEB" w:rsidP="0092216F">
            <w:pPr>
              <w:autoSpaceDE w:val="0"/>
              <w:autoSpaceDN w:val="0"/>
              <w:adjustRightInd w:val="0"/>
              <w:rPr>
                <w:bCs/>
              </w:rPr>
            </w:pPr>
            <w:r w:rsidRPr="0092216F">
              <w:rPr>
                <w:bCs/>
                <w:noProof/>
              </w:rPr>
              <w:t>Gumiabroncs</w:t>
            </w:r>
            <w:r w:rsidR="00C837A7" w:rsidRPr="0092216F">
              <w:rPr>
                <w:bCs/>
                <w:noProof/>
              </w:rPr>
              <w:t>-</w:t>
            </w:r>
            <w:r w:rsidRPr="0092216F">
              <w:rPr>
                <w:bCs/>
                <w:noProof/>
              </w:rPr>
              <w:t>javítás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93FEB" w:rsidRPr="0092216F" w:rsidRDefault="00DE7C0F" w:rsidP="009A5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216F">
              <w:t>gyakorlati</w:t>
            </w:r>
          </w:p>
        </w:tc>
      </w:tr>
      <w:tr w:rsidR="0092216F" w:rsidRPr="0092216F">
        <w:trPr>
          <w:trHeight w:val="757"/>
        </w:trPr>
        <w:tc>
          <w:tcPr>
            <w:tcW w:w="938" w:type="dxa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5.2.6.</w:t>
            </w:r>
          </w:p>
        </w:tc>
        <w:tc>
          <w:tcPr>
            <w:tcW w:w="1980" w:type="dxa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jc w:val="center"/>
            </w:pPr>
            <w:r w:rsidRPr="0092216F">
              <w:t>11497-12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92216F">
              <w:rPr>
                <w:bCs/>
                <w:noProof/>
              </w:rPr>
              <w:t>Foglalkoztatás I.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49306B" w:rsidRPr="0092216F" w:rsidRDefault="0049306B" w:rsidP="009A5701">
            <w:pPr>
              <w:autoSpaceDE w:val="0"/>
              <w:autoSpaceDN w:val="0"/>
              <w:adjustRightInd w:val="0"/>
              <w:jc w:val="both"/>
            </w:pPr>
            <w:r w:rsidRPr="0092216F">
              <w:t>írásbeli</w:t>
            </w:r>
          </w:p>
        </w:tc>
      </w:tr>
      <w:tr w:rsidR="0092216F" w:rsidRPr="0092216F">
        <w:trPr>
          <w:trHeight w:val="757"/>
        </w:trPr>
        <w:tc>
          <w:tcPr>
            <w:tcW w:w="938" w:type="dxa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5.2.7.</w:t>
            </w:r>
          </w:p>
        </w:tc>
        <w:tc>
          <w:tcPr>
            <w:tcW w:w="1980" w:type="dxa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jc w:val="center"/>
            </w:pPr>
            <w:r w:rsidRPr="0092216F">
              <w:t>11499-12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92216F">
              <w:rPr>
                <w:bCs/>
                <w:noProof/>
              </w:rPr>
              <w:t>Foglalkoztatás II.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49306B" w:rsidRPr="0092216F" w:rsidRDefault="0049306B" w:rsidP="009A5701">
            <w:pPr>
              <w:autoSpaceDE w:val="0"/>
              <w:autoSpaceDN w:val="0"/>
              <w:adjustRightInd w:val="0"/>
              <w:jc w:val="both"/>
            </w:pPr>
            <w:r w:rsidRPr="0092216F">
              <w:t>írásbeli</w:t>
            </w:r>
          </w:p>
        </w:tc>
      </w:tr>
      <w:tr w:rsidR="0092216F" w:rsidRPr="0092216F">
        <w:trPr>
          <w:trHeight w:val="757"/>
        </w:trPr>
        <w:tc>
          <w:tcPr>
            <w:tcW w:w="938" w:type="dxa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216F">
              <w:rPr>
                <w:bCs/>
              </w:rPr>
              <w:t>5.2.8.</w:t>
            </w:r>
          </w:p>
        </w:tc>
        <w:tc>
          <w:tcPr>
            <w:tcW w:w="1980" w:type="dxa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jc w:val="center"/>
            </w:pPr>
            <w:r w:rsidRPr="0092216F">
              <w:t>11500-12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9306B" w:rsidRPr="0092216F" w:rsidRDefault="0049306B" w:rsidP="00605780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92216F">
              <w:rPr>
                <w:bCs/>
                <w:noProof/>
              </w:rPr>
              <w:t>Munkahelyi egészség és biztonság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49306B" w:rsidRPr="0092216F" w:rsidRDefault="0049306B" w:rsidP="009A5701">
            <w:pPr>
              <w:autoSpaceDE w:val="0"/>
              <w:autoSpaceDN w:val="0"/>
              <w:adjustRightInd w:val="0"/>
              <w:jc w:val="both"/>
            </w:pPr>
            <w:r w:rsidRPr="0092216F">
              <w:t>írásbeli</w:t>
            </w:r>
          </w:p>
        </w:tc>
      </w:tr>
    </w:tbl>
    <w:p w:rsidR="00114DA3" w:rsidRPr="0092216F" w:rsidRDefault="00114DA3" w:rsidP="00114DA3">
      <w:pPr>
        <w:tabs>
          <w:tab w:val="left" w:pos="851"/>
          <w:tab w:val="left" w:pos="1560"/>
        </w:tabs>
        <w:autoSpaceDE w:val="0"/>
        <w:autoSpaceDN w:val="0"/>
        <w:adjustRightInd w:val="0"/>
        <w:ind w:left="360"/>
        <w:jc w:val="both"/>
      </w:pPr>
    </w:p>
    <w:p w:rsidR="00293FEB" w:rsidRPr="0092216F" w:rsidRDefault="00293FEB" w:rsidP="00384E6F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 w:rsidRPr="0092216F">
        <w:t>A komplex szakmai vizsga vizsgatevékenységei és vizsgafeladatai:</w:t>
      </w:r>
    </w:p>
    <w:p w:rsidR="00FF1965" w:rsidRPr="0092216F" w:rsidRDefault="00FF1965" w:rsidP="009957C5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293FEB" w:rsidRPr="0092216F" w:rsidRDefault="00293FEB" w:rsidP="00293FEB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92216F">
        <w:rPr>
          <w:iCs/>
        </w:rPr>
        <w:t>Gyakorlati vizsgatevékenység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FF1965" w:rsidRPr="0092216F" w:rsidRDefault="000D2248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 xml:space="preserve">A) </w:t>
      </w:r>
      <w:proofErr w:type="gramStart"/>
      <w:r w:rsidRPr="0092216F">
        <w:rPr>
          <w:iCs/>
        </w:rPr>
        <w:t>A</w:t>
      </w:r>
      <w:proofErr w:type="gramEnd"/>
      <w:r w:rsidRPr="0092216F">
        <w:rPr>
          <w:iCs/>
        </w:rPr>
        <w:t xml:space="preserve"> vizsgafeladat megnevezése:</w:t>
      </w:r>
      <w:r w:rsidR="00FC7FDC" w:rsidRPr="0092216F">
        <w:rPr>
          <w:iCs/>
        </w:rPr>
        <w:t xml:space="preserve"> Gumiabroncs szerelés és kiegyensúlyozás</w:t>
      </w:r>
      <w:r w:rsidR="001F51AC" w:rsidRPr="0092216F">
        <w:rPr>
          <w:iCs/>
        </w:rPr>
        <w:t xml:space="preserve"> 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>A vizsgafeladat ismertetése</w:t>
      </w:r>
      <w:r w:rsidR="006F4346" w:rsidRPr="0092216F">
        <w:rPr>
          <w:iCs/>
        </w:rPr>
        <w:t>:</w:t>
      </w:r>
      <w:r w:rsidR="00216A27" w:rsidRPr="0092216F">
        <w:t xml:space="preserve"> Kerék fel-, és leszerelése; gumiabroncs fel-, és leszerelése. Gumiabroncs belső nyomásának beállítása. Kerék kiegyensúlyozás</w:t>
      </w:r>
      <w:r w:rsidR="004E782F" w:rsidRPr="0092216F">
        <w:t>.</w:t>
      </w:r>
      <w:r w:rsidR="00216A27" w:rsidRPr="0092216F">
        <w:t xml:space="preserve"> Szerelő és kiegyensúlyozó gépek és kiegészítőik, szerszámok, kézi eszközök szakszerű használata. Munkavédelmi, biztonságtechnikai előírások betartása.  </w:t>
      </w:r>
    </w:p>
    <w:p w:rsidR="001F51AC" w:rsidRPr="0092216F" w:rsidRDefault="001F51AC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>A vizsga</w:t>
      </w:r>
      <w:r w:rsidR="005464BC" w:rsidRPr="0092216F">
        <w:rPr>
          <w:iCs/>
        </w:rPr>
        <w:t>feladat</w:t>
      </w:r>
      <w:r w:rsidRPr="0092216F">
        <w:rPr>
          <w:iCs/>
        </w:rPr>
        <w:t xml:space="preserve"> időtartama:</w:t>
      </w:r>
      <w:r w:rsidR="00216A27" w:rsidRPr="0092216F">
        <w:rPr>
          <w:iCs/>
        </w:rPr>
        <w:t xml:space="preserve"> </w:t>
      </w:r>
      <w:r w:rsidR="00462EA1" w:rsidRPr="0092216F">
        <w:rPr>
          <w:iCs/>
        </w:rPr>
        <w:t>40</w:t>
      </w:r>
      <w:r w:rsidR="00CE28F4" w:rsidRPr="0092216F">
        <w:rPr>
          <w:iCs/>
        </w:rPr>
        <w:t xml:space="preserve"> </w:t>
      </w:r>
      <w:r w:rsidRPr="0092216F">
        <w:rPr>
          <w:iCs/>
        </w:rPr>
        <w:t>perc</w:t>
      </w: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 xml:space="preserve">A vizsgafeladat </w:t>
      </w:r>
      <w:r w:rsidR="0080152F" w:rsidRPr="0092216F">
        <w:rPr>
          <w:iCs/>
        </w:rPr>
        <w:t>értékelési súlyaránya</w:t>
      </w:r>
      <w:r w:rsidRPr="0092216F">
        <w:rPr>
          <w:iCs/>
        </w:rPr>
        <w:t xml:space="preserve">: </w:t>
      </w:r>
      <w:r w:rsidR="00462EA1" w:rsidRPr="0092216F">
        <w:rPr>
          <w:iCs/>
        </w:rPr>
        <w:t>20</w:t>
      </w:r>
      <w:r w:rsidR="000D2248" w:rsidRPr="0092216F">
        <w:rPr>
          <w:iCs/>
        </w:rPr>
        <w:t xml:space="preserve"> </w:t>
      </w:r>
      <w:r w:rsidRPr="0092216F">
        <w:rPr>
          <w:iCs/>
        </w:rPr>
        <w:t>%</w:t>
      </w:r>
    </w:p>
    <w:p w:rsidR="004E782F" w:rsidRPr="0092216F" w:rsidRDefault="004E782F" w:rsidP="00F82C73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263F5C" w:rsidRPr="0092216F" w:rsidRDefault="00263F5C" w:rsidP="00F82C73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  <w:r w:rsidRPr="0092216F">
        <w:rPr>
          <w:iCs/>
        </w:rPr>
        <w:t xml:space="preserve">B) </w:t>
      </w:r>
      <w:proofErr w:type="gramStart"/>
      <w:r w:rsidRPr="0092216F">
        <w:rPr>
          <w:iCs/>
        </w:rPr>
        <w:t>A</w:t>
      </w:r>
      <w:proofErr w:type="gramEnd"/>
      <w:r w:rsidRPr="0092216F">
        <w:rPr>
          <w:iCs/>
        </w:rPr>
        <w:t xml:space="preserve"> vizsgafeladat megnevezése: Gumiabroncs és tömlő-javítás</w:t>
      </w:r>
    </w:p>
    <w:p w:rsidR="00263F5C" w:rsidRPr="0092216F" w:rsidRDefault="00263F5C" w:rsidP="00F82C73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  <w:r w:rsidRPr="0092216F">
        <w:rPr>
          <w:iCs/>
        </w:rPr>
        <w:t>A vizsgafeladat ismertetése: Meghibásodott gumiabroncs és abroncstömlő sérülés javíthatóságának megállapítása szakszerű vizsgálattal. Szöglyuk, oldalfal, futó javítás.  Javító táblázatok értelmezése, használata. Javítás anyagai. Javításnál használt gépek berendezések, kézi szerszámok biztonságos alkalmazása. Mintázat korrekció</w:t>
      </w:r>
      <w:r w:rsidR="00462EA1" w:rsidRPr="0092216F">
        <w:rPr>
          <w:iCs/>
        </w:rPr>
        <w:t xml:space="preserve"> és mintázat utánvágás.</w:t>
      </w:r>
      <w:r w:rsidR="00462EA1" w:rsidRPr="0092216F">
        <w:t xml:space="preserve">   </w:t>
      </w:r>
    </w:p>
    <w:p w:rsidR="00263F5C" w:rsidRPr="0092216F" w:rsidRDefault="00263F5C" w:rsidP="00F82C73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462EA1" w:rsidRPr="0092216F" w:rsidRDefault="00462EA1" w:rsidP="00462EA1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>A vizsgafeladat időtartama: 120 perc</w:t>
      </w:r>
    </w:p>
    <w:p w:rsidR="00462EA1" w:rsidRPr="0092216F" w:rsidRDefault="00462EA1" w:rsidP="00462EA1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>A vizsgafeladat értékelési súlyaránya: 40 %</w:t>
      </w:r>
    </w:p>
    <w:p w:rsidR="00462EA1" w:rsidRPr="0092216F" w:rsidRDefault="00462EA1" w:rsidP="00F82C73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0D2248" w:rsidRPr="0092216F" w:rsidRDefault="000D2248" w:rsidP="0092216F">
      <w:pPr>
        <w:pStyle w:val="NormlWeb"/>
        <w:ind w:left="180" w:firstLine="360"/>
        <w:rPr>
          <w:rFonts w:ascii="Times" w:hAnsi="Times" w:cs="Times"/>
        </w:rPr>
      </w:pPr>
      <w:r w:rsidRPr="0092216F">
        <w:rPr>
          <w:rFonts w:ascii="Times" w:hAnsi="Times" w:cs="Times"/>
        </w:rPr>
        <w:t xml:space="preserve">5.3.2. Központi írásbeli vizsgatevékenység: </w:t>
      </w:r>
    </w:p>
    <w:p w:rsidR="008A7269" w:rsidRPr="0092216F" w:rsidRDefault="008A7269" w:rsidP="008A7269">
      <w:pPr>
        <w:autoSpaceDE w:val="0"/>
        <w:autoSpaceDN w:val="0"/>
        <w:adjustRightInd w:val="0"/>
        <w:ind w:left="180"/>
        <w:jc w:val="both"/>
        <w:rPr>
          <w:iCs/>
        </w:rPr>
      </w:pPr>
    </w:p>
    <w:p w:rsidR="000D2248" w:rsidRPr="0092216F" w:rsidRDefault="000D2248" w:rsidP="008A7269">
      <w:pPr>
        <w:autoSpaceDE w:val="0"/>
        <w:autoSpaceDN w:val="0"/>
        <w:adjustRightInd w:val="0"/>
        <w:ind w:left="180"/>
        <w:jc w:val="both"/>
        <w:rPr>
          <w:iCs/>
        </w:rPr>
      </w:pPr>
      <w:r w:rsidRPr="0092216F">
        <w:rPr>
          <w:iCs/>
        </w:rPr>
        <w:t xml:space="preserve">A vizsgafeladat megnevezése: </w:t>
      </w:r>
      <w:r w:rsidR="00462EA1" w:rsidRPr="0092216F">
        <w:rPr>
          <w:iCs/>
        </w:rPr>
        <w:t>Gumijavító műhely üzemeltetésével kapcsolatos feladatok.</w:t>
      </w:r>
    </w:p>
    <w:p w:rsidR="00462EA1" w:rsidRPr="0092216F" w:rsidRDefault="000D2248" w:rsidP="00462EA1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 xml:space="preserve">A vizsgafeladat ismertetése: </w:t>
      </w:r>
      <w:r w:rsidR="00462EA1" w:rsidRPr="0092216F">
        <w:rPr>
          <w:iCs/>
        </w:rPr>
        <w:t>Munka-, és tűzvédelmi előírások, környezetvédelmi és egészségügyi törvények, rendeletek, határozatok. Baleset, foglalkozási megbetegedések. Munkavédelmi eszközök.  Minőségbiztosítás. Számlakészítés.</w:t>
      </w:r>
    </w:p>
    <w:p w:rsidR="000D2248" w:rsidRPr="0092216F" w:rsidRDefault="000D2248" w:rsidP="000D2248">
      <w:pPr>
        <w:autoSpaceDE w:val="0"/>
        <w:autoSpaceDN w:val="0"/>
        <w:adjustRightInd w:val="0"/>
        <w:ind w:firstLine="280"/>
        <w:jc w:val="both"/>
        <w:rPr>
          <w:iCs/>
        </w:rPr>
      </w:pPr>
    </w:p>
    <w:p w:rsidR="000D2248" w:rsidRPr="0092216F" w:rsidRDefault="000D2248" w:rsidP="000D2248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92216F">
        <w:rPr>
          <w:iCs/>
        </w:rPr>
        <w:t xml:space="preserve">A vizsgafeladat időtartama: </w:t>
      </w:r>
      <w:r w:rsidR="00462EA1" w:rsidRPr="0092216F">
        <w:rPr>
          <w:iCs/>
        </w:rPr>
        <w:t>60 perc</w:t>
      </w:r>
    </w:p>
    <w:p w:rsidR="000D2248" w:rsidRPr="0092216F" w:rsidRDefault="000D2248" w:rsidP="000D2248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92216F">
        <w:rPr>
          <w:iCs/>
        </w:rPr>
        <w:t xml:space="preserve">A vizsgafeladat értékelési súlyaránya: </w:t>
      </w:r>
      <w:r w:rsidR="00462EA1" w:rsidRPr="0092216F">
        <w:rPr>
          <w:iCs/>
        </w:rPr>
        <w:t>20</w:t>
      </w:r>
    </w:p>
    <w:p w:rsidR="000D2248" w:rsidRPr="0092216F" w:rsidRDefault="000D2248" w:rsidP="00FF1965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9F02A5" w:rsidRPr="0092216F" w:rsidRDefault="009F02A5" w:rsidP="00FF1965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585538" w:rsidRPr="0092216F" w:rsidRDefault="008A7269" w:rsidP="0092216F">
      <w:pPr>
        <w:autoSpaceDE w:val="0"/>
        <w:autoSpaceDN w:val="0"/>
        <w:adjustRightInd w:val="0"/>
        <w:ind w:left="720"/>
        <w:jc w:val="both"/>
        <w:rPr>
          <w:iCs/>
        </w:rPr>
      </w:pPr>
      <w:r w:rsidRPr="0092216F">
        <w:rPr>
          <w:iCs/>
        </w:rPr>
        <w:t xml:space="preserve">5.3.3. </w:t>
      </w:r>
      <w:r w:rsidR="00585538" w:rsidRPr="0092216F">
        <w:rPr>
          <w:iCs/>
        </w:rPr>
        <w:t>Szóbeli vizsgatevékenység</w:t>
      </w:r>
    </w:p>
    <w:p w:rsidR="00F82C73" w:rsidRPr="0092216F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2"/>
          <w:szCs w:val="22"/>
        </w:rPr>
      </w:pP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>A vizsgafeladat megnevezése</w:t>
      </w:r>
      <w:r w:rsidR="006F4346" w:rsidRPr="0092216F">
        <w:rPr>
          <w:iCs/>
        </w:rPr>
        <w:t>:</w:t>
      </w:r>
      <w:r w:rsidR="00133476" w:rsidRPr="0092216F">
        <w:rPr>
          <w:iCs/>
        </w:rPr>
        <w:t xml:space="preserve"> Gumiabroncs </w:t>
      </w:r>
      <w:r w:rsidR="00FA2526" w:rsidRPr="0092216F">
        <w:rPr>
          <w:iCs/>
        </w:rPr>
        <w:t>műszaki paraméterei</w:t>
      </w:r>
      <w:r w:rsidR="00133476" w:rsidRPr="0092216F">
        <w:rPr>
          <w:iCs/>
        </w:rPr>
        <w:t>.</w:t>
      </w:r>
      <w:r w:rsidR="00A54149" w:rsidRPr="0092216F">
        <w:rPr>
          <w:iCs/>
        </w:rPr>
        <w:t xml:space="preserve"> </w:t>
      </w:r>
      <w:r w:rsidR="00133476" w:rsidRPr="0092216F">
        <w:rPr>
          <w:iCs/>
        </w:rPr>
        <w:t>Gumiabroncs feliratai.</w:t>
      </w:r>
      <w:r w:rsidR="00A54149" w:rsidRPr="0092216F">
        <w:rPr>
          <w:iCs/>
        </w:rPr>
        <w:t xml:space="preserve"> Keréktárcsa és pántgyűrű típusok.</w:t>
      </w:r>
      <w:r w:rsidR="00133476" w:rsidRPr="0092216F">
        <w:rPr>
          <w:iCs/>
        </w:rPr>
        <w:t xml:space="preserve"> Abroncs és jármű kapcsolata. </w:t>
      </w:r>
    </w:p>
    <w:p w:rsidR="00693911" w:rsidRPr="0092216F" w:rsidRDefault="00FF1965" w:rsidP="00693911">
      <w:pPr>
        <w:autoSpaceDE w:val="0"/>
        <w:ind w:firstLine="204"/>
        <w:jc w:val="both"/>
        <w:rPr>
          <w:iCs/>
        </w:rPr>
      </w:pPr>
      <w:r w:rsidRPr="0092216F">
        <w:rPr>
          <w:iCs/>
        </w:rPr>
        <w:t>A vizsgafeladat ismertetése</w:t>
      </w:r>
      <w:r w:rsidR="006F4346" w:rsidRPr="0092216F">
        <w:rPr>
          <w:iCs/>
        </w:rPr>
        <w:t>:</w:t>
      </w:r>
      <w:r w:rsidR="00FA2526" w:rsidRPr="0092216F">
        <w:rPr>
          <w:iCs/>
        </w:rPr>
        <w:t xml:space="preserve"> </w:t>
      </w:r>
      <w:r w:rsidR="00693911" w:rsidRPr="0092216F">
        <w:rPr>
          <w:iCs/>
        </w:rPr>
        <w:t>A szóbeli vizsgatevékenység központilag összeállított vizsga kérdései a 4. Szakmai követelmények fejezetben megadott szakmai követelménymodulok témaköreit tartalmazza.</w:t>
      </w:r>
    </w:p>
    <w:p w:rsidR="00FF1965" w:rsidRPr="0092216F" w:rsidRDefault="00FA2526" w:rsidP="0092216F">
      <w:pPr>
        <w:autoSpaceDE w:val="0"/>
        <w:autoSpaceDN w:val="0"/>
        <w:adjustRightInd w:val="0"/>
        <w:jc w:val="both"/>
        <w:rPr>
          <w:iCs/>
        </w:rPr>
      </w:pPr>
      <w:r w:rsidRPr="0092216F">
        <w:rPr>
          <w:iCs/>
        </w:rPr>
        <w:t>Gumiabroncs szerkezete, típusai, részei, szerkezeti elemei. Gumiabroncs feliratai. Speciális kialakítású és biztonsági abroncsok. Keréktárcsa és pántgyűrű típusok. Abroncs és jármű kapcsolata. Abroncs mechanikai és menettulajdonságai</w:t>
      </w:r>
      <w:r w:rsidR="00693911" w:rsidRPr="0092216F">
        <w:rPr>
          <w:iCs/>
        </w:rPr>
        <w:t>, stb.</w:t>
      </w:r>
    </w:p>
    <w:p w:rsidR="006F4346" w:rsidRPr="0092216F" w:rsidRDefault="006F4346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92216F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>A vizsga</w:t>
      </w:r>
      <w:r w:rsidR="005464BC" w:rsidRPr="0092216F">
        <w:rPr>
          <w:iCs/>
        </w:rPr>
        <w:t>feladat</w:t>
      </w:r>
      <w:r w:rsidRPr="0092216F">
        <w:rPr>
          <w:iCs/>
        </w:rPr>
        <w:t xml:space="preserve"> időtartama: </w:t>
      </w:r>
      <w:r w:rsidR="00CE28F4" w:rsidRPr="0092216F">
        <w:rPr>
          <w:iCs/>
        </w:rPr>
        <w:t xml:space="preserve">45 </w:t>
      </w:r>
      <w:r w:rsidRPr="0092216F">
        <w:rPr>
          <w:iCs/>
        </w:rPr>
        <w:t>perc (</w:t>
      </w:r>
      <w:r w:rsidR="00BA2645" w:rsidRPr="0092216F">
        <w:rPr>
          <w:iCs/>
        </w:rPr>
        <w:t xml:space="preserve">ebből </w:t>
      </w:r>
      <w:r w:rsidRPr="0092216F">
        <w:rPr>
          <w:iCs/>
        </w:rPr>
        <w:t xml:space="preserve">felkészülési idő </w:t>
      </w:r>
      <w:r w:rsidR="00CE28F4" w:rsidRPr="0092216F">
        <w:rPr>
          <w:iCs/>
        </w:rPr>
        <w:t xml:space="preserve">30 </w:t>
      </w:r>
      <w:r w:rsidRPr="0092216F">
        <w:rPr>
          <w:iCs/>
        </w:rPr>
        <w:t>perc</w:t>
      </w:r>
      <w:r w:rsidR="0080152F" w:rsidRPr="0092216F">
        <w:rPr>
          <w:iCs/>
        </w:rPr>
        <w:t>, válaszadási idő 15 perc</w:t>
      </w:r>
      <w:r w:rsidRPr="0092216F">
        <w:rPr>
          <w:iCs/>
        </w:rPr>
        <w:t>)</w:t>
      </w:r>
    </w:p>
    <w:p w:rsidR="00FF1965" w:rsidRPr="0092216F" w:rsidRDefault="006F4346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92216F">
        <w:rPr>
          <w:iCs/>
        </w:rPr>
        <w:t xml:space="preserve">A vizsgafeladat </w:t>
      </w:r>
      <w:r w:rsidR="0080152F" w:rsidRPr="0092216F">
        <w:rPr>
          <w:iCs/>
        </w:rPr>
        <w:t>értékelési súlyaránya</w:t>
      </w:r>
      <w:r w:rsidRPr="0092216F">
        <w:rPr>
          <w:iCs/>
        </w:rPr>
        <w:t xml:space="preserve">: </w:t>
      </w:r>
      <w:r w:rsidR="00FA2526" w:rsidRPr="0092216F">
        <w:rPr>
          <w:iCs/>
        </w:rPr>
        <w:t>20</w:t>
      </w:r>
      <w:r w:rsidR="007C5BA9" w:rsidRPr="0092216F">
        <w:rPr>
          <w:iCs/>
        </w:rPr>
        <w:t xml:space="preserve"> </w:t>
      </w:r>
      <w:r w:rsidR="00FF1965" w:rsidRPr="0092216F">
        <w:rPr>
          <w:iCs/>
        </w:rPr>
        <w:t>%</w:t>
      </w:r>
    </w:p>
    <w:p w:rsidR="00FF1965" w:rsidRPr="0092216F" w:rsidRDefault="00FF1965" w:rsidP="00FF1965">
      <w:pPr>
        <w:autoSpaceDE w:val="0"/>
        <w:autoSpaceDN w:val="0"/>
        <w:adjustRightInd w:val="0"/>
        <w:jc w:val="both"/>
      </w:pPr>
    </w:p>
    <w:p w:rsidR="00585538" w:rsidRPr="0092216F" w:rsidRDefault="00384E6F" w:rsidP="00384E6F">
      <w:pPr>
        <w:numPr>
          <w:ilvl w:val="1"/>
          <w:numId w:val="2"/>
        </w:numPr>
        <w:tabs>
          <w:tab w:val="clear" w:pos="792"/>
          <w:tab w:val="left" w:pos="0"/>
          <w:tab w:val="num" w:pos="720"/>
        </w:tabs>
        <w:autoSpaceDE w:val="0"/>
        <w:autoSpaceDN w:val="0"/>
        <w:adjustRightInd w:val="0"/>
        <w:ind w:left="0" w:firstLine="360"/>
      </w:pPr>
      <w:r w:rsidRPr="0092216F">
        <w:lastRenderedPageBreak/>
        <w:t xml:space="preserve"> </w:t>
      </w:r>
      <w:r w:rsidR="00585538" w:rsidRPr="0092216F">
        <w:t xml:space="preserve">A vizsgatevékenységek szervezésére, azok vizsgaidőpontjaira, a vizsgaidőszakokra, a vizsgatevékenységek vizsgatételeire, értékelési útmutatóira és egyéb dokumentumaira, a vizsgán használható segédeszközökre vonatkozó részletes szabályok: </w:t>
      </w:r>
    </w:p>
    <w:p w:rsidR="0049306B" w:rsidRPr="0092216F" w:rsidRDefault="0049306B" w:rsidP="0049306B">
      <w:pPr>
        <w:autoSpaceDE w:val="0"/>
        <w:autoSpaceDN w:val="0"/>
        <w:adjustRightInd w:val="0"/>
        <w:ind w:left="204"/>
        <w:jc w:val="both"/>
      </w:pPr>
      <w:r w:rsidRPr="0092216F">
        <w:t xml:space="preserve">A szakképesítéssel kapcsolatos előírások az állami szakképzési és felnőttképzési szerv </w:t>
      </w:r>
      <w:hyperlink r:id="rId8" w:history="1">
        <w:r w:rsidRPr="0092216F">
          <w:rPr>
            <w:rStyle w:val="Hiperhivatkozs"/>
            <w:color w:val="auto"/>
          </w:rPr>
          <w:t>http://www.munka.hu/</w:t>
        </w:r>
      </w:hyperlink>
      <w:r w:rsidRPr="0092216F">
        <w:t xml:space="preserve"> című weblapján érhetők el a Szak- és felnőttképzés Vizsgák menüpontjában.</w:t>
      </w:r>
    </w:p>
    <w:p w:rsidR="00384E6F" w:rsidRPr="0092216F" w:rsidRDefault="00384E6F" w:rsidP="00BA2645">
      <w:pPr>
        <w:autoSpaceDE w:val="0"/>
        <w:autoSpaceDN w:val="0"/>
        <w:adjustRightInd w:val="0"/>
        <w:ind w:firstLine="180"/>
        <w:jc w:val="both"/>
      </w:pPr>
    </w:p>
    <w:p w:rsidR="00384E6F" w:rsidRPr="0092216F" w:rsidRDefault="00384E6F" w:rsidP="00384E6F">
      <w:pPr>
        <w:autoSpaceDE w:val="0"/>
        <w:autoSpaceDN w:val="0"/>
        <w:adjustRightInd w:val="0"/>
        <w:ind w:left="360"/>
        <w:jc w:val="both"/>
        <w:rPr>
          <w:iCs/>
        </w:rPr>
      </w:pPr>
      <w:r w:rsidRPr="0092216F">
        <w:rPr>
          <w:iCs/>
        </w:rPr>
        <w:t>5.5. A szakmai vizsga értékelésének a szakmai vizsgaszabályzattól eltérő szempontjai:</w:t>
      </w:r>
      <w:r w:rsidR="0049306B" w:rsidRPr="0092216F">
        <w:rPr>
          <w:iCs/>
        </w:rPr>
        <w:t xml:space="preserve"> </w:t>
      </w:r>
      <w:r w:rsidR="0049306B" w:rsidRPr="0092216F">
        <w:rPr>
          <w:rFonts w:ascii="Times" w:hAnsi="Times" w:cs="Times"/>
        </w:rPr>
        <w:t>–</w:t>
      </w:r>
    </w:p>
    <w:p w:rsidR="004E782F" w:rsidRPr="0092216F" w:rsidRDefault="004E782F" w:rsidP="00FF196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384E6F" w:rsidRPr="0092216F" w:rsidRDefault="00384E6F" w:rsidP="00384E6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iCs/>
        </w:rPr>
      </w:pPr>
      <w:r w:rsidRPr="0092216F">
        <w:rPr>
          <w:b/>
          <w:iCs/>
          <w:caps/>
        </w:rPr>
        <w:t xml:space="preserve">eszköz- </w:t>
      </w:r>
      <w:proofErr w:type="gramStart"/>
      <w:r w:rsidRPr="0092216F">
        <w:rPr>
          <w:b/>
          <w:iCs/>
          <w:caps/>
        </w:rPr>
        <w:t>és</w:t>
      </w:r>
      <w:proofErr w:type="gramEnd"/>
      <w:r w:rsidRPr="0092216F">
        <w:rPr>
          <w:b/>
          <w:iCs/>
          <w:caps/>
        </w:rPr>
        <w:t xml:space="preserve"> felszerelési jegyzék</w:t>
      </w:r>
      <w:r w:rsidRPr="0092216F">
        <w:rPr>
          <w:b/>
          <w:iCs/>
        </w:rPr>
        <w:t xml:space="preserve"> </w:t>
      </w:r>
    </w:p>
    <w:p w:rsidR="004E782F" w:rsidRPr="0092216F" w:rsidRDefault="004E782F" w:rsidP="004E782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Align w:val="center"/>
          </w:tcPr>
          <w:p w:rsidR="0049306B" w:rsidRPr="0092216F" w:rsidRDefault="0049306B" w:rsidP="004544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0" w:type="dxa"/>
            <w:vAlign w:val="center"/>
          </w:tcPr>
          <w:p w:rsidR="0049306B" w:rsidRPr="0092216F" w:rsidRDefault="0049306B" w:rsidP="005F35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16F">
              <w:rPr>
                <w:b/>
              </w:rPr>
              <w:t>A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Align w:val="center"/>
          </w:tcPr>
          <w:p w:rsidR="0049306B" w:rsidRPr="0092216F" w:rsidRDefault="0049306B" w:rsidP="00454430">
            <w:pPr>
              <w:autoSpaceDE w:val="0"/>
              <w:autoSpaceDN w:val="0"/>
              <w:adjustRightInd w:val="0"/>
              <w:jc w:val="center"/>
            </w:pPr>
            <w:r w:rsidRPr="0092216F">
              <w:t>6.1.</w:t>
            </w:r>
          </w:p>
        </w:tc>
        <w:tc>
          <w:tcPr>
            <w:tcW w:w="6840" w:type="dxa"/>
            <w:vAlign w:val="center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r w:rsidRPr="0092216F">
              <w:rPr>
                <w:b/>
              </w:rPr>
              <w:t>A képzési és vizsgáztatási feladatok teljesítéséhez szükséges eszközök minimumát meghatározó eszköz- és felszerelési jegyzék</w:t>
            </w:r>
          </w:p>
          <w:p w:rsidR="0049306B" w:rsidRPr="0092216F" w:rsidRDefault="0049306B" w:rsidP="005F35C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  <w:vAlign w:val="center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jc w:val="center"/>
            </w:pPr>
            <w:r w:rsidRPr="0092216F">
              <w:t>6.2.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Szerelőgép</w:t>
            </w:r>
          </w:p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6.3.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Kerék kiegyensúlyozó (stabil és/vagy mobil)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6.4.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Kompresszor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6.5.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Gumiabroncs levegőtöltő berendezés légnyomásmérővel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6.6.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Nyomatékkulcs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6.7.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Kaloda, teherabroncs szereléshez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6.8.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Vulkanizáló berendezés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6.9.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Porszívó (ipari)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6.10.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Javítóállvány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6.11.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Számítógép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6.12.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Emelő berendezések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6.13.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Mérőeszközök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6.14.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Kéziszerszámok (gumiabroncs javításhoz használható szerszámkészlet)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6.15.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Szerelőszerszámok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6.16.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Egyéni védőeszközök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6.17.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Környezetvédelmi eszközök, berendezések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6.18.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Munkabiztonsági eszközök, felszerelések</w:t>
            </w:r>
          </w:p>
        </w:tc>
      </w:tr>
      <w:tr w:rsidR="0092216F" w:rsidRPr="0092216F" w:rsidTr="0092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92216F">
              <w:t>6.19.</w:t>
            </w:r>
          </w:p>
        </w:tc>
        <w:tc>
          <w:tcPr>
            <w:tcW w:w="6840" w:type="dxa"/>
            <w:shd w:val="clear" w:color="auto" w:fill="auto"/>
          </w:tcPr>
          <w:p w:rsidR="0049306B" w:rsidRPr="0092216F" w:rsidRDefault="0049306B" w:rsidP="0092216F">
            <w:pPr>
              <w:autoSpaceDE w:val="0"/>
              <w:autoSpaceDN w:val="0"/>
              <w:adjustRightInd w:val="0"/>
              <w:spacing w:before="40" w:after="20"/>
              <w:ind w:firstLine="180"/>
            </w:pPr>
            <w:r w:rsidRPr="0092216F">
              <w:t>Javító anyagok (tapaszok, oldatok)</w:t>
            </w:r>
          </w:p>
        </w:tc>
      </w:tr>
    </w:tbl>
    <w:p w:rsidR="004E782F" w:rsidRPr="0092216F" w:rsidRDefault="004E782F" w:rsidP="004E782F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384E6F" w:rsidRPr="0092216F" w:rsidRDefault="00384E6F" w:rsidP="00384E6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iCs/>
        </w:rPr>
      </w:pPr>
      <w:r w:rsidRPr="0092216F">
        <w:rPr>
          <w:b/>
          <w:iCs/>
        </w:rPr>
        <w:t>EGYEBEK</w:t>
      </w:r>
    </w:p>
    <w:p w:rsidR="00114F39" w:rsidRPr="0092216F" w:rsidRDefault="00114F39" w:rsidP="000D4D87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p w:rsidR="00114F39" w:rsidRPr="0092216F" w:rsidRDefault="00114F39" w:rsidP="009A5701">
      <w:pPr>
        <w:autoSpaceDE w:val="0"/>
        <w:autoSpaceDN w:val="0"/>
        <w:adjustRightInd w:val="0"/>
        <w:jc w:val="both"/>
      </w:pPr>
      <w:r w:rsidRPr="0092216F">
        <w:t>A gumiabroncs javítás gyakorlati oktatása tanműhelyben és gyakorlati képzésbe vont munkahelyen történhet.</w:t>
      </w:r>
    </w:p>
    <w:p w:rsidR="006F4346" w:rsidRPr="0092216F" w:rsidRDefault="006F4346" w:rsidP="006F4346">
      <w:pPr>
        <w:autoSpaceDE w:val="0"/>
        <w:autoSpaceDN w:val="0"/>
        <w:adjustRightInd w:val="0"/>
        <w:rPr>
          <w:sz w:val="22"/>
          <w:szCs w:val="22"/>
        </w:rPr>
      </w:pPr>
    </w:p>
    <w:sectPr w:rsidR="006F4346" w:rsidRPr="0092216F" w:rsidSect="006921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62" w:rsidRDefault="00D07C62" w:rsidP="00E24035">
      <w:r>
        <w:separator/>
      </w:r>
    </w:p>
  </w:endnote>
  <w:endnote w:type="continuationSeparator" w:id="0">
    <w:p w:rsidR="00D07C62" w:rsidRDefault="00D07C62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48" w:rsidRPr="00BE68D2" w:rsidRDefault="000D2248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92216F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0D2248" w:rsidRPr="00BE68D2" w:rsidRDefault="000D2248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62" w:rsidRDefault="00D07C62" w:rsidP="00E24035">
      <w:r>
        <w:separator/>
      </w:r>
    </w:p>
  </w:footnote>
  <w:footnote w:type="continuationSeparator" w:id="0">
    <w:p w:rsidR="00D07C62" w:rsidRDefault="00D07C62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48" w:rsidRPr="00846D33" w:rsidRDefault="000D2248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B5F"/>
    <w:multiLevelType w:val="multilevel"/>
    <w:tmpl w:val="0C824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AC459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C069E6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D90EF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45E3DA7"/>
    <w:multiLevelType w:val="hybridMultilevel"/>
    <w:tmpl w:val="D25ED646"/>
    <w:lvl w:ilvl="0" w:tplc="0E286BCA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F371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8B254AB"/>
    <w:multiLevelType w:val="hybridMultilevel"/>
    <w:tmpl w:val="B9B868EE"/>
    <w:lvl w:ilvl="0" w:tplc="7D1E81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25BDD"/>
    <w:multiLevelType w:val="hybridMultilevel"/>
    <w:tmpl w:val="E57C4F66"/>
    <w:lvl w:ilvl="0" w:tplc="EB7C831C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176AAE"/>
    <w:multiLevelType w:val="multilevel"/>
    <w:tmpl w:val="32BE0CA8"/>
    <w:lvl w:ilvl="0">
      <w:start w:val="1"/>
      <w:numFmt w:val="decimal"/>
      <w:lvlText w:val="%1."/>
      <w:lvlJc w:val="left"/>
      <w:pPr>
        <w:tabs>
          <w:tab w:val="num" w:pos="4537"/>
        </w:tabs>
        <w:ind w:left="453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257"/>
        </w:tabs>
        <w:ind w:left="5257" w:hanging="360"/>
      </w:pPr>
    </w:lvl>
    <w:lvl w:ilvl="2">
      <w:start w:val="1"/>
      <w:numFmt w:val="lowerRoman"/>
      <w:lvlText w:val="%3."/>
      <w:lvlJc w:val="right"/>
      <w:pPr>
        <w:tabs>
          <w:tab w:val="num" w:pos="5977"/>
        </w:tabs>
        <w:ind w:left="5977" w:hanging="180"/>
      </w:pPr>
    </w:lvl>
    <w:lvl w:ilvl="3">
      <w:start w:val="1"/>
      <w:numFmt w:val="decimal"/>
      <w:lvlText w:val="%4."/>
      <w:lvlJc w:val="left"/>
      <w:pPr>
        <w:tabs>
          <w:tab w:val="num" w:pos="6697"/>
        </w:tabs>
        <w:ind w:left="6697" w:hanging="360"/>
      </w:pPr>
    </w:lvl>
    <w:lvl w:ilvl="4">
      <w:start w:val="1"/>
      <w:numFmt w:val="lowerLetter"/>
      <w:lvlText w:val="%5."/>
      <w:lvlJc w:val="left"/>
      <w:pPr>
        <w:tabs>
          <w:tab w:val="num" w:pos="7417"/>
        </w:tabs>
        <w:ind w:left="7417" w:hanging="360"/>
      </w:pPr>
    </w:lvl>
    <w:lvl w:ilvl="5">
      <w:start w:val="1"/>
      <w:numFmt w:val="lowerRoman"/>
      <w:lvlText w:val="%6."/>
      <w:lvlJc w:val="right"/>
      <w:pPr>
        <w:tabs>
          <w:tab w:val="num" w:pos="8137"/>
        </w:tabs>
        <w:ind w:left="8137" w:hanging="180"/>
      </w:pPr>
    </w:lvl>
    <w:lvl w:ilvl="6">
      <w:start w:val="1"/>
      <w:numFmt w:val="decimal"/>
      <w:lvlText w:val="%7."/>
      <w:lvlJc w:val="left"/>
      <w:pPr>
        <w:tabs>
          <w:tab w:val="num" w:pos="8857"/>
        </w:tabs>
        <w:ind w:left="8857" w:hanging="360"/>
      </w:pPr>
    </w:lvl>
    <w:lvl w:ilvl="7">
      <w:start w:val="1"/>
      <w:numFmt w:val="lowerLetter"/>
      <w:lvlText w:val="%8."/>
      <w:lvlJc w:val="left"/>
      <w:pPr>
        <w:tabs>
          <w:tab w:val="num" w:pos="9577"/>
        </w:tabs>
        <w:ind w:left="9577" w:hanging="360"/>
      </w:pPr>
    </w:lvl>
    <w:lvl w:ilvl="8">
      <w:start w:val="1"/>
      <w:numFmt w:val="lowerRoman"/>
      <w:lvlText w:val="%9."/>
      <w:lvlJc w:val="right"/>
      <w:pPr>
        <w:tabs>
          <w:tab w:val="num" w:pos="10297"/>
        </w:tabs>
        <w:ind w:left="10297" w:hanging="180"/>
      </w:pPr>
    </w:lvl>
  </w:abstractNum>
  <w:abstractNum w:abstractNumId="9">
    <w:nsid w:val="55321497"/>
    <w:multiLevelType w:val="hybridMultilevel"/>
    <w:tmpl w:val="32BE0CA8"/>
    <w:lvl w:ilvl="0" w:tplc="C0FE57E0">
      <w:start w:val="1"/>
      <w:numFmt w:val="decimal"/>
      <w:lvlText w:val="%1."/>
      <w:lvlJc w:val="left"/>
      <w:pPr>
        <w:tabs>
          <w:tab w:val="num" w:pos="4537"/>
        </w:tabs>
        <w:ind w:left="45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257"/>
        </w:tabs>
        <w:ind w:left="525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977"/>
        </w:tabs>
        <w:ind w:left="597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697"/>
        </w:tabs>
        <w:ind w:left="669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417"/>
        </w:tabs>
        <w:ind w:left="741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137"/>
        </w:tabs>
        <w:ind w:left="813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857"/>
        </w:tabs>
        <w:ind w:left="885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577"/>
        </w:tabs>
        <w:ind w:left="957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297"/>
        </w:tabs>
        <w:ind w:left="10297" w:hanging="180"/>
      </w:pPr>
    </w:lvl>
  </w:abstractNum>
  <w:abstractNum w:abstractNumId="10">
    <w:nsid w:val="57D129CD"/>
    <w:multiLevelType w:val="multilevel"/>
    <w:tmpl w:val="E57C4F66"/>
    <w:lvl w:ilvl="0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E224FA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0851B9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52D48ED"/>
    <w:multiLevelType w:val="hybridMultilevel"/>
    <w:tmpl w:val="F3B89BE4"/>
    <w:lvl w:ilvl="0" w:tplc="EB7C831C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EB7C83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64AF"/>
    <w:rsid w:val="000D2248"/>
    <w:rsid w:val="000D4D87"/>
    <w:rsid w:val="000F5B95"/>
    <w:rsid w:val="00112674"/>
    <w:rsid w:val="00114DA3"/>
    <w:rsid w:val="00114F39"/>
    <w:rsid w:val="00115406"/>
    <w:rsid w:val="00133476"/>
    <w:rsid w:val="001F51AC"/>
    <w:rsid w:val="00207806"/>
    <w:rsid w:val="00216A27"/>
    <w:rsid w:val="00216E6B"/>
    <w:rsid w:val="00234953"/>
    <w:rsid w:val="00245409"/>
    <w:rsid w:val="00263F5C"/>
    <w:rsid w:val="002733A3"/>
    <w:rsid w:val="00293FEB"/>
    <w:rsid w:val="002A627D"/>
    <w:rsid w:val="00361B78"/>
    <w:rsid w:val="00384E6F"/>
    <w:rsid w:val="00393CF9"/>
    <w:rsid w:val="003A5085"/>
    <w:rsid w:val="003C534A"/>
    <w:rsid w:val="003C65E0"/>
    <w:rsid w:val="00441862"/>
    <w:rsid w:val="0044662E"/>
    <w:rsid w:val="004536FB"/>
    <w:rsid w:val="00454430"/>
    <w:rsid w:val="00462EA1"/>
    <w:rsid w:val="00464F1A"/>
    <w:rsid w:val="0049306B"/>
    <w:rsid w:val="004966B6"/>
    <w:rsid w:val="004B4586"/>
    <w:rsid w:val="004B7B55"/>
    <w:rsid w:val="004E2C84"/>
    <w:rsid w:val="004E782F"/>
    <w:rsid w:val="00514307"/>
    <w:rsid w:val="005464BC"/>
    <w:rsid w:val="005710DE"/>
    <w:rsid w:val="00585538"/>
    <w:rsid w:val="00597B9C"/>
    <w:rsid w:val="005A0F58"/>
    <w:rsid w:val="005B37A6"/>
    <w:rsid w:val="005B61F7"/>
    <w:rsid w:val="005C4193"/>
    <w:rsid w:val="005D5825"/>
    <w:rsid w:val="005F35CE"/>
    <w:rsid w:val="00605780"/>
    <w:rsid w:val="00612721"/>
    <w:rsid w:val="00626D7C"/>
    <w:rsid w:val="00641722"/>
    <w:rsid w:val="00645EE2"/>
    <w:rsid w:val="0068512D"/>
    <w:rsid w:val="006921ED"/>
    <w:rsid w:val="00693911"/>
    <w:rsid w:val="006E3A83"/>
    <w:rsid w:val="006F4346"/>
    <w:rsid w:val="00724925"/>
    <w:rsid w:val="0074055E"/>
    <w:rsid w:val="007544B2"/>
    <w:rsid w:val="007A67D9"/>
    <w:rsid w:val="007C5BA9"/>
    <w:rsid w:val="0080152F"/>
    <w:rsid w:val="00814B50"/>
    <w:rsid w:val="0083317F"/>
    <w:rsid w:val="008457C9"/>
    <w:rsid w:val="00846D33"/>
    <w:rsid w:val="00870B5A"/>
    <w:rsid w:val="008A7269"/>
    <w:rsid w:val="00901EAF"/>
    <w:rsid w:val="009074DE"/>
    <w:rsid w:val="0092216F"/>
    <w:rsid w:val="009770B6"/>
    <w:rsid w:val="0099433A"/>
    <w:rsid w:val="009947D0"/>
    <w:rsid w:val="009957C5"/>
    <w:rsid w:val="009A5701"/>
    <w:rsid w:val="009A7960"/>
    <w:rsid w:val="009C0AD0"/>
    <w:rsid w:val="009D7441"/>
    <w:rsid w:val="009F02A5"/>
    <w:rsid w:val="00A06912"/>
    <w:rsid w:val="00A45BF7"/>
    <w:rsid w:val="00A54149"/>
    <w:rsid w:val="00AF2560"/>
    <w:rsid w:val="00B474FE"/>
    <w:rsid w:val="00B51CB7"/>
    <w:rsid w:val="00B90A49"/>
    <w:rsid w:val="00BA2645"/>
    <w:rsid w:val="00BA6529"/>
    <w:rsid w:val="00BE56C0"/>
    <w:rsid w:val="00BE68D2"/>
    <w:rsid w:val="00BF1E28"/>
    <w:rsid w:val="00C01686"/>
    <w:rsid w:val="00C125A7"/>
    <w:rsid w:val="00C17CB5"/>
    <w:rsid w:val="00C40037"/>
    <w:rsid w:val="00C51090"/>
    <w:rsid w:val="00C837A7"/>
    <w:rsid w:val="00C91F07"/>
    <w:rsid w:val="00CA6996"/>
    <w:rsid w:val="00CB772A"/>
    <w:rsid w:val="00CD70F8"/>
    <w:rsid w:val="00CE28F4"/>
    <w:rsid w:val="00D07C62"/>
    <w:rsid w:val="00D245A3"/>
    <w:rsid w:val="00D523BB"/>
    <w:rsid w:val="00D66B3C"/>
    <w:rsid w:val="00DE7C0F"/>
    <w:rsid w:val="00E24035"/>
    <w:rsid w:val="00E314F4"/>
    <w:rsid w:val="00E51DF7"/>
    <w:rsid w:val="00E6363A"/>
    <w:rsid w:val="00E65600"/>
    <w:rsid w:val="00EC078F"/>
    <w:rsid w:val="00EF35FC"/>
    <w:rsid w:val="00F13D38"/>
    <w:rsid w:val="00F82C73"/>
    <w:rsid w:val="00FA2526"/>
    <w:rsid w:val="00FC7FDC"/>
    <w:rsid w:val="00FF1965"/>
    <w:rsid w:val="00FF4DF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qFormat/>
    <w:rsid w:val="00EC078F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C078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C078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C078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C078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C078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C078F"/>
    <w:pPr>
      <w:numPr>
        <w:ilvl w:val="6"/>
        <w:numId w:val="6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C078F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C078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rsid w:val="00BA2645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514307"/>
    <w:pPr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qFormat/>
    <w:rsid w:val="00EC078F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C078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C078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C078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C078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C078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C078F"/>
    <w:pPr>
      <w:numPr>
        <w:ilvl w:val="6"/>
        <w:numId w:val="6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C078F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C078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rsid w:val="00BA2645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514307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GUMIABRONCS-JAVÍTÓ ÉS KERÉKKIEGYENSÚLYOZÓ</vt:lpstr>
    </vt:vector>
  </TitlesOfParts>
  <Company/>
  <LinksUpToDate>false</LinksUpToDate>
  <CharactersWithSpaces>8048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http://munka.hu/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GUMIABRONCS-JAVÍTÓ ÉS KERÉKKIEGYENSÚLYOZÓ</dc:title>
  <dc:subject/>
  <dc:creator>gubicza</dc:creator>
  <cp:keywords/>
  <cp:lastModifiedBy>NMH-SZFI</cp:lastModifiedBy>
  <cp:revision>2</cp:revision>
  <cp:lastPrinted>2012-02-21T15:26:00Z</cp:lastPrinted>
  <dcterms:created xsi:type="dcterms:W3CDTF">2013-03-05T07:41:00Z</dcterms:created>
  <dcterms:modified xsi:type="dcterms:W3CDTF">2013-03-05T07:41:00Z</dcterms:modified>
</cp:coreProperties>
</file>